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rPr>
      </w:pPr>
      <w:bookmarkStart w:id="0" w:name="_GoBack"/>
      <w:bookmarkEnd w:id="0"/>
      <w:r>
        <w:rPr>
          <w:rFonts w:hint="eastAsia" w:asciiTheme="majorEastAsia" w:hAnsiTheme="majorEastAsia" w:eastAsiaTheme="majorEastAsia" w:cstheme="majorEastAsia"/>
          <w:sz w:val="32"/>
          <w:szCs w:val="32"/>
        </w:rPr>
        <w:t>住房公积金汇缴结算方式协议书</w:t>
      </w:r>
    </w:p>
    <w:p>
      <w:pPr>
        <w:jc w:val="right"/>
        <w:rPr>
          <w:rFonts w:hint="eastAsia" w:asciiTheme="majorEastAsia" w:hAnsiTheme="majorEastAsia" w:eastAsiaTheme="majorEastAsia" w:cstheme="majorEastAsia"/>
          <w:sz w:val="21"/>
          <w:szCs w:val="21"/>
        </w:rPr>
      </w:pPr>
    </w:p>
    <w:p>
      <w:pPr>
        <w:jc w:val="righ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表1-2</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单位公积金帐号：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甲方（收款人）：湖州市住房公积金管理中心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乙方（付款人）：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丙方（付款行）：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1"/>
          <w:szCs w:val="21"/>
          <w:lang w:val="en-US" w:eastAsia="zh-CN"/>
        </w:rPr>
        <w:t>为做好住房公积金的单位汇缴结算工作，维护缴存职工的合法权益，本着减少工作环节，节约缴存成本，提高工作效率的原则，甲、乙、丙三方就单位住房公积金汇缴结算方式协商如下：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甲、乙、丙三方承诺共同遵守《中华人民共和国民法典》，中国人民银行《支付结算办法》、《湖州市住房公积金管理办法》等相关法规。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乙方同意甲方通过“小额支付系统定期借记业务”结算方式，办理同城特约委托收款业务，并授权丙方在乙方指定的银行基本结算账户内按月扣划其住房公积金应缴存额（包括单位缴存和职工缴存的住房公积金，下同)，并存入甲方指定的“住房公积金缴存专户”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乙方委托资料内容如下：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付款人名称：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付款账号：</w:t>
      </w:r>
      <w:r>
        <w:rPr>
          <w:rFonts w:hint="eastAsia" w:asciiTheme="majorEastAsia" w:hAnsiTheme="majorEastAsia" w:eastAsiaTheme="majorEastAsia" w:cstheme="maj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开户银行：</w:t>
      </w:r>
      <w:r>
        <w:rPr>
          <w:rFonts w:hint="eastAsia" w:asciiTheme="majorEastAsia" w:hAnsiTheme="majorEastAsia" w:eastAsiaTheme="majorEastAsia" w:cstheme="majorEastAsia"/>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三、乙方应在基本结算账户内留有足够的资金用于支付委托收取乙方按月应缴存的住房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公积金，确保在委托划款转账日未被销户或冻结等。乙方上述付款账户因各种原因被停用或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冻结期间，应主动通知甲方并采取其他结算方式向甲方缴存住房公积金。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四、乙方如需变更协议内容，应重新签订协议，新协议生效后，原协议自动废止。如因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丙方业务系统升级变更付款账号的，原委托协议可不作变更，但丙方应及时将对应账号变更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信息通知乙方，乙方应及时将变更后的付款账号书面告知甲方，确保甲方向丙方发出准确的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委托划款信息。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乙方擅自撤销付款账户，致使协议无法履行所产生的责任，应由乙方承担。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六、丙方根据乙方授权和甲方扣款信息，据实进行扣款并及时向甲方返回信息，丙方在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授权扣款的同时，应将甲方收款银行传递的《同城特约委托收款凭证》及《湖州市住房公积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金月度结算表》给乙方。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七、本协议一式三份，甲、乙、丙三方各执一份。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甲方（盖章）：</w:t>
      </w:r>
      <w:r>
        <w:rPr>
          <w:rFonts w:hint="eastAsia" w:asciiTheme="majorEastAsia" w:hAnsiTheme="majorEastAsia" w:eastAsiaTheme="majorEastAsia" w:cstheme="majorEastAsia"/>
          <w:sz w:val="21"/>
          <w:szCs w:val="21"/>
          <w:lang w:val="en-US" w:eastAsia="zh-CN"/>
        </w:rPr>
        <w:t xml:space="preserve">                        经办人：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乙方（盖章）：                        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丙方（盖章）：</w:t>
      </w:r>
      <w:r>
        <w:rPr>
          <w:rFonts w:hint="eastAsia" w:asciiTheme="majorEastAsia" w:hAnsiTheme="majorEastAsia" w:eastAsiaTheme="majorEastAsia" w:cstheme="majorEastAsia"/>
          <w:sz w:val="21"/>
          <w:szCs w:val="21"/>
          <w:lang w:val="en-US" w:eastAsia="zh-CN"/>
        </w:rPr>
        <w:t xml:space="preserve">                        经办人：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开户行地址：</w:t>
      </w:r>
      <w:r>
        <w:rPr>
          <w:rFonts w:hint="eastAsia" w:asciiTheme="majorEastAsia" w:hAnsiTheme="majorEastAsia" w:eastAsiaTheme="majorEastAsia" w:cstheme="majorEastAsia"/>
          <w:sz w:val="21"/>
          <w:szCs w:val="21"/>
          <w:lang w:val="en-US" w:eastAsia="zh-CN"/>
        </w:rPr>
        <w:t xml:space="preserve">                         </w:t>
      </w:r>
      <w:r>
        <w:rPr>
          <w:rFonts w:hint="default" w:asciiTheme="majorEastAsia" w:hAnsiTheme="majorEastAsia" w:eastAsiaTheme="majorEastAsia" w:cstheme="majorEastAsia"/>
          <w:sz w:val="21"/>
          <w:szCs w:val="21"/>
          <w:lang w:val="en-US" w:eastAsia="zh-CN"/>
        </w:rPr>
        <w:t>开户行电话：</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Theme="majorEastAsia" w:hAnsiTheme="majorEastAsia" w:eastAsiaTheme="majorEastAsia" w:cstheme="maj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410" w:firstLineChars="2100"/>
        <w:jc w:val="left"/>
        <w:textAlignment w:val="auto"/>
        <w:rPr>
          <w:rFonts w:hint="default" w:asciiTheme="majorEastAsia" w:hAnsiTheme="majorEastAsia" w:eastAsiaTheme="majorEastAsia" w:cstheme="majorEastAsia"/>
          <w:sz w:val="21"/>
          <w:szCs w:val="21"/>
          <w:lang w:val="en-US" w:eastAsia="zh-CN"/>
        </w:rPr>
      </w:pPr>
      <w:r>
        <w:rPr>
          <w:rFonts w:hint="default" w:asciiTheme="majorEastAsia" w:hAnsiTheme="majorEastAsia" w:eastAsiaTheme="majorEastAsia" w:cstheme="majorEastAsia"/>
          <w:sz w:val="21"/>
          <w:szCs w:val="21"/>
          <w:lang w:val="en-US" w:eastAsia="zh-CN"/>
        </w:rPr>
        <w:t>签约时间：</w:t>
      </w:r>
      <w:r>
        <w:rPr>
          <w:rFonts w:hint="eastAsia" w:asciiTheme="majorEastAsia" w:hAnsiTheme="majorEastAsia" w:eastAsiaTheme="majorEastAsia" w:cstheme="majorEastAsia"/>
          <w:sz w:val="21"/>
          <w:szCs w:val="21"/>
          <w:lang w:val="en-US" w:eastAsia="zh-CN"/>
        </w:rPr>
        <w:t xml:space="preserve">          </w:t>
      </w:r>
      <w:r>
        <w:rPr>
          <w:rFonts w:hint="default" w:asciiTheme="majorEastAsia" w:hAnsiTheme="majorEastAsia" w:eastAsiaTheme="majorEastAsia" w:cstheme="majorEastAsia"/>
          <w:sz w:val="21"/>
          <w:szCs w:val="21"/>
          <w:lang w:val="en-US" w:eastAsia="zh-CN"/>
        </w:rPr>
        <w:t>年</w:t>
      </w:r>
      <w:r>
        <w:rPr>
          <w:rFonts w:hint="eastAsia" w:asciiTheme="majorEastAsia" w:hAnsiTheme="majorEastAsia" w:eastAsiaTheme="majorEastAsia" w:cstheme="majorEastAsia"/>
          <w:sz w:val="21"/>
          <w:szCs w:val="21"/>
          <w:lang w:val="en-US" w:eastAsia="zh-CN"/>
        </w:rPr>
        <w:t xml:space="preserve">    </w:t>
      </w:r>
      <w:r>
        <w:rPr>
          <w:rFonts w:hint="default" w:asciiTheme="majorEastAsia" w:hAnsiTheme="majorEastAsia" w:eastAsiaTheme="majorEastAsia" w:cstheme="majorEastAsia"/>
          <w:sz w:val="21"/>
          <w:szCs w:val="21"/>
          <w:lang w:val="en-US" w:eastAsia="zh-CN"/>
        </w:rPr>
        <w:t>月</w:t>
      </w:r>
      <w:r>
        <w:rPr>
          <w:rFonts w:hint="eastAsia" w:asciiTheme="majorEastAsia" w:hAnsiTheme="majorEastAsia" w:eastAsiaTheme="majorEastAsia" w:cstheme="majorEastAsia"/>
          <w:sz w:val="21"/>
          <w:szCs w:val="21"/>
          <w:lang w:val="en-US" w:eastAsia="zh-CN"/>
        </w:rPr>
        <w:t xml:space="preserve">    </w:t>
      </w:r>
      <w:r>
        <w:rPr>
          <w:rFonts w:hint="default" w:asciiTheme="majorEastAsia" w:hAnsiTheme="majorEastAsia" w:eastAsiaTheme="majorEastAsia" w:cstheme="majorEastAsia"/>
          <w:sz w:val="21"/>
          <w:szCs w:val="21"/>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5988"/>
    <w:multiLevelType w:val="singleLevel"/>
    <w:tmpl w:val="065F5988"/>
    <w:lvl w:ilvl="0" w:tentative="0">
      <w:start w:val="1"/>
      <w:numFmt w:val="chineseCounting"/>
      <w:suff w:val="nothing"/>
      <w:lvlText w:val="%1、"/>
      <w:lvlJc w:val="left"/>
      <w:rPr>
        <w:rFonts w:hint="eastAsia"/>
      </w:rPr>
    </w:lvl>
  </w:abstractNum>
  <w:abstractNum w:abstractNumId="1">
    <w:nsid w:val="0E1511A5"/>
    <w:multiLevelType w:val="singleLevel"/>
    <w:tmpl w:val="0E1511A5"/>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B4BDC"/>
    <w:rsid w:val="0F78210D"/>
    <w:rsid w:val="26C07821"/>
    <w:rsid w:val="3A2E002F"/>
    <w:rsid w:val="3F1B4BDC"/>
    <w:rsid w:val="483C3BB9"/>
    <w:rsid w:val="7FCB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2022-02-25T01:17:00Z</dcterms:created>
  <dc:creator>Administrator</dc:creator>
  <lastModifiedBy>Administrator</lastModifiedBy>
  <dcterms:modified xsi:type="dcterms:W3CDTF">2023-08-21T06:20:16Z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8EABFACF1B634010AFCA406B63067039</vt:lpwstr>
  </property>
</Properties>
</file>