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9C9" w:rsidRDefault="008609C9">
      <w:pPr>
        <w:widowControl w:val="0"/>
        <w:ind w:firstLine="880"/>
        <w:jc w:val="center"/>
        <w:rPr>
          <w:rFonts w:ascii="方正小标宋简体" w:eastAsia="方正小标宋简体" w:hAnsi="方正小标宋简体" w:cs="方正小标宋简体"/>
          <w:kern w:val="0"/>
          <w:sz w:val="44"/>
          <w:szCs w:val="44"/>
          <w:lang w:bidi="ar"/>
        </w:rPr>
      </w:pPr>
      <w:bookmarkStart w:id="0" w:name="_GoBack"/>
      <w:bookmarkEnd w:id="0"/>
    </w:p>
    <w:p w:rsidR="008609C9" w:rsidRDefault="0076233D">
      <w:pPr>
        <w:widowControl w:val="0"/>
        <w:ind w:firstLineChars="0" w:firstLine="0"/>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湖州市</w:t>
      </w:r>
      <w:r>
        <w:rPr>
          <w:rFonts w:ascii="方正小标宋简体" w:eastAsia="方正小标宋简体" w:hAnsi="方正小标宋简体" w:cs="方正小标宋简体"/>
          <w:kern w:val="0"/>
          <w:sz w:val="44"/>
          <w:szCs w:val="44"/>
          <w:lang w:bidi="ar"/>
        </w:rPr>
        <w:t>房建市政工程领域</w:t>
      </w:r>
      <w:r>
        <w:rPr>
          <w:rFonts w:ascii="方正小标宋简体" w:eastAsia="方正小标宋简体" w:hAnsi="方正小标宋简体" w:cs="方正小标宋简体" w:hint="eastAsia"/>
          <w:kern w:val="0"/>
          <w:sz w:val="44"/>
          <w:szCs w:val="44"/>
          <w:lang w:bidi="ar"/>
        </w:rPr>
        <w:t>资质挂靠问题</w:t>
      </w:r>
    </w:p>
    <w:p w:rsidR="008609C9" w:rsidRDefault="0076233D">
      <w:pPr>
        <w:widowControl w:val="0"/>
        <w:ind w:firstLineChars="0" w:firstLine="0"/>
        <w:jc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专项整治行动方案</w:t>
      </w:r>
    </w:p>
    <w:p w:rsidR="008609C9" w:rsidRDefault="008609C9">
      <w:pPr>
        <w:widowControl w:val="0"/>
        <w:ind w:firstLineChars="0" w:firstLine="0"/>
        <w:jc w:val="center"/>
        <w:rPr>
          <w:rFonts w:ascii="方正小标宋简体" w:eastAsia="方正小标宋简体" w:hAnsi="方正小标宋简体" w:cs="方正小标宋简体"/>
          <w:kern w:val="0"/>
          <w:sz w:val="44"/>
          <w:szCs w:val="44"/>
          <w:lang w:bidi="ar"/>
        </w:rPr>
      </w:pPr>
    </w:p>
    <w:p w:rsidR="008609C9" w:rsidRDefault="0076233D">
      <w:pPr>
        <w:widowControl w:val="0"/>
        <w:ind w:firstLine="640"/>
      </w:pPr>
      <w:r>
        <w:rPr>
          <w:rFonts w:hAnsi="仿宋" w:hint="eastAsia"/>
          <w:kern w:val="0"/>
          <w:szCs w:val="32"/>
          <w:lang w:bidi="ar"/>
        </w:rPr>
        <w:t>根据</w:t>
      </w:r>
      <w:r>
        <w:rPr>
          <w:rFonts w:hint="eastAsia"/>
        </w:rPr>
        <w:t>《浙江省房建市政工程领域资质挂靠问题专项整治行动方案》等，制定本方案，具体如下：</w:t>
      </w:r>
    </w:p>
    <w:p w:rsidR="008609C9" w:rsidRDefault="0076233D">
      <w:pPr>
        <w:widowControl w:val="0"/>
        <w:ind w:firstLine="640"/>
        <w:rPr>
          <w:rFonts w:ascii="黑体" w:eastAsia="黑体" w:hAnsi="黑体"/>
        </w:rPr>
      </w:pPr>
      <w:r>
        <w:rPr>
          <w:rFonts w:ascii="黑体" w:eastAsia="黑体" w:hAnsi="黑体" w:hint="eastAsia"/>
        </w:rPr>
        <w:t>一、工作目标</w:t>
      </w:r>
    </w:p>
    <w:p w:rsidR="008609C9" w:rsidRDefault="0076233D">
      <w:pPr>
        <w:widowControl w:val="0"/>
        <w:ind w:firstLine="640"/>
      </w:pPr>
      <w:r>
        <w:rPr>
          <w:rFonts w:hint="eastAsia"/>
        </w:rPr>
        <w:t>通过专项整治行动，严厉打击房建市政工程领域资质挂靠等违法违规行为，集中查处并曝光一批违法违规典型案例，不断强化招投标市场和施工现场</w:t>
      </w:r>
      <w:r>
        <w:rPr>
          <w:rFonts w:cs="Times New Roman" w:hint="eastAsia"/>
        </w:rPr>
        <w:t>“</w:t>
      </w:r>
      <w:r>
        <w:rPr>
          <w:rFonts w:hint="eastAsia"/>
        </w:rPr>
        <w:t>两场</w:t>
      </w:r>
      <w:r>
        <w:rPr>
          <w:rFonts w:cs="Times New Roman" w:hint="eastAsia"/>
        </w:rPr>
        <w:t>”</w:t>
      </w:r>
      <w:r>
        <w:rPr>
          <w:rFonts w:hint="eastAsia"/>
        </w:rPr>
        <w:t>联动，健全招投标全链条全过程监管机制，切实提升招投标领域治理体系和治理能力建设，打造公平竞争的市场秩序、风清气正的营商环境。</w:t>
      </w:r>
    </w:p>
    <w:p w:rsidR="008609C9" w:rsidRDefault="0076233D">
      <w:pPr>
        <w:widowControl w:val="0"/>
        <w:ind w:firstLine="640"/>
        <w:rPr>
          <w:rFonts w:ascii="黑体" w:eastAsia="黑体" w:hAnsi="黑体"/>
        </w:rPr>
      </w:pPr>
      <w:r>
        <w:rPr>
          <w:rFonts w:ascii="黑体" w:eastAsia="黑体" w:hAnsi="黑体" w:hint="eastAsia"/>
        </w:rPr>
        <w:t>二、整治范围</w:t>
      </w:r>
    </w:p>
    <w:p w:rsidR="008609C9" w:rsidRDefault="0076233D">
      <w:pPr>
        <w:widowControl w:val="0"/>
        <w:ind w:firstLine="640"/>
      </w:pPr>
      <w:r>
        <w:rPr>
          <w:rFonts w:hint="eastAsia"/>
        </w:rPr>
        <w:t>全市在建的房建市政工程项目，重点整治：</w:t>
      </w:r>
    </w:p>
    <w:p w:rsidR="008609C9" w:rsidRDefault="0076233D">
      <w:pPr>
        <w:widowControl w:val="0"/>
        <w:ind w:firstLine="640"/>
      </w:pPr>
      <w:r>
        <w:rPr>
          <w:rFonts w:cs="Times New Roman" w:hint="eastAsia"/>
        </w:rPr>
        <w:t>1.</w:t>
      </w:r>
      <w:r>
        <w:rPr>
          <w:rFonts w:hAnsi="宋体" w:cs="宋体" w:hint="eastAsia"/>
        </w:rPr>
        <w:t>浙江省招投标智慧监管监督系统</w:t>
      </w:r>
      <w:r>
        <w:rPr>
          <w:rFonts w:hint="eastAsia"/>
        </w:rPr>
        <w:t>下发的资质挂靠等预警信息涉及的项目；</w:t>
      </w:r>
    </w:p>
    <w:p w:rsidR="008609C9" w:rsidRDefault="0076233D">
      <w:pPr>
        <w:widowControl w:val="0"/>
        <w:ind w:firstLine="640"/>
      </w:pPr>
      <w:r>
        <w:rPr>
          <w:rFonts w:cs="Times New Roman" w:hint="eastAsia"/>
        </w:rPr>
        <w:t>2.2024</w:t>
      </w:r>
      <w:r>
        <w:rPr>
          <w:rFonts w:hint="eastAsia"/>
        </w:rPr>
        <w:t>年以来，项目建设过程中项目负责人、项目总监变更次数</w:t>
      </w:r>
      <w:r>
        <w:rPr>
          <w:rFonts w:cs="Times New Roman" w:hint="eastAsia"/>
        </w:rPr>
        <w:t>2</w:t>
      </w:r>
      <w:r>
        <w:rPr>
          <w:rFonts w:hint="eastAsia"/>
        </w:rPr>
        <w:t>次及以上的项目，</w:t>
      </w:r>
      <w:r>
        <w:rPr>
          <w:rFonts w:cs="Times New Roman" w:hint="eastAsia"/>
        </w:rPr>
        <w:t>2024</w:t>
      </w:r>
      <w:r>
        <w:rPr>
          <w:rFonts w:hint="eastAsia"/>
        </w:rPr>
        <w:t>年下半年连续</w:t>
      </w:r>
      <w:r>
        <w:rPr>
          <w:rFonts w:cs="Times New Roman" w:hint="eastAsia"/>
        </w:rPr>
        <w:t>6</w:t>
      </w:r>
      <w:r>
        <w:rPr>
          <w:rFonts w:hint="eastAsia"/>
        </w:rPr>
        <w:t>个月项目负责人、项目总监到岗率分别不足</w:t>
      </w:r>
      <w:r>
        <w:rPr>
          <w:rFonts w:cs="Times New Roman" w:hint="eastAsia"/>
        </w:rPr>
        <w:t>60%</w:t>
      </w:r>
      <w:r>
        <w:rPr>
          <w:rFonts w:hint="eastAsia"/>
        </w:rPr>
        <w:t>、</w:t>
      </w:r>
      <w:r>
        <w:rPr>
          <w:rFonts w:cs="Times New Roman" w:hint="eastAsia"/>
        </w:rPr>
        <w:t>30%</w:t>
      </w:r>
      <w:r>
        <w:rPr>
          <w:rFonts w:hint="eastAsia"/>
        </w:rPr>
        <w:t>的项目</w:t>
      </w:r>
      <w:r>
        <w:rPr>
          <w:rFonts w:cs="Times New Roman" w:hint="eastAsia"/>
        </w:rPr>
        <w:t>;</w:t>
      </w:r>
    </w:p>
    <w:p w:rsidR="008609C9" w:rsidRDefault="0076233D">
      <w:pPr>
        <w:widowControl w:val="0"/>
        <w:ind w:firstLine="640"/>
      </w:pPr>
      <w:r>
        <w:rPr>
          <w:rFonts w:cs="Times New Roman" w:hint="eastAsia"/>
        </w:rPr>
        <w:t>3.2024</w:t>
      </w:r>
      <w:r>
        <w:rPr>
          <w:rFonts w:hint="eastAsia"/>
        </w:rPr>
        <w:t>年以来，中标单位中标时的项目负责人与施工许可证办理时的项目负责人不一致的项目；</w:t>
      </w:r>
    </w:p>
    <w:p w:rsidR="008609C9" w:rsidRDefault="0076233D">
      <w:pPr>
        <w:widowControl w:val="0"/>
        <w:ind w:firstLine="640"/>
      </w:pPr>
      <w:r>
        <w:rPr>
          <w:rFonts w:cs="Times New Roman" w:hint="eastAsia"/>
        </w:rPr>
        <w:t>4.</w:t>
      </w:r>
      <w:r>
        <w:rPr>
          <w:rFonts w:hint="eastAsia"/>
        </w:rPr>
        <w:t>中标单位在投标截止日前</w:t>
      </w:r>
      <w:r>
        <w:rPr>
          <w:rFonts w:cs="Times New Roman" w:hint="eastAsia"/>
        </w:rPr>
        <w:t>3</w:t>
      </w:r>
      <w:r>
        <w:rPr>
          <w:rFonts w:hint="eastAsia"/>
        </w:rPr>
        <w:t>个月内，该项目的关键岗</w:t>
      </w:r>
      <w:r>
        <w:rPr>
          <w:rFonts w:hint="eastAsia"/>
        </w:rPr>
        <w:lastRenderedPageBreak/>
        <w:t>位人员社保新转入的；</w:t>
      </w:r>
    </w:p>
    <w:p w:rsidR="008609C9" w:rsidRDefault="0076233D">
      <w:pPr>
        <w:widowControl w:val="0"/>
        <w:ind w:firstLine="640"/>
      </w:pPr>
      <w:r>
        <w:rPr>
          <w:rFonts w:hint="eastAsia"/>
        </w:rPr>
        <w:t>5.</w:t>
      </w:r>
      <w:r>
        <w:rPr>
          <w:rFonts w:hint="eastAsia"/>
        </w:rPr>
        <w:t>房建总承包工程项目合同金额</w:t>
      </w:r>
      <w:r>
        <w:rPr>
          <w:rFonts w:hint="eastAsia"/>
        </w:rPr>
        <w:t xml:space="preserve">3000 </w:t>
      </w:r>
      <w:r>
        <w:rPr>
          <w:rFonts w:hint="eastAsia"/>
        </w:rPr>
        <w:t>万元以下、市政总承包工程项目合同金额</w:t>
      </w:r>
      <w:r>
        <w:rPr>
          <w:rFonts w:hint="eastAsia"/>
        </w:rPr>
        <w:t xml:space="preserve"> 1500 </w:t>
      </w:r>
      <w:r>
        <w:rPr>
          <w:rFonts w:hint="eastAsia"/>
        </w:rPr>
        <w:t>万元以下，中标单位首次中标的项目；</w:t>
      </w:r>
    </w:p>
    <w:p w:rsidR="008609C9" w:rsidRDefault="0076233D">
      <w:pPr>
        <w:widowControl w:val="0"/>
        <w:ind w:firstLine="640"/>
      </w:pPr>
      <w:r>
        <w:rPr>
          <w:rFonts w:cs="Times New Roman" w:hint="eastAsia"/>
        </w:rPr>
        <w:t>6.</w:t>
      </w:r>
      <w:r>
        <w:rPr>
          <w:rFonts w:hint="eastAsia"/>
        </w:rPr>
        <w:t>发生过质量安全事故或存在质量安全重大风险的项目；</w:t>
      </w:r>
    </w:p>
    <w:p w:rsidR="008609C9" w:rsidRDefault="0076233D">
      <w:pPr>
        <w:widowControl w:val="0"/>
        <w:ind w:firstLine="640"/>
      </w:pPr>
      <w:r>
        <w:rPr>
          <w:rFonts w:cs="Times New Roman" w:hint="eastAsia"/>
        </w:rPr>
        <w:t>7.</w:t>
      </w:r>
      <w:r>
        <w:rPr>
          <w:rFonts w:hint="eastAsia"/>
        </w:rPr>
        <w:t>未按《房建和市政工程项目风险分级分类指南》要求开展项目风险评估工作，或者风险等级评定为</w:t>
      </w:r>
      <w:r>
        <w:rPr>
          <w:rFonts w:cs="Times New Roman" w:hint="eastAsia"/>
        </w:rPr>
        <w:t>“</w:t>
      </w:r>
      <w:r>
        <w:rPr>
          <w:rFonts w:hint="eastAsia"/>
        </w:rPr>
        <w:t>高风险</w:t>
      </w:r>
      <w:r>
        <w:rPr>
          <w:rFonts w:cs="Times New Roman" w:hint="eastAsia"/>
        </w:rPr>
        <w:t>”</w:t>
      </w:r>
      <w:r>
        <w:rPr>
          <w:rFonts w:hint="eastAsia"/>
        </w:rPr>
        <w:t>的项目；</w:t>
      </w:r>
    </w:p>
    <w:p w:rsidR="008609C9" w:rsidRDefault="0076233D">
      <w:pPr>
        <w:widowControl w:val="0"/>
        <w:ind w:firstLine="640"/>
      </w:pPr>
      <w:r>
        <w:rPr>
          <w:rFonts w:cs="Times New Roman" w:hint="eastAsia"/>
        </w:rPr>
        <w:t>8.</w:t>
      </w:r>
      <w:r>
        <w:rPr>
          <w:rFonts w:hint="eastAsia"/>
        </w:rPr>
        <w:t>其他存在</w:t>
      </w:r>
      <w:r>
        <w:rPr>
          <w:rFonts w:cs="Times New Roman" w:hint="eastAsia"/>
        </w:rPr>
        <w:t>“</w:t>
      </w:r>
      <w:r>
        <w:rPr>
          <w:rFonts w:hint="eastAsia"/>
        </w:rPr>
        <w:t>三包一挂</w:t>
      </w:r>
      <w:r>
        <w:rPr>
          <w:rFonts w:cs="Times New Roman" w:hint="eastAsia"/>
        </w:rPr>
        <w:t>”</w:t>
      </w:r>
      <w:r>
        <w:rPr>
          <w:rFonts w:hint="eastAsia"/>
        </w:rPr>
        <w:t>、质量安全投诉的项目。</w:t>
      </w:r>
      <w:bookmarkStart w:id="1" w:name="_Hlk194583929"/>
    </w:p>
    <w:p w:rsidR="008609C9" w:rsidRDefault="0076233D">
      <w:pPr>
        <w:widowControl w:val="0"/>
        <w:ind w:firstLine="640"/>
        <w:rPr>
          <w:rFonts w:ascii="黑体" w:eastAsia="黑体" w:hAnsi="黑体"/>
        </w:rPr>
      </w:pPr>
      <w:r>
        <w:rPr>
          <w:rFonts w:ascii="黑体" w:eastAsia="黑体" w:hAnsi="黑体" w:hint="eastAsia"/>
        </w:rPr>
        <w:t>三</w:t>
      </w:r>
      <w:r>
        <w:rPr>
          <w:rFonts w:ascii="黑体" w:eastAsia="黑体" w:hAnsi="黑体"/>
        </w:rPr>
        <w:t>、</w:t>
      </w:r>
      <w:r>
        <w:rPr>
          <w:rFonts w:ascii="黑体" w:eastAsia="黑体" w:hAnsi="黑体" w:hint="eastAsia"/>
        </w:rPr>
        <w:t>整治内容</w:t>
      </w:r>
      <w:bookmarkEnd w:id="1"/>
    </w:p>
    <w:p w:rsidR="008609C9" w:rsidRDefault="0076233D">
      <w:pPr>
        <w:widowControl w:val="0"/>
        <w:ind w:firstLine="643"/>
      </w:pPr>
      <w:r>
        <w:rPr>
          <w:rFonts w:ascii="楷体_GB2312" w:eastAsia="楷体_GB2312" w:hAnsi="楷体" w:cs="楷体" w:hint="eastAsia"/>
          <w:b/>
        </w:rPr>
        <w:t>（一）资质挂靠行为。</w:t>
      </w:r>
      <w:r>
        <w:rPr>
          <w:rFonts w:hint="eastAsia"/>
        </w:rPr>
        <w:t>一是没有资质的单位或个人借用其他单位的资质承揽工程的；二是有资质的单位相互借用资质承揽工程的，包括资质等级低的借用资质等级高的，资质等级高的借用资质等级低的，相同资质等级相互借用的。</w:t>
      </w:r>
    </w:p>
    <w:p w:rsidR="008609C9" w:rsidRDefault="0076233D">
      <w:pPr>
        <w:widowControl w:val="0"/>
        <w:ind w:firstLine="643"/>
      </w:pPr>
      <w:r>
        <w:rPr>
          <w:rFonts w:ascii="楷体_GB2312" w:eastAsia="楷体_GB2312" w:hAnsi="楷体" w:cs="楷体" w:hint="eastAsia"/>
          <w:b/>
        </w:rPr>
        <w:t>（二）人员挂证行为。</w:t>
      </w:r>
      <w:r>
        <w:rPr>
          <w:rFonts w:hint="eastAsia"/>
        </w:rPr>
        <w:t>施工单位项目经理、技术负责人，监理单位项目总监，勘察设计单位注册建筑师、勘察设计注册工程师的注册单位与实际工作单位不一致的，或者相关人员存在出租出借注册执业资格证书等</w:t>
      </w:r>
      <w:r>
        <w:rPr>
          <w:rFonts w:cs="Times New Roman" w:hint="eastAsia"/>
        </w:rPr>
        <w:t>“</w:t>
      </w:r>
      <w:r>
        <w:rPr>
          <w:rFonts w:hint="eastAsia"/>
        </w:rPr>
        <w:t>挂证</w:t>
      </w:r>
      <w:r>
        <w:rPr>
          <w:rFonts w:cs="Times New Roman" w:hint="eastAsia"/>
        </w:rPr>
        <w:t>”</w:t>
      </w:r>
      <w:r>
        <w:rPr>
          <w:rFonts w:hint="eastAsia"/>
        </w:rPr>
        <w:t>行为的，或者考勤记录与项目日志、监理日志等文件存在明显矛盾的。</w:t>
      </w:r>
    </w:p>
    <w:p w:rsidR="008609C9" w:rsidRDefault="0076233D">
      <w:pPr>
        <w:widowControl w:val="0"/>
        <w:ind w:firstLine="643"/>
      </w:pPr>
      <w:r>
        <w:rPr>
          <w:rFonts w:ascii="楷体_GB2312" w:eastAsia="楷体_GB2312" w:hAnsi="楷体" w:cs="楷体" w:hint="eastAsia"/>
          <w:b/>
        </w:rPr>
        <w:t>（三）中标前后不一致行为。</w:t>
      </w:r>
      <w:r>
        <w:rPr>
          <w:rFonts w:hint="eastAsia"/>
        </w:rPr>
        <w:t>项目实际施工单位与中</w:t>
      </w:r>
      <w:r>
        <w:rPr>
          <w:rFonts w:hint="eastAsia"/>
        </w:rPr>
        <w:lastRenderedPageBreak/>
        <w:t>标单位不一致的，包括勘察、设计、施工、监理单位。</w:t>
      </w:r>
    </w:p>
    <w:p w:rsidR="008609C9" w:rsidRDefault="0076233D">
      <w:pPr>
        <w:widowControl w:val="0"/>
        <w:ind w:firstLine="643"/>
      </w:pPr>
      <w:r>
        <w:rPr>
          <w:rFonts w:ascii="楷体_GB2312" w:eastAsia="楷体_GB2312" w:hAnsi="楷体" w:cs="楷体" w:hint="eastAsia"/>
          <w:b/>
        </w:rPr>
        <w:t>（四）其他违法行为。</w:t>
      </w:r>
      <w:r>
        <w:rPr>
          <w:rFonts w:hint="eastAsia"/>
        </w:rPr>
        <w:t>建设单位违法发包，施工单位转包、违法分包，监理单位转让业务等违法行为。</w:t>
      </w:r>
    </w:p>
    <w:p w:rsidR="008609C9" w:rsidRDefault="0076233D">
      <w:pPr>
        <w:widowControl w:val="0"/>
        <w:ind w:firstLine="640"/>
        <w:rPr>
          <w:rFonts w:ascii="黑体" w:eastAsia="黑体" w:hAnsi="黑体"/>
        </w:rPr>
      </w:pPr>
      <w:r>
        <w:rPr>
          <w:rFonts w:ascii="黑体" w:eastAsia="黑体" w:hAnsi="黑体" w:hint="eastAsia"/>
        </w:rPr>
        <w:t>四</w:t>
      </w:r>
      <w:r>
        <w:rPr>
          <w:rFonts w:ascii="黑体" w:eastAsia="黑体" w:hAnsi="黑体"/>
        </w:rPr>
        <w:t>、</w:t>
      </w:r>
      <w:r>
        <w:rPr>
          <w:rFonts w:ascii="黑体" w:eastAsia="黑体" w:hAnsi="黑体" w:hint="eastAsia"/>
        </w:rPr>
        <w:t>实施步骤</w:t>
      </w:r>
    </w:p>
    <w:p w:rsidR="008609C9" w:rsidRDefault="0076233D">
      <w:pPr>
        <w:widowControl w:val="0"/>
        <w:ind w:firstLine="643"/>
      </w:pPr>
      <w:r>
        <w:rPr>
          <w:rFonts w:ascii="楷体_GB2312" w:eastAsia="楷体_GB2312" w:hAnsi="楷体" w:cs="楷体" w:hint="eastAsia"/>
          <w:b/>
        </w:rPr>
        <w:t>（一）动员部署阶段</w:t>
      </w:r>
      <w:r>
        <w:rPr>
          <w:rFonts w:hAnsi="楷体" w:cs="楷体" w:hint="eastAsia"/>
        </w:rPr>
        <w:t>（</w:t>
      </w:r>
      <w:r>
        <w:rPr>
          <w:rFonts w:cs="Times New Roman" w:hint="eastAsia"/>
          <w:b/>
        </w:rPr>
        <w:t>2025</w:t>
      </w:r>
      <w:r>
        <w:rPr>
          <w:rFonts w:hAnsi="楷体" w:cs="楷体" w:hint="eastAsia"/>
        </w:rPr>
        <w:t>年</w:t>
      </w:r>
      <w:r>
        <w:rPr>
          <w:rFonts w:cs="Times New Roman" w:hint="eastAsia"/>
          <w:b/>
        </w:rPr>
        <w:t>4</w:t>
      </w:r>
      <w:r>
        <w:rPr>
          <w:rFonts w:hAnsi="楷体" w:cs="楷体" w:hint="eastAsia"/>
        </w:rPr>
        <w:t>月）：</w:t>
      </w:r>
      <w:r>
        <w:rPr>
          <w:rFonts w:hint="eastAsia"/>
        </w:rPr>
        <w:t>制定湖州市房建市政工程领域资质挂靠问题专项整治行动方案，召开专项整治行动部署会议，开展专项整治行动。按照省建设厅“三个聚焦”、“四个绝不”、“两场</w:t>
      </w:r>
      <w:r>
        <w:t>联动</w:t>
      </w:r>
      <w:r>
        <w:rPr>
          <w:rFonts w:hint="eastAsia"/>
        </w:rPr>
        <w:t>”的指导</w:t>
      </w:r>
      <w:r>
        <w:t>思想，</w:t>
      </w:r>
      <w:r>
        <w:rPr>
          <w:rFonts w:hint="eastAsia"/>
        </w:rPr>
        <w:t>各区县建设主管部门结合实际情况，制定具体实施方案，统筹工作力量，细化责任分工，开展重点排查；完成对前期排摸上报重点项目的检查，对违法违规行为进行立案查处并</w:t>
      </w:r>
      <w:r>
        <w:t>通报宣传</w:t>
      </w:r>
      <w:r>
        <w:rPr>
          <w:rFonts w:hint="eastAsia"/>
        </w:rPr>
        <w:t>，营造好整治氛围，同步形成调研报告，报送各驻局纪检组、市建设局。</w:t>
      </w:r>
    </w:p>
    <w:p w:rsidR="008609C9" w:rsidRDefault="0076233D">
      <w:pPr>
        <w:widowControl w:val="0"/>
        <w:ind w:firstLine="643"/>
      </w:pPr>
      <w:r>
        <w:rPr>
          <w:rFonts w:ascii="楷体_GB2312" w:eastAsia="楷体_GB2312" w:hAnsi="楷体" w:cs="楷体" w:hint="eastAsia"/>
          <w:b/>
        </w:rPr>
        <w:t>（二）全面整治阶段</w:t>
      </w:r>
      <w:r>
        <w:rPr>
          <w:rFonts w:hAnsi="楷体" w:cs="楷体" w:hint="eastAsia"/>
        </w:rPr>
        <w:t>（</w:t>
      </w:r>
      <w:r>
        <w:rPr>
          <w:rFonts w:cs="Times New Roman" w:hint="eastAsia"/>
          <w:b/>
        </w:rPr>
        <w:t>2025</w:t>
      </w:r>
      <w:r>
        <w:rPr>
          <w:rFonts w:hAnsi="楷体" w:cs="楷体" w:hint="eastAsia"/>
        </w:rPr>
        <w:t>年</w:t>
      </w:r>
      <w:r>
        <w:rPr>
          <w:rFonts w:cs="Times New Roman" w:hint="eastAsia"/>
          <w:b/>
        </w:rPr>
        <w:t>5</w:t>
      </w:r>
      <w:r>
        <w:rPr>
          <w:rFonts w:hAnsi="楷体" w:cs="楷体" w:hint="eastAsia"/>
        </w:rPr>
        <w:t>月至</w:t>
      </w:r>
      <w:r>
        <w:rPr>
          <w:rFonts w:cs="Times New Roman" w:hint="eastAsia"/>
          <w:b/>
        </w:rPr>
        <w:t>6</w:t>
      </w:r>
      <w:r>
        <w:rPr>
          <w:rFonts w:hAnsi="楷体" w:cs="楷体" w:hint="eastAsia"/>
        </w:rPr>
        <w:t>月）：</w:t>
      </w:r>
      <w:r>
        <w:rPr>
          <w:rFonts w:hint="eastAsia"/>
        </w:rPr>
        <w:t>各区县围绕整治范围，聚焦整治内容，进一步推进排查整治工作，完善整治项目清单。对排查发现资质挂靠等违法行为问题线索的，要以</w:t>
      </w:r>
      <w:r>
        <w:t>办案思维</w:t>
      </w:r>
      <w:r>
        <w:rPr>
          <w:rFonts w:hint="eastAsia"/>
        </w:rPr>
        <w:t>认真</w:t>
      </w:r>
      <w:r>
        <w:t>处理，</w:t>
      </w:r>
      <w:r>
        <w:rPr>
          <w:rFonts w:hint="eastAsia"/>
        </w:rPr>
        <w:t>加强分析研判，分类采取整改、立案查处、曝光等措施；对提出整改的，开展“回头看”，跟踪整改情况</w:t>
      </w:r>
      <w:r>
        <w:t>，</w:t>
      </w:r>
      <w:r>
        <w:rPr>
          <w:rFonts w:hint="eastAsia"/>
        </w:rPr>
        <w:t>确保整改落实到位；对立案查处的，会同公安、纪检监察等部门依法依规严厉查处。</w:t>
      </w:r>
    </w:p>
    <w:p w:rsidR="008609C9" w:rsidRDefault="0076233D">
      <w:pPr>
        <w:widowControl w:val="0"/>
        <w:ind w:firstLine="643"/>
      </w:pPr>
      <w:r>
        <w:rPr>
          <w:rFonts w:ascii="楷体_GB2312" w:eastAsia="楷体_GB2312" w:hAnsi="楷体" w:cs="楷体" w:hint="eastAsia"/>
          <w:b/>
        </w:rPr>
        <w:t>（三）重点攻坚阶段</w:t>
      </w:r>
      <w:r>
        <w:rPr>
          <w:rFonts w:hAnsi="楷体" w:cs="楷体" w:hint="eastAsia"/>
        </w:rPr>
        <w:t>（</w:t>
      </w:r>
      <w:r>
        <w:rPr>
          <w:rFonts w:cs="Times New Roman" w:hint="eastAsia"/>
          <w:b/>
        </w:rPr>
        <w:t>2025</w:t>
      </w:r>
      <w:r>
        <w:rPr>
          <w:rFonts w:hAnsi="楷体" w:cs="楷体" w:hint="eastAsia"/>
        </w:rPr>
        <w:t>年</w:t>
      </w:r>
      <w:r>
        <w:rPr>
          <w:rFonts w:cs="Times New Roman" w:hint="eastAsia"/>
          <w:b/>
        </w:rPr>
        <w:t>7</w:t>
      </w:r>
      <w:r>
        <w:rPr>
          <w:rFonts w:hAnsi="楷体" w:cs="楷体" w:hint="eastAsia"/>
        </w:rPr>
        <w:t>月至</w:t>
      </w:r>
      <w:r>
        <w:rPr>
          <w:rFonts w:cs="Times New Roman" w:hint="eastAsia"/>
          <w:b/>
        </w:rPr>
        <w:t>9</w:t>
      </w:r>
      <w:r>
        <w:rPr>
          <w:rFonts w:hAnsi="楷体" w:cs="楷体" w:hint="eastAsia"/>
        </w:rPr>
        <w:t>月）：</w:t>
      </w:r>
      <w:r>
        <w:rPr>
          <w:rFonts w:hint="eastAsia"/>
        </w:rPr>
        <w:t>各区县要结合阶段性工作进展情况，针对整治行动中遇到的</w:t>
      </w:r>
      <w:bookmarkStart w:id="2" w:name="_Hlk194582027"/>
      <w:r>
        <w:rPr>
          <w:rFonts w:hint="eastAsia"/>
        </w:rPr>
        <w:t>难点堵点问题</w:t>
      </w:r>
      <w:bookmarkEnd w:id="2"/>
      <w:r>
        <w:rPr>
          <w:rFonts w:hint="eastAsia"/>
        </w:rPr>
        <w:t>，加强指导和研判，加大整治和攻坚，持续推进</w:t>
      </w:r>
      <w:r>
        <w:rPr>
          <w:rFonts w:hint="eastAsia"/>
        </w:rPr>
        <w:lastRenderedPageBreak/>
        <w:t>问题整改，严厉查处挂靠单位和挂靠人员。定期开展攻坚专题会商、进度通报，对</w:t>
      </w:r>
      <w:r>
        <w:t>进度缓慢的</w:t>
      </w:r>
      <w:r>
        <w:rPr>
          <w:rFonts w:hint="eastAsia"/>
        </w:rPr>
        <w:t>区县</w:t>
      </w:r>
      <w:r>
        <w:t>建设主管部门</w:t>
      </w:r>
      <w:r>
        <w:rPr>
          <w:rFonts w:hint="eastAsia"/>
        </w:rPr>
        <w:t>进行约谈。对重点案件实行提级办理，对</w:t>
      </w:r>
      <w:r>
        <w:rPr>
          <w:rFonts w:hAnsi="宋体" w:cs="宋体" w:hint="eastAsia"/>
        </w:rPr>
        <w:t>难点堵点问题</w:t>
      </w:r>
      <w:r>
        <w:rPr>
          <w:rFonts w:hint="eastAsia"/>
        </w:rPr>
        <w:t>实施</w:t>
      </w:r>
      <w:bookmarkStart w:id="3" w:name="_Hlk194581805"/>
      <w:r>
        <w:rPr>
          <w:rFonts w:hint="eastAsia"/>
        </w:rPr>
        <w:t>挂牌督办</w:t>
      </w:r>
      <w:bookmarkEnd w:id="3"/>
      <w:r>
        <w:rPr>
          <w:rFonts w:hint="eastAsia"/>
        </w:rPr>
        <w:t>和清单销号，加大查处力度。</w:t>
      </w:r>
    </w:p>
    <w:p w:rsidR="008609C9" w:rsidRDefault="0076233D">
      <w:pPr>
        <w:widowControl w:val="0"/>
        <w:ind w:firstLine="643"/>
      </w:pPr>
      <w:r>
        <w:rPr>
          <w:rFonts w:ascii="楷体_GB2312" w:eastAsia="楷体_GB2312" w:hAnsi="楷体" w:cs="楷体" w:hint="eastAsia"/>
          <w:b/>
        </w:rPr>
        <w:t>（四）总结提升阶段</w:t>
      </w:r>
      <w:r>
        <w:rPr>
          <w:rFonts w:hAnsi="楷体" w:cs="楷体" w:hint="eastAsia"/>
        </w:rPr>
        <w:t>（</w:t>
      </w:r>
      <w:r>
        <w:rPr>
          <w:rFonts w:cs="Times New Roman" w:hint="eastAsia"/>
          <w:b/>
        </w:rPr>
        <w:t>2025</w:t>
      </w:r>
      <w:r>
        <w:rPr>
          <w:rFonts w:hAnsi="楷体" w:cs="楷体" w:hint="eastAsia"/>
        </w:rPr>
        <w:t>年</w:t>
      </w:r>
      <w:r>
        <w:rPr>
          <w:rFonts w:cs="Times New Roman" w:hint="eastAsia"/>
          <w:b/>
        </w:rPr>
        <w:t>10</w:t>
      </w:r>
      <w:r>
        <w:rPr>
          <w:rFonts w:hAnsi="楷体" w:cs="楷体" w:hint="eastAsia"/>
        </w:rPr>
        <w:t>月至</w:t>
      </w:r>
      <w:r>
        <w:rPr>
          <w:rFonts w:cs="Times New Roman" w:hint="eastAsia"/>
          <w:b/>
        </w:rPr>
        <w:t>11</w:t>
      </w:r>
      <w:r>
        <w:rPr>
          <w:rFonts w:hAnsi="楷体" w:cs="楷体" w:hint="eastAsia"/>
        </w:rPr>
        <w:t>月）：</w:t>
      </w:r>
      <w:r>
        <w:rPr>
          <w:rFonts w:hint="eastAsia"/>
        </w:rPr>
        <w:t>各区县要及时总结整治成果，分析主要问题，梳理典型案例，完善规章制度，不断健全招投标治理长效机制。形成整治总结报告，于</w:t>
      </w:r>
      <w:r>
        <w:rPr>
          <w:rFonts w:cs="Times New Roman" w:hint="eastAsia"/>
        </w:rPr>
        <w:t>2025</w:t>
      </w:r>
      <w:r>
        <w:rPr>
          <w:rFonts w:hint="eastAsia"/>
        </w:rPr>
        <w:t>年</w:t>
      </w:r>
      <w:r w:rsidR="005F0C83">
        <w:rPr>
          <w:rFonts w:cs="Times New Roman"/>
        </w:rPr>
        <w:t>10</w:t>
      </w:r>
      <w:r>
        <w:rPr>
          <w:rFonts w:hint="eastAsia"/>
        </w:rPr>
        <w:t>月</w:t>
      </w:r>
      <w:r w:rsidR="005F0C83">
        <w:rPr>
          <w:rFonts w:cs="Times New Roman"/>
        </w:rPr>
        <w:t>15</w:t>
      </w:r>
      <w:r>
        <w:rPr>
          <w:rFonts w:hint="eastAsia"/>
        </w:rPr>
        <w:t>日前统一上报至市建设局。</w:t>
      </w:r>
    </w:p>
    <w:p w:rsidR="008609C9" w:rsidRDefault="0076233D">
      <w:pPr>
        <w:widowControl w:val="0"/>
        <w:ind w:firstLine="640"/>
        <w:rPr>
          <w:rFonts w:ascii="黑体" w:eastAsia="黑体" w:hAnsi="黑体"/>
        </w:rPr>
      </w:pPr>
      <w:r>
        <w:rPr>
          <w:rFonts w:ascii="黑体" w:eastAsia="黑体" w:hAnsi="黑体" w:hint="eastAsia"/>
        </w:rPr>
        <w:t>五</w:t>
      </w:r>
      <w:r>
        <w:rPr>
          <w:rFonts w:ascii="黑体" w:eastAsia="黑体" w:hAnsi="黑体"/>
        </w:rPr>
        <w:t>、</w:t>
      </w:r>
      <w:r>
        <w:rPr>
          <w:rFonts w:ascii="黑体" w:eastAsia="黑体" w:hAnsi="黑体" w:hint="eastAsia"/>
        </w:rPr>
        <w:t>工作要求</w:t>
      </w:r>
    </w:p>
    <w:p w:rsidR="008609C9" w:rsidRDefault="0076233D">
      <w:pPr>
        <w:widowControl w:val="0"/>
        <w:ind w:firstLine="643"/>
      </w:pPr>
      <w:r>
        <w:rPr>
          <w:rFonts w:ascii="楷体_GB2312" w:eastAsia="楷体_GB2312" w:hAnsi="楷体" w:cs="楷体" w:hint="eastAsia"/>
          <w:b/>
        </w:rPr>
        <w:t>（一）加强组织领导。</w:t>
      </w:r>
      <w:r>
        <w:rPr>
          <w:rFonts w:hAnsi="楷体" w:cs="楷体" w:hint="eastAsia"/>
        </w:rPr>
        <w:t>各区县</w:t>
      </w:r>
      <w:r>
        <w:rPr>
          <w:rFonts w:hint="eastAsia"/>
        </w:rPr>
        <w:t>建设主管部门要进一步统一思想，提高站位，切实加强组织领导，压实工作责任，推进整治各项工作落到实处、取得实效。市建设局将加强督促和指导，对整治工作开展</w:t>
      </w:r>
      <w:r>
        <w:t>进度缓慢，</w:t>
      </w:r>
      <w:r>
        <w:rPr>
          <w:rFonts w:hint="eastAsia"/>
        </w:rPr>
        <w:t>整治不到位、整治成效不明显的，将会同纪检监察部门进行工作提醒。</w:t>
      </w:r>
    </w:p>
    <w:p w:rsidR="008609C9" w:rsidRDefault="0076233D">
      <w:pPr>
        <w:widowControl w:val="0"/>
        <w:ind w:firstLine="643"/>
      </w:pPr>
      <w:r>
        <w:rPr>
          <w:rFonts w:ascii="楷体_GB2312" w:eastAsia="楷体_GB2312" w:hAnsi="楷体" w:cs="楷体" w:hint="eastAsia"/>
          <w:b/>
        </w:rPr>
        <w:t>（二）加强工作协同。</w:t>
      </w:r>
      <w:r>
        <w:rPr>
          <w:rFonts w:hAnsi="楷体" w:cs="楷体" w:hint="eastAsia"/>
        </w:rPr>
        <w:t>各区县</w:t>
      </w:r>
      <w:r>
        <w:rPr>
          <w:rFonts w:hint="eastAsia"/>
        </w:rPr>
        <w:t>建设主管部门要聚焦标前标中标后全链条全过程监管，整合工作力量，推进整治工作。要加强同纪检监察、司法、公安等部门协作，对查实的违法违规行为，依法依规给予行政处罚、信用扣分、准入限制、移送移交等处理，形成联合惩戒机制。</w:t>
      </w:r>
    </w:p>
    <w:p w:rsidR="008609C9" w:rsidRDefault="0076233D">
      <w:pPr>
        <w:widowControl w:val="0"/>
        <w:ind w:firstLine="643"/>
      </w:pPr>
      <w:r>
        <w:rPr>
          <w:rFonts w:ascii="楷体_GB2312" w:eastAsia="楷体_GB2312" w:hAnsi="楷体" w:cs="楷体" w:hint="eastAsia"/>
          <w:b/>
        </w:rPr>
        <w:t>（三）健全长效机制。</w:t>
      </w:r>
      <w:r>
        <w:rPr>
          <w:rFonts w:hAnsi="楷体" w:cs="楷体" w:hint="eastAsia"/>
        </w:rPr>
        <w:t>各区县</w:t>
      </w:r>
      <w:r>
        <w:rPr>
          <w:rFonts w:hint="eastAsia"/>
        </w:rPr>
        <w:t>建设主管部门要在总结整治成效基础上，聚焦招投标监管主要短板弱项，加快完善工作制度，健全建筑市场和施工现场联动的长效机制。</w:t>
      </w:r>
    </w:p>
    <w:p w:rsidR="008609C9" w:rsidRDefault="0076233D">
      <w:pPr>
        <w:widowControl w:val="0"/>
        <w:ind w:firstLine="643"/>
      </w:pPr>
      <w:r>
        <w:rPr>
          <w:rFonts w:ascii="楷体_GB2312" w:eastAsia="楷体_GB2312" w:hAnsi="楷体" w:cs="楷体" w:hint="eastAsia"/>
          <w:b/>
        </w:rPr>
        <w:lastRenderedPageBreak/>
        <w:t>（四）做好信息报送。</w:t>
      </w:r>
      <w:r>
        <w:rPr>
          <w:rFonts w:hint="eastAsia"/>
        </w:rPr>
        <w:t>各区县建设主管部门要及时上报整治工作进展、典型案例，以及查处企业和人员情况，相关情况每月</w:t>
      </w:r>
      <w:r>
        <w:rPr>
          <w:rFonts w:cs="Times New Roman" w:hint="eastAsia"/>
        </w:rPr>
        <w:t>1</w:t>
      </w:r>
      <w:r>
        <w:rPr>
          <w:rFonts w:hint="eastAsia"/>
        </w:rPr>
        <w:t>日前上报市建设局。</w:t>
      </w:r>
    </w:p>
    <w:sectPr w:rsidR="008609C9" w:rsidSect="005F0C83">
      <w:footerReference w:type="even" r:id="rId8"/>
      <w:footerReference w:type="first" r:id="rId9"/>
      <w:pgSz w:w="11906" w:h="16838"/>
      <w:pgMar w:top="1440" w:right="1800" w:bottom="1440" w:left="1800" w:header="850" w:footer="818" w:gutter="0"/>
      <w:cols w:space="720"/>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DDD" w:rsidRDefault="007C5DDD">
      <w:pPr>
        <w:spacing w:line="240" w:lineRule="auto"/>
        <w:ind w:firstLine="640"/>
      </w:pPr>
      <w:r>
        <w:separator/>
      </w:r>
    </w:p>
  </w:endnote>
  <w:endnote w:type="continuationSeparator" w:id="0">
    <w:p w:rsidR="007C5DDD" w:rsidRDefault="007C5DD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998199"/>
      <w:docPartObj>
        <w:docPartGallery w:val="Page Numbers (Bottom of Page)"/>
        <w:docPartUnique/>
      </w:docPartObj>
    </w:sdtPr>
    <w:sdtEndPr/>
    <w:sdtContent>
      <w:p w:rsidR="005F0C83" w:rsidRDefault="005F0C83" w:rsidP="005F0C83">
        <w:pPr>
          <w:pStyle w:val="a3"/>
          <w:ind w:firstLineChars="0" w:firstLine="0"/>
        </w:pPr>
        <w:r>
          <w:t xml:space="preserve">— </w:t>
        </w:r>
        <w:r>
          <w:fldChar w:fldCharType="begin"/>
        </w:r>
        <w:r>
          <w:instrText>PAGE   \* MERGEFORMAT</w:instrText>
        </w:r>
        <w:r>
          <w:fldChar w:fldCharType="separate"/>
        </w:r>
        <w:r w:rsidR="003E3F2E" w:rsidRPr="003E3F2E">
          <w:rPr>
            <w:noProof/>
            <w:lang w:val="zh-CN"/>
          </w:rPr>
          <w:t>4</w:t>
        </w:r>
        <w:r>
          <w:fldChar w:fldCharType="end"/>
        </w:r>
        <w:r>
          <w:t xml:space="preserve"> —</w:t>
        </w:r>
      </w:p>
      <w:p w:rsidR="008609C9" w:rsidRDefault="007C5DDD" w:rsidP="005F0C83">
        <w:pPr>
          <w:pStyle w:val="a3"/>
          <w:ind w:firstLineChars="0" w:firstLine="0"/>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9C9" w:rsidRDefault="0076233D">
    <w:pPr>
      <w:spacing w:line="259" w:lineRule="auto"/>
      <w:ind w:right="107" w:firstLine="360"/>
      <w:jc w:val="right"/>
    </w:pPr>
    <w:r>
      <w:rPr>
        <w:rFonts w:ascii="Calibri" w:eastAsia="Calibri" w:hAnsi="Calibri" w:cs="Calibri"/>
        <w:sz w:val="18"/>
      </w:rPr>
      <w:t xml:space="preserve">— </w:t>
    </w:r>
    <w:r>
      <w:fldChar w:fldCharType="begin"/>
    </w:r>
    <w:r>
      <w:instrText xml:space="preserve"> PAGE   \* MERGEFORMAT </w:instrText>
    </w:r>
    <w:r>
      <w:fldChar w:fldCharType="separate"/>
    </w:r>
    <w:r>
      <w:rPr>
        <w:rFonts w:ascii="Calibri" w:eastAsia="Calibri" w:hAnsi="Calibri" w:cs="Calibri"/>
        <w:sz w:val="18"/>
      </w:rPr>
      <w:t>1</w:t>
    </w:r>
    <w:r>
      <w:rPr>
        <w:rFonts w:ascii="Calibri" w:eastAsia="Calibri" w:hAnsi="Calibri" w:cs="Calibri"/>
        <w:sz w:val="18"/>
      </w:rPr>
      <w:fldChar w:fldCharType="end"/>
    </w: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DDD" w:rsidRDefault="007C5DDD">
      <w:pPr>
        <w:spacing w:line="240" w:lineRule="auto"/>
        <w:ind w:firstLine="640"/>
      </w:pPr>
      <w:r>
        <w:separator/>
      </w:r>
    </w:p>
  </w:footnote>
  <w:footnote w:type="continuationSeparator" w:id="0">
    <w:p w:rsidR="007C5DDD" w:rsidRDefault="007C5DDD">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evenAndOddHeaders/>
  <w:drawingGridHorizontalSpacing w:val="160"/>
  <w:drawingGridVerticalSpacing w:val="43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B7"/>
    <w:rsid w:val="000508CE"/>
    <w:rsid w:val="00061168"/>
    <w:rsid w:val="000D13C8"/>
    <w:rsid w:val="00125007"/>
    <w:rsid w:val="00157484"/>
    <w:rsid w:val="0020768D"/>
    <w:rsid w:val="002A2C6E"/>
    <w:rsid w:val="002B59F8"/>
    <w:rsid w:val="002D5196"/>
    <w:rsid w:val="003E3F2E"/>
    <w:rsid w:val="00541A0A"/>
    <w:rsid w:val="00542891"/>
    <w:rsid w:val="0057755F"/>
    <w:rsid w:val="005F0C83"/>
    <w:rsid w:val="006337B7"/>
    <w:rsid w:val="006F5FDD"/>
    <w:rsid w:val="00710211"/>
    <w:rsid w:val="00730A42"/>
    <w:rsid w:val="0076233D"/>
    <w:rsid w:val="007A3C48"/>
    <w:rsid w:val="007C5DDD"/>
    <w:rsid w:val="008609C9"/>
    <w:rsid w:val="009F73EB"/>
    <w:rsid w:val="00A017CA"/>
    <w:rsid w:val="00C22B79"/>
    <w:rsid w:val="00EB48E1"/>
    <w:rsid w:val="00F07EB2"/>
    <w:rsid w:val="00F353E5"/>
    <w:rsid w:val="09662A56"/>
    <w:rsid w:val="09C44637"/>
    <w:rsid w:val="09E8223D"/>
    <w:rsid w:val="0BC10A59"/>
    <w:rsid w:val="0E73328D"/>
    <w:rsid w:val="114D0E40"/>
    <w:rsid w:val="12187F99"/>
    <w:rsid w:val="1491423A"/>
    <w:rsid w:val="178F7E6C"/>
    <w:rsid w:val="254607FF"/>
    <w:rsid w:val="26F75ED2"/>
    <w:rsid w:val="28BE2B41"/>
    <w:rsid w:val="29AE6A47"/>
    <w:rsid w:val="2A8E732A"/>
    <w:rsid w:val="2E50708B"/>
    <w:rsid w:val="33D04F2E"/>
    <w:rsid w:val="341336B6"/>
    <w:rsid w:val="34413B28"/>
    <w:rsid w:val="38330488"/>
    <w:rsid w:val="392E0682"/>
    <w:rsid w:val="397433C8"/>
    <w:rsid w:val="3B3A6982"/>
    <w:rsid w:val="3BD32009"/>
    <w:rsid w:val="3F9C5ACF"/>
    <w:rsid w:val="406C5687"/>
    <w:rsid w:val="443122F0"/>
    <w:rsid w:val="458774C9"/>
    <w:rsid w:val="49420E40"/>
    <w:rsid w:val="4AA77B5A"/>
    <w:rsid w:val="51380D91"/>
    <w:rsid w:val="51C6617F"/>
    <w:rsid w:val="524A410F"/>
    <w:rsid w:val="591B5988"/>
    <w:rsid w:val="5BAD72C0"/>
    <w:rsid w:val="5C180120"/>
    <w:rsid w:val="5F863DCD"/>
    <w:rsid w:val="602E4C64"/>
    <w:rsid w:val="621B4C7B"/>
    <w:rsid w:val="63965E61"/>
    <w:rsid w:val="64675464"/>
    <w:rsid w:val="65F258B0"/>
    <w:rsid w:val="671A7DD7"/>
    <w:rsid w:val="69953B5E"/>
    <w:rsid w:val="69F32148"/>
    <w:rsid w:val="6A2752C3"/>
    <w:rsid w:val="6AE501C1"/>
    <w:rsid w:val="6B8A29B5"/>
    <w:rsid w:val="6D6379F1"/>
    <w:rsid w:val="6EE938FE"/>
    <w:rsid w:val="74AA02EB"/>
    <w:rsid w:val="77165C89"/>
    <w:rsid w:val="7797130E"/>
    <w:rsid w:val="78EC1722"/>
    <w:rsid w:val="7A061B80"/>
    <w:rsid w:val="7AA02EC0"/>
    <w:rsid w:val="7B7E431F"/>
    <w:rsid w:val="7BE35C31"/>
    <w:rsid w:val="7EFA1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CE46C1"/>
  <w15:docId w15:val="{4A4A6138-12E8-4B83-BED5-925FE4EC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600" w:lineRule="exact"/>
      <w:ind w:firstLineChars="200" w:firstLine="200"/>
      <w:jc w:val="both"/>
    </w:pPr>
    <w:rPr>
      <w:rFonts w:eastAsia="仿宋_GB2312" w:cs="仿宋"/>
      <w:color w:val="000000"/>
      <w:kern w:val="2"/>
      <w:sz w:val="32"/>
      <w:szCs w:val="22"/>
    </w:rPr>
  </w:style>
  <w:style w:type="paragraph" w:styleId="1">
    <w:name w:val="heading 1"/>
    <w:next w:val="a"/>
    <w:link w:val="10"/>
    <w:uiPriority w:val="9"/>
    <w:unhideWhenUsed/>
    <w:qFormat/>
    <w:pPr>
      <w:keepNext/>
      <w:keepLines/>
      <w:spacing w:after="236" w:line="259" w:lineRule="auto"/>
      <w:ind w:left="936" w:hanging="10"/>
      <w:outlineLvl w:val="0"/>
    </w:pPr>
    <w:rPr>
      <w:rFonts w:ascii="黑体" w:eastAsia="黑体" w:hAnsi="黑体" w:cs="黑体"/>
      <w:color w:val="000000"/>
      <w:kern w:val="2"/>
      <w:sz w:val="32"/>
      <w:szCs w:val="22"/>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character" w:customStyle="1" w:styleId="10">
    <w:name w:val="标题 1 字符"/>
    <w:link w:val="1"/>
    <w:qFormat/>
    <w:rPr>
      <w:rFonts w:ascii="黑体" w:eastAsia="黑体" w:hAnsi="黑体" w:cs="黑体"/>
      <w:color w:val="000000"/>
      <w:sz w:val="32"/>
    </w:rPr>
  </w:style>
  <w:style w:type="character" w:customStyle="1" w:styleId="a6">
    <w:name w:val="页眉 字符"/>
    <w:basedOn w:val="a0"/>
    <w:link w:val="a5"/>
    <w:uiPriority w:val="99"/>
    <w:qFormat/>
    <w:rPr>
      <w:rFonts w:ascii="仿宋" w:eastAsia="仿宋" w:hAnsi="仿宋" w:cs="仿宋"/>
      <w:color w:val="000000"/>
      <w:sz w:val="18"/>
      <w:szCs w:val="18"/>
    </w:rPr>
  </w:style>
  <w:style w:type="character" w:customStyle="1" w:styleId="50">
    <w:name w:val="标题 5 字符"/>
    <w:basedOn w:val="a0"/>
    <w:link w:val="5"/>
    <w:uiPriority w:val="9"/>
    <w:semiHidden/>
    <w:qFormat/>
    <w:rPr>
      <w:rFonts w:ascii="仿宋" w:eastAsia="仿宋" w:hAnsi="仿宋" w:cs="仿宋"/>
      <w:b/>
      <w:bCs/>
      <w:color w:val="000000"/>
      <w:sz w:val="28"/>
      <w:szCs w:val="28"/>
    </w:rPr>
  </w:style>
  <w:style w:type="paragraph" w:styleId="a7">
    <w:name w:val="Balloon Text"/>
    <w:basedOn w:val="a"/>
    <w:link w:val="a8"/>
    <w:uiPriority w:val="99"/>
    <w:semiHidden/>
    <w:unhideWhenUsed/>
    <w:rsid w:val="005F0C83"/>
    <w:pPr>
      <w:spacing w:line="240" w:lineRule="auto"/>
    </w:pPr>
    <w:rPr>
      <w:sz w:val="18"/>
      <w:szCs w:val="18"/>
    </w:rPr>
  </w:style>
  <w:style w:type="character" w:customStyle="1" w:styleId="a8">
    <w:name w:val="批注框文本 字符"/>
    <w:basedOn w:val="a0"/>
    <w:link w:val="a7"/>
    <w:uiPriority w:val="99"/>
    <w:semiHidden/>
    <w:rsid w:val="005F0C83"/>
    <w:rPr>
      <w:rFonts w:eastAsia="仿宋_GB2312" w:cs="仿宋"/>
      <w:color w:val="000000"/>
      <w:kern w:val="2"/>
      <w:sz w:val="18"/>
      <w:szCs w:val="18"/>
    </w:rPr>
  </w:style>
  <w:style w:type="character" w:customStyle="1" w:styleId="a4">
    <w:name w:val="页脚 字符"/>
    <w:basedOn w:val="a0"/>
    <w:link w:val="a3"/>
    <w:uiPriority w:val="99"/>
    <w:rsid w:val="005F0C83"/>
    <w:rPr>
      <w:rFonts w:eastAsia="仿宋_GB2312" w:cs="仿宋"/>
      <w:color w:val="000000"/>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554D84-115F-4542-B68A-12A6E46F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298</Words>
  <Characters>1701</Characters>
  <Application>Microsoft Office Word</Application>
  <DocSecurity>0</DocSecurity>
  <Lines>14</Lines>
  <Paragraphs>3</Paragraphs>
  <ScaleCrop>false</ScaleCrop>
  <Company>微软中国</Company>
  <LinksUpToDate>false</LinksUpToDate>
  <CharactersWithSpaces>1996</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2025-04-03T03:40:00Z</dcterms:created>
  <dc:creator>user</dc:creator>
  <lastModifiedBy>微软用户</lastModifiedBy>
  <lastPrinted>2025-04-08T00:59:00Z</lastPrinted>
  <dcterms:modified xsi:type="dcterms:W3CDTF">2025-04-09T01:52:00Z</dcterms:modified>
  <revision>15</revision>
  <dc:title>浙江省住房和城乡建设厅文件</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