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开展浙江省跨境电商高质量发展专项激励的通知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为认真落实《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浙江省加力推动跨境电商高质量发展行动计划（202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4—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2027年）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《关于加力推动跨境电商高质量发展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 培育外贸新动能的若干财政政策措施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我县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拟开展浙江省跨境电商高质量发展专项激励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及细则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见附件。</w:t>
      </w:r>
      <w:r>
        <w:rPr>
          <w:rFonts w:hint="eastAsia" w:eastAsia="仿宋_GB2312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（PDF格式及word格式各一份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纸质材料二份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需在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woUserID w:val="1"/>
        </w:rPr>
        <w:t>22</w:t>
      </w:r>
      <w:bookmarkStart w:id="1" w:name="_GoBack"/>
      <w:bookmarkEnd w:id="1"/>
      <w:r>
        <w:rPr>
          <w:rFonts w:eastAsia="仿宋_GB2312"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  <w:lang w:val="en-US" w:eastAsia="zh-CN"/>
        </w:rPr>
        <w:t>反馈至县商务局电商科。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联系人：张雨薇，联系电话：5923644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安吉县商务局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2024年1</w:t>
      </w:r>
      <w:r>
        <w:rPr>
          <w:rFonts w:hint="default" w:eastAsia="仿宋_GB2312"/>
          <w:sz w:val="32"/>
          <w:szCs w:val="32"/>
          <w:lang w:eastAsia="zh-CN"/>
          <w:woUserID w:val="1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default" w:eastAsia="仿宋_GB2312"/>
          <w:sz w:val="32"/>
          <w:szCs w:val="32"/>
          <w:lang w:eastAsia="zh-CN"/>
          <w:woUserID w:val="1"/>
        </w:rPr>
        <w:t>16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浙江省商务厅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 xml:space="preserve"> 浙江省财政厅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开展浙江省跨境电商高质量发展专项激励的通知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mainSend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各市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商务主管部门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（宁波不发）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义乌市市场发展委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为认真落实《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浙江省加力推动跨境电商高质量发展行动计划（202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4—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2027年）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《关于加力推动跨境电商高质量发展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 培育外贸新动能的若干财政政策措施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拟开展浙江省跨境电商高质量发展专项激励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。现就有关事项通知如下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专项激励原则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专项激励按照实绩为主、统筹兼顾的原则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评价各县（市、区）近三年跨境电商工作情况，定性与定量相结合，遴选推动浙江省跨境电商高质量发展试点县（市、区）予以专项激励。获评试点县（市、区）按照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《关于加力推动跨境电商高质量发展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 xml:space="preserve"> 培育外贸新动能的若干财政政策措施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要求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ar-SA"/>
        </w:rPr>
        <w:t>确定支持方向和重点项目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。专项激励实施期限为2025-2027年，为期3年。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二、专项激励内容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专项激励主要内容为各地推动跨境电商高质量发展，壮大跨境电商主体规模和出口规模，培育跨境电商产业链、供应链，打造跨境电商自主品牌，提升物流仓储、产业园区、人才等各类跨境电商配套服务支撑能力，积极探索实践符合产业特点和发展模式的便利化、规范化政策和创新举措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三、专项激励支持重点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获评专项激励试点的县（市、区）应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根据当前实际工作情况和需要，围绕“跨境电商+产业带”、跨境电商产业园区建设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及运营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重点领域，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提出重点项目清单，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突出引领示范作用发挥，带动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跨境电商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高质量发展。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支持项目需满足以下基本条件：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u w:val="none"/>
          <w:lang w:val="en-US" w:eastAsia="zh-CN"/>
        </w:rPr>
        <w:t>（一）“跨境电商+产业带”方面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重点支持跨境电商产业带展示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选品中心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线上产业带专区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公共服务中心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建设，要求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项目总投资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（包括投入，下同）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不低于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。其中，跨境电商产业带展示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选品中心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实际使用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面积不少于1000平方米，入驻供应商、卖家企业不少于50家，品牌种类不少于50个，产品类别不少于1000款。跨境电商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线上产业带专区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要求上架商品sku数量不少于1万个，线上专区年交易额不少于1亿元。跨境电商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公共服务中心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实际使用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面积不少于1000平方米，入驻服务商企业不少于20家。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（二）跨境电商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产业园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区建设及运营方面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重点支持跨境电商产业园（含跨境电商直播园区）基础设施建设、服务入驻企业等运营业务，促进园区规模化、品质化发展，要求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近三年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总投资不低于1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00万元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，当年度投资不低于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300万元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要求园区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入驻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的各类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跨境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电商企业（含跨境电商经营企业、跨境电商服务企业）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不少于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；以跨境电商经营企业（即卖家）为主的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园区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，年销售额不少于5亿元，纳入海关跨境电商监管平台进出口金额达到一定规模；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实际使用面积不少于1万平方米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其中，跨境电商直播园区要求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入驻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跨境电商直播、短视频相关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家及以上，入驻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跨境电商直播、短视频应用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企业年直播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交易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总额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highlight w:val="none"/>
          <w:lang w:val="en-US" w:eastAsia="zh-CN" w:bidi="ar-SA"/>
        </w:rPr>
        <w:t>达到一定规模，相关平台的直播账号数不少于10个。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</w:rPr>
        <w:t>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试点申报</w:t>
      </w:r>
      <w:r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县（市、区）</w:t>
      </w:r>
      <w:r>
        <w:rPr>
          <w:rFonts w:eastAsia="仿宋_GB2312"/>
          <w:sz w:val="32"/>
          <w:szCs w:val="32"/>
          <w:highlight w:val="none"/>
        </w:rPr>
        <w:t>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2022-2024年</w:t>
      </w:r>
      <w:r>
        <w:rPr>
          <w:rFonts w:eastAsia="仿宋_GB2312"/>
          <w:sz w:val="32"/>
          <w:szCs w:val="32"/>
          <w:highlight w:val="none"/>
        </w:rPr>
        <w:t>本地区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跨境电商</w:t>
      </w:r>
      <w:r>
        <w:rPr>
          <w:rFonts w:eastAsia="仿宋_GB2312"/>
          <w:sz w:val="32"/>
          <w:szCs w:val="32"/>
          <w:highlight w:val="none"/>
        </w:rPr>
        <w:t>工作情况进行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总结并提出2025年工作目标和具体举措，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要求定性和定量相结合（具体要求详见附件1）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同时</w:t>
      </w:r>
      <w:r>
        <w:rPr>
          <w:rFonts w:hint="default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提出拟支持方向和重点项目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，填报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申报表、重点项目信息表和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项目资金投入明细表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2-4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上述材料需在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反馈至</w:t>
      </w:r>
      <w:r>
        <w:rPr>
          <w:rFonts w:eastAsia="仿宋_GB2312"/>
          <w:sz w:val="32"/>
          <w:szCs w:val="32"/>
          <w:highlight w:val="none"/>
        </w:rPr>
        <w:t>所在设区市商务主管部门和财政部门（数据截止到本年度12月底）。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（二）试点初选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各设区市商务、财政部门根据申报县（市、区）2022-2024年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跨境电商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工作情况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和重点项目情况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认真查验相关材料，遴选符合条件、具有一定示范带动效用的县（市、区）参与竞争，出具推荐意见，并汇总提供推荐县（市、区）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项目清单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（附件5）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于202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日前将请示报告及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县（市、区）材料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（PDF格式及word格式各一份）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反馈至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省商务厅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贸发处。根据上一年度商务部综试区考评结果，位列第一、二、三档的跨境电商综试区可推荐县（市、区）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数量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4、3、2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  <w:t>）综合评定。</w:t>
      </w:r>
      <w:r>
        <w:rPr>
          <w:rFonts w:eastAsia="仿宋_GB2312"/>
          <w:sz w:val="32"/>
          <w:szCs w:val="32"/>
          <w:highlight w:val="none"/>
        </w:rPr>
        <w:t>按照公开、公平、公正的原则，省商务厅会同省财政厅组织评审小组开展综合评定工作。根据各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县（市、区）</w:t>
      </w:r>
      <w:r>
        <w:rPr>
          <w:rFonts w:eastAsia="仿宋_GB2312"/>
          <w:sz w:val="32"/>
          <w:szCs w:val="32"/>
          <w:highlight w:val="none"/>
        </w:rPr>
        <w:t>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总结</w:t>
      </w:r>
      <w:r>
        <w:rPr>
          <w:rFonts w:eastAsia="仿宋_GB2312"/>
          <w:sz w:val="32"/>
          <w:szCs w:val="32"/>
          <w:highlight w:val="none"/>
        </w:rPr>
        <w:t>材料、日常工作情况，重点按照跨境电商出口规模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主体培育、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产业园区建设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配套服务支撑体系建设、政策措施实施</w:t>
      </w:r>
      <w:r>
        <w:rPr>
          <w:rFonts w:eastAsia="仿宋_GB2312"/>
          <w:sz w:val="32"/>
          <w:szCs w:val="32"/>
          <w:highlight w:val="none"/>
        </w:rPr>
        <w:t>等定量与定性指标，结合各地财政资金使用绩效，并视情况开展实地抽样复核后形成最终评定结果。结果经公示无异议后，由省商务厅、省财政厅正式公布。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（一）加强组织领导。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各试点县（市、区）要进一步提高思想认识，对照年度目标，明确任务、举措和工作方案，扎实推进工作；同时，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制定资金管理办法、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项目实施方案，并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全程做好各项实施工作，严格审核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与项目支持内容相关的合同、发票、汇款凭证及其他证明材料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，确保财政资金安全高效，达到预期效果。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强化绩效管理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各试点县（市、区）要定期报送本地区跨境电商工作进展情况，并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项目实施进展情况报送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省和市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，重要情况须第一时间报送。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各设区市要切实加强对所辖试点县（市、区）的督导。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省商务厅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、省财政厅通过组织抽查、委托各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市等方式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加强监督，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适时通报工作评价结果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省商务厅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电商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处：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王乔斌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，联系电话：0571-8705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0825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省财政厅经建处：周  婧 ，联系电话：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0571-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87058454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附件：1.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2022-2024年跨境电商工作总结和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2025年工作计划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.浙江省跨境电商高质量发展试点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.浙江省跨境电商高质量发展试点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.项目资金投入明细表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.浙江省跨境电商高质量发展试点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 xml:space="preserve">浙江省商务厅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浙江省财政厅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ind w:firstLine="0"/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ind w:firstLine="0"/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ind w:firstLine="0"/>
        <w:jc w:val="left"/>
        <w:rPr>
          <w:rFonts w:hint="eastAsia" w:ascii="Times New Roman" w:hAnsi="Times New Roman" w:eastAsia="黑体"/>
          <w:b w:val="0"/>
          <w:bCs w:val="0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  <w:t>浙江省跨境电商高质量发展试点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重点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  <w:t>项目申报表</w:t>
      </w:r>
    </w:p>
    <w:p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Times New Roman" w:hAnsi="Times New Roman" w:eastAsia="楷体_GB2312" w:cs="楷体_GB2312"/>
          <w:b w:val="0"/>
          <w:bCs w:val="0"/>
          <w:color w:val="auto"/>
          <w:kern w:val="0"/>
          <w:sz w:val="22"/>
          <w:szCs w:val="22"/>
          <w:highlight w:val="none"/>
          <w:u w:val="none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2"/>
          <w:szCs w:val="22"/>
          <w:highlight w:val="none"/>
          <w:u w:val="none"/>
          <w:lang w:bidi="ar"/>
        </w:rPr>
        <w:t>（此表由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试点县（市、区）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2"/>
          <w:szCs w:val="22"/>
          <w:highlight w:val="none"/>
          <w:u w:val="none"/>
          <w:lang w:bidi="ar"/>
        </w:rPr>
        <w:t>填写）</w:t>
      </w:r>
    </w:p>
    <w:tbl>
      <w:tblPr>
        <w:tblStyle w:val="4"/>
        <w:tblW w:w="87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752"/>
        <w:gridCol w:w="2092"/>
        <w:gridCol w:w="24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地区</w:t>
            </w:r>
          </w:p>
        </w:tc>
        <w:tc>
          <w:tcPr>
            <w:tcW w:w="7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联系人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联系电话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项目名称</w:t>
            </w:r>
          </w:p>
        </w:tc>
        <w:tc>
          <w:tcPr>
            <w:tcW w:w="73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目标体系</w:t>
            </w:r>
          </w:p>
        </w:tc>
        <w:tc>
          <w:tcPr>
            <w:tcW w:w="7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提出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项目的总体工作目标和考核目标，定量和定性相结合。可从宏观层面把握，体现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在高质量发展项目带动下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投入情况等。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工作体系</w:t>
            </w:r>
          </w:p>
        </w:tc>
        <w:tc>
          <w:tcPr>
            <w:tcW w:w="7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拟重点开展的工作。尤其是明确示范项目推广的工作计划。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政策体系</w:t>
            </w:r>
          </w:p>
        </w:tc>
        <w:tc>
          <w:tcPr>
            <w:tcW w:w="7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当地已出台实施的对于企业实施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改造提升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的支持政策或拟出台的相关政策。尤其要明确对项目计划地方支持政策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工作保障</w:t>
            </w:r>
          </w:p>
        </w:tc>
        <w:tc>
          <w:tcPr>
            <w:tcW w:w="7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结合地方特点，提出亮点性的工作。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8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特别注意：</w:t>
            </w:r>
          </w:p>
          <w:p>
            <w:pPr>
              <w:adjustRightInd w:val="0"/>
              <w:snapToGrid w:val="0"/>
              <w:spacing w:line="240" w:lineRule="auto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请各地认真审核项目清单、仔细测算考核目标和政策措施，对其真实性负责，将作为项目评审和后期考核评价的依据。</w:t>
            </w: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内容真实有效，同意上报。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</w:rPr>
              <w:t>***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商务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</w:rPr>
              <w:t>局（盖章）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</w:rPr>
              <w:t>***财政局（盖章）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firstLine="5520" w:firstLineChars="23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u w:val="none"/>
              </w:rPr>
              <w:t xml:space="preserve">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0" w:beforeLines="50"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1984" w:right="1474" w:bottom="1984" w:left="1587" w:header="850" w:footer="1417" w:gutter="0"/>
          <w:pgNumType w:fmt="numberInDash"/>
          <w:cols w:space="720" w:num="1"/>
          <w:formProt w:val="0"/>
          <w:docGrid w:type="lines" w:linePitch="436" w:charSpace="0"/>
        </w:sectPr>
      </w:pPr>
    </w:p>
    <w:p>
      <w:pPr>
        <w:ind w:firstLine="0" w:firstLineChars="0"/>
        <w:jc w:val="left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40"/>
          <w:szCs w:val="40"/>
          <w:u w:val="none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u w:val="none"/>
        </w:rPr>
        <w:t>浙江省跨境电商高质量发展试点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重点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u w:val="none"/>
        </w:rPr>
        <w:t>项目信息表</w:t>
      </w:r>
    </w:p>
    <w:p>
      <w:pPr>
        <w:ind w:firstLine="0" w:firstLineChars="0"/>
        <w:jc w:val="center"/>
        <w:rPr>
          <w:rFonts w:hint="default" w:ascii="Times New Roman" w:hAnsi="Times New Roman" w:eastAsia="楷体" w:cs="Times New Roman"/>
          <w:b w:val="0"/>
          <w:bCs w:val="0"/>
          <w:color w:val="auto"/>
          <w:szCs w:val="32"/>
          <w:u w:val="none"/>
        </w:rPr>
      </w:pPr>
    </w:p>
    <w:p>
      <w:pPr>
        <w:spacing w:line="600" w:lineRule="auto"/>
        <w:ind w:firstLine="96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项目承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建单位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（盖章）：                       </w:t>
      </w:r>
    </w:p>
    <w:p>
      <w:pPr>
        <w:spacing w:line="600" w:lineRule="auto"/>
        <w:ind w:firstLine="96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项目名称：                                  </w:t>
      </w:r>
    </w:p>
    <w:p>
      <w:pPr>
        <w:spacing w:line="600" w:lineRule="auto"/>
        <w:ind w:firstLine="96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项目类型：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                                </w:t>
      </w:r>
    </w:p>
    <w:p>
      <w:pPr>
        <w:spacing w:line="600" w:lineRule="auto"/>
        <w:ind w:firstLine="96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企业类型：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贸易型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生产型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服务型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其它</w:t>
      </w:r>
    </w:p>
    <w:p>
      <w:pPr>
        <w:spacing w:line="600" w:lineRule="auto"/>
        <w:ind w:firstLine="96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所在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：        </w:t>
      </w:r>
    </w:p>
    <w:p>
      <w:pPr>
        <w:tabs>
          <w:tab w:val="left" w:pos="2941"/>
        </w:tabs>
        <w:spacing w:line="480" w:lineRule="auto"/>
        <w:ind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tabs>
          <w:tab w:val="left" w:pos="2941"/>
        </w:tabs>
        <w:spacing w:line="240" w:lineRule="auto"/>
        <w:ind w:firstLine="0" w:firstLineChars="0"/>
        <w:jc w:val="center"/>
        <w:rPr>
          <w:rFonts w:hint="default" w:ascii="Times New Roman" w:hAnsi="Times New Roman" w:eastAsia="楷体" w:cs="Times New Roman"/>
          <w:b w:val="0"/>
          <w:bCs w:val="0"/>
          <w:color w:val="auto"/>
          <w:sz w:val="20"/>
          <w:szCs w:val="20"/>
          <w:u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Cs w:val="32"/>
          <w:u w:val="none"/>
        </w:rPr>
        <w:br w:type="page"/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882"/>
        <w:gridCol w:w="998"/>
        <w:gridCol w:w="1247"/>
        <w:gridCol w:w="276"/>
        <w:gridCol w:w="1650"/>
        <w:gridCol w:w="199"/>
        <w:gridCol w:w="1062"/>
        <w:gridCol w:w="156"/>
        <w:gridCol w:w="10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项目承担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名称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单位性质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外资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合资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内资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sym w:font="Wingdings 2" w:char="00A3"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法定代表人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单位地址</w:t>
            </w:r>
          </w:p>
        </w:tc>
        <w:tc>
          <w:tcPr>
            <w:tcW w:w="4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社会信用代码</w:t>
            </w:r>
          </w:p>
        </w:tc>
        <w:tc>
          <w:tcPr>
            <w:tcW w:w="4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（万元）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总资产（万元）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净资产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（万元）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年跨境电商额（万元）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年营业收入（万元）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年利润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（万元）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yellow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单位简介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（重点是与跨境电商相关的情况）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yellow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项目负责人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联系人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联系电话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项目名称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项目类型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注：跨境电商产业带展示选品中心、线上产业带专区方面、公共服务中心方面、产业园区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等四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种类型选择其中一项或多项。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项目起止时间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（投入）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（万元）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申报期内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投入）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（万元）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项目建设地址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项目建设内容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项目分年度建设进度计划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完成投资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（投入）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项目实施进度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12月31日前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9月30日前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本年度申请补助资金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（万元）</w:t>
            </w:r>
          </w:p>
        </w:tc>
        <w:tc>
          <w:tcPr>
            <w:tcW w:w="5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支持内容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已开支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拟支出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支持内容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已开支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拟支出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设备购置费用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（万元）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技术购置费用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（万元）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软件购置费用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（万元）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信息资料购置费用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（万元）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建设费用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（万元）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  <w:t>其他费用（万元）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项目建设情况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项目概述：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介绍项目实施的必要性、可行性、先进性以及实施预期目标，通过项目实施前后的效果比较，与国内外先进水平的比较，分析项目实施对于相关单位在投入产出、运营成本、模式创新、服务促进、扩大跨境电商规模等方面的突出作用，以及对示范引领的积极影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主要做法：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项目围绕提升核心竞争能力，从管理运营、模式创新、平台建设、服务绩效等方面论述项目实施的主要目标、建设内容及实施效果。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绩效考核指标：</w:t>
            </w:r>
          </w:p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经济效益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主要指标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（体现可新增的跨境电商交易额、利润等）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主要指标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可持续效应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主要指标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项目获得政府性资金支持情况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项目前期报批情况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能评、环评、安评等各项前置审批及完成情况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项目示范带动作用</w:t>
            </w:r>
          </w:p>
        </w:tc>
        <w:tc>
          <w:tcPr>
            <w:tcW w:w="75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9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  <w:t>承诺意见：</w:t>
            </w: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1.本项目未违反国家产业政策、环保政策。</w:t>
            </w: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申报期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本项目未获得过中央和省级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商务类财政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专项资金补助。</w:t>
            </w: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3.本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企业未列入严重失信名单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近三年未发生重大安全生产责任事故。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.本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承诺所填内容真实有效。</w:t>
            </w:r>
          </w:p>
          <w:p>
            <w:pPr>
              <w:spacing w:line="240" w:lineRule="auto"/>
              <w:ind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 xml:space="preserve">                                              </w:t>
            </w:r>
          </w:p>
          <w:p>
            <w:pPr>
              <w:spacing w:line="240" w:lineRule="auto"/>
              <w:ind w:left="0" w:leftChars="0" w:firstLine="5119" w:firstLineChars="2133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项目承担企业（盖章）</w:t>
            </w:r>
          </w:p>
          <w:p>
            <w:pPr>
              <w:spacing w:line="240" w:lineRule="auto"/>
              <w:ind w:left="0" w:leftChars="0" w:firstLine="5119" w:firstLineChars="2133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日</w:t>
            </w:r>
          </w:p>
        </w:tc>
      </w:tr>
    </w:tbl>
    <w:p>
      <w:pPr>
        <w:pStyle w:val="2"/>
        <w:ind w:firstLine="0" w:firstLineChars="0"/>
        <w:rPr>
          <w:rFonts w:eastAsia="仿宋"/>
          <w:b w:val="0"/>
          <w:bCs w:val="0"/>
          <w:color w:val="auto"/>
          <w:u w:val="none"/>
        </w:rPr>
        <w:sectPr>
          <w:pgSz w:w="11906" w:h="16838"/>
          <w:pgMar w:top="2098" w:right="1587" w:bottom="1587" w:left="1587" w:header="850" w:footer="1417" w:gutter="0"/>
          <w:pgNumType w:fmt="numberInDash"/>
          <w:cols w:space="720" w:num="1"/>
          <w:docGrid w:type="lines" w:linePitch="436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>
      <w:pPr>
        <w:pStyle w:val="2"/>
        <w:ind w:firstLine="641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___________________项目资金投入明细表</w:t>
      </w:r>
    </w:p>
    <w:p>
      <w:pPr>
        <w:pStyle w:val="2"/>
        <w:ind w:firstLine="641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u w:val="none"/>
          <w:lang w:val="zh-CN" w:eastAsia="zh-CN"/>
        </w:rPr>
        <w:t>（填报单位：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 xml:space="preserve">            ）</w:t>
      </w:r>
    </w:p>
    <w:p>
      <w:pPr>
        <w:pStyle w:val="8"/>
        <w:spacing w:line="560" w:lineRule="exact"/>
        <w:ind w:firstLine="0" w:firstLineChars="0"/>
        <w:jc w:val="right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u w:val="none"/>
          <w:lang w:val="zh-CN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u w:val="none"/>
          <w:lang w:val="zh-CN" w:eastAsia="zh-CN"/>
        </w:rPr>
        <w:t>单位：万元</w:t>
      </w:r>
    </w:p>
    <w:tbl>
      <w:tblPr>
        <w:tblStyle w:val="5"/>
        <w:tblW w:w="8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171"/>
        <w:gridCol w:w="1266"/>
        <w:gridCol w:w="1266"/>
        <w:gridCol w:w="126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36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支持内容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序号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费用名称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已开支费用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拟支出费用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设备购置费用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.....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软件购置费用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技术购置费用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信息资料购置费用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建设</w:t>
            </w: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费用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其他费用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36" w:type="dxa"/>
            <w:vMerge w:val="continue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6" w:type="dxa"/>
            <w:vMerge w:val="continue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eastAsia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6" w:type="dxa"/>
            <w:noWrap w:val="0"/>
            <w:vAlign w:val="top"/>
          </w:tcPr>
          <w:p>
            <w:pPr>
              <w:pStyle w:val="8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  <w:r>
              <w:rPr>
                <w:rFonts w:hint="default" w:eastAsia="方正小标宋简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  <w:t>累计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zh-CN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zh-CN" w:eastAsia="zh-CN"/>
        </w:rPr>
        <w:t>注：拟支出费用指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年1月1日至202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年9月30日前拟实施完成的项目相关支出费用预估值，项目已实施完成的不用填写。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ind w:firstLine="0" w:firstLineChars="0"/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</w:p>
    <w:p>
      <w:pPr>
        <w:ind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u w:val="none"/>
        </w:rPr>
        <w:t>浙江省跨境电商高质量发展试点重点项目清单</w:t>
      </w:r>
    </w:p>
    <w:p>
      <w:pPr>
        <w:pStyle w:val="7"/>
        <w:jc w:val="right"/>
        <w:rPr>
          <w:rFonts w:hint="eastAsia" w:ascii="Times New Roman" w:hAnsi="Times New Roman" w:eastAsia="方正小标宋简体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28"/>
          <w:szCs w:val="28"/>
          <w:u w:val="none"/>
          <w:lang w:eastAsia="zh-CN"/>
        </w:rPr>
        <w:t>单位：万元</w:t>
      </w:r>
    </w:p>
    <w:tbl>
      <w:tblPr>
        <w:tblStyle w:val="4"/>
        <w:tblW w:w="10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22"/>
        <w:gridCol w:w="705"/>
        <w:gridCol w:w="795"/>
        <w:gridCol w:w="780"/>
        <w:gridCol w:w="813"/>
        <w:gridCol w:w="636"/>
        <w:gridCol w:w="426"/>
        <w:gridCol w:w="636"/>
        <w:gridCol w:w="636"/>
        <w:gridCol w:w="812"/>
        <w:gridCol w:w="465"/>
        <w:gridCol w:w="443"/>
        <w:gridCol w:w="426"/>
        <w:gridCol w:w="568"/>
        <w:gridCol w:w="42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6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设区市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县（市、区）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实施企业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建设内容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总投资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（投入）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项目类型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时间（年月）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时间（年月）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当前实施进度（%）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与支持内容相关费用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申请补助资金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项目负责人及联系方式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企业类型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  <w:t>实施地点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已开支</w:t>
            </w:r>
          </w:p>
        </w:tc>
        <w:tc>
          <w:tcPr>
            <w:tcW w:w="4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拟支出</w:t>
            </w: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0" w:firstLineChars="0"/>
        <w:jc w:val="left"/>
        <w:textAlignment w:val="auto"/>
        <w:rPr>
          <w:rFonts w:hint="eastAsia" w:ascii="Times New Roman" w:hAnsi="Times New Roman" w:cs="仿宋_GB2312"/>
          <w:b w:val="0"/>
          <w:bCs w:val="0"/>
          <w:color w:val="auto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eastAsia="zh-CN"/>
        </w:rPr>
        <w:t>项目类型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对应：跨境电商产业带展示选品中心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方面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、跨境电商线上产业带专区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方面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、跨境电商公共服务中心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方面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、跨境电商产业园区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方面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34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.当前实施进度：以投资额完成情况为主，适当结合项目形象进度测算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3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</w:rPr>
        <w:t>.企业类型：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eastAsia="zh-CN"/>
        </w:rPr>
        <w:t>生产型企业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、贸易型企业、服务型企业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34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zh-CN" w:eastAsia="zh-CN"/>
        </w:rPr>
        <w:t>拟支出费用指项目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申报日期至202</w:t>
      </w:r>
      <w:r>
        <w:rPr>
          <w:rFonts w:hint="eastAsia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年9月30日前拟实施完成的项目相关支出费用预估值，项目已实施完成的不用填</w:t>
      </w:r>
    </w:p>
    <w:p>
      <w:pPr>
        <w:ind w:firstLine="0" w:firstLineChars="0"/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</w:rPr>
      </w:pPr>
    </w:p>
    <w:p>
      <w:pPr>
        <w:ind w:firstLine="0"/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</w:rPr>
      </w:pPr>
    </w:p>
    <w:p>
      <w:pPr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eb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altName w:val="汉仪楷体KW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7B71"/>
    <w:rsid w:val="34717B71"/>
    <w:rsid w:val="77F8A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afterLines="0"/>
    </w:pPr>
    <w:rPr>
      <w:rFonts w:ascii="Times New Roman" w:hAnsi="Times New Roman" w:eastAsia="宋体" w:cs="Times New Roman"/>
      <w:sz w:val="30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Normal Indent1"/>
    <w:basedOn w:val="1"/>
    <w:qFormat/>
    <w:uiPriority w:val="0"/>
    <w:pPr>
      <w:spacing w:line="480" w:lineRule="auto"/>
      <w:ind w:firstLine="420"/>
    </w:pPr>
    <w:rPr>
      <w:rFonts w:eastAsia="宋体"/>
      <w:szCs w:val="21"/>
    </w:rPr>
  </w:style>
  <w:style w:type="paragraph" w:customStyle="1" w:styleId="8">
    <w:name w:val="text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0</Words>
  <Characters>0</Characters>
  <Lines>0</Lines>
  <Paragraphs>0</Paragraphs>
  <TotalTime>10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2024-12-11T11:22:00Z</dcterms:created>
  <dc:creator>LIN</dc:creator>
  <lastModifiedBy>LIN</lastModifiedBy>
  <dcterms:modified xsi:type="dcterms:W3CDTF">2024-12-16T09:32:16Z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369313448FF1408686C0B6E870584CF6_11</vt:lpwstr>
  </property>
</Properties>
</file>