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package/2006/relationships/metadata/thumbnail" Target="docProps/thumbnail.emf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  <Relationship Id="rId4" Type="http://schemas.openxmlformats.org/officeDocument/2006/relationships/custom-properties" Target="docProps/custom.xml"/>
  <Relationship Id="rId5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spacing w:line="600" w:lineRule="exact"/>
        <w:outlineLvl w:val="1"/>
        <w:rPr>
          <w:rFonts w:hint="default" w:ascii="Times New Roman" w:hAnsi="Times New Roman" w:eastAsia="黑体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0"/>
          <w:sz w:val="24"/>
          <w:szCs w:val="24"/>
          <w:lang w:val="en-US" w:eastAsia="zh-CN"/>
        </w:rPr>
        <w:t>附件2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spacing w:line="600" w:lineRule="exact"/>
        <w:jc w:val="center"/>
        <w:outlineLvl w:val="1"/>
        <w:rPr>
          <w:rFonts w:ascii="Times New Roman" w:hAnsi="Times New Roman" w:eastAsia="黑体" w:cs="Times New Roman"/>
          <w:b w:val="0"/>
          <w:bCs/>
          <w:kern w:val="0"/>
          <w:sz w:val="44"/>
          <w:szCs w:val="44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spacing w:line="600" w:lineRule="exact"/>
        <w:jc w:val="center"/>
        <w:outlineLvl w:val="1"/>
        <w:rPr>
          <w:rFonts w:ascii="Times New Roman" w:hAnsi="Times New Roman" w:eastAsia="黑体" w:cs="Times New Roman"/>
          <w:b w:val="0"/>
          <w:bCs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b w:val="0"/>
          <w:bCs/>
          <w:kern w:val="0"/>
          <w:sz w:val="44"/>
          <w:szCs w:val="44"/>
        </w:rPr>
        <w:t>2024年度湖州市揭榜挂帅项目榜单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spacing w:line="600" w:lineRule="exact"/>
        <w:outlineLvl w:val="1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spacing w:line="600" w:lineRule="exact"/>
        <w:ind w:firstLine="642" w:firstLineChars="200"/>
        <w:outlineLvl w:val="1"/>
        <w:rPr>
          <w:rFonts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kern w:val="0"/>
          <w:sz w:val="32"/>
          <w:szCs w:val="32"/>
        </w:rPr>
        <w:t>榜单1：特种材料关键技术研发及产业化</w:t>
      </w:r>
    </w:p>
    <w:p>
      <w:pPr>
        <w:widowControl/>
        <w:adjustRightInd w:val="0"/>
        <w:snapToGrid w:val="0"/>
        <w:spacing w:line="600" w:lineRule="exact"/>
        <w:ind w:firstLine="642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先进高折射率纳米光学材料关键技术研发；高精度高性能AR衍射光波导光学显示模组设计理论及批量制备关键技术研发；纳晶高韧超细钨丝关键技术研发；优化钠离子电池层状氧化物正极设计；高性能硬碳负极材料研究；局部高浓电解液兼具高离子通量研究；适合钠离子电池的极简电池结构和高效制备工艺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2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绩效目标：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色度均匀性30%、耦入效率80%、光能利用率≥500nit/lm，透过率≥85%；线径0.0275~0.0285mm，强度5800~6008mpa；圈径≥50mm，延伸率1~3%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，长度150km－350km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；循环寿命在5000次以上，能量密度在160Wh/Kg以上，-20℃时容量保持率不低于90%，在55℃时容量保持率不低于95%，满足电力储能电池安全性要求。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spacing w:line="600" w:lineRule="exact"/>
        <w:ind w:firstLine="642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申报主体：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创新联合体</w:t>
      </w:r>
    </w:p>
    <w:p>
      <w:pPr>
        <w:overflowPunct w:val="0"/>
        <w:autoSpaceDE w:val="0"/>
        <w:autoSpaceDN w:val="0"/>
        <w:spacing w:line="600" w:lineRule="exact"/>
        <w:ind w:firstLine="642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组织方式：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竞争性分配</w:t>
      </w:r>
    </w:p>
    <w:p>
      <w:pPr>
        <w:pStyle w:val="8"/>
        <w:widowControl/>
        <w:spacing w:line="600" w:lineRule="exact"/>
        <w:ind w:firstLine="643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攻关时限：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3年内</w:t>
      </w:r>
    </w:p>
    <w:p>
      <w:pPr>
        <w:pStyle w:val="8"/>
        <w:widowControl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*揭榜项目不要求绩效目标全覆盖</w:t>
      </w:r>
    </w:p>
    <w:p>
      <w:pPr>
        <w:spacing w:line="600" w:lineRule="exact"/>
        <w:rPr>
          <w:rFonts w:ascii="Times New Roman" w:hAnsi="Times New Roman" w:eastAsia="楷体_GB2312" w:cs="Times New Roman"/>
          <w:b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kern w:val="0"/>
          <w:sz w:val="32"/>
          <w:szCs w:val="32"/>
        </w:rPr>
        <w:t>榜单2：机器人关键技术研发及产业化</w:t>
      </w:r>
    </w:p>
    <w:p>
      <w:pPr>
        <w:widowControl/>
        <w:adjustRightInd w:val="0"/>
        <w:snapToGrid w:val="0"/>
        <w:spacing w:line="600" w:lineRule="exact"/>
        <w:ind w:firstLine="642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系列化机器人用精密高效特种减速一体化伺服电机产品研制；高效无刷空心杯伺服电机电磁设计技术；空心杯型绕组成型设计及制造技术；高效无刷空心杯伺服电机结构设计及制造技术；精密型减速器结构设计及制造技术、组件一体化集成技术；基于大模型认知感控算法的物流机器人核心控制器研制；基于大模型的认知导航算法研究；物流机器人在人车混行情况下基于大模型的高精度感知算法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bookmarkStart w:id="1" w:name="_GoBack"/>
      <w:bookmarkEnd w:id="1"/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spacing w:line="600" w:lineRule="exact"/>
        <w:ind w:firstLine="642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绩效目标：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精密高效特种电机最大效率达到85%以上，电机控制精度（回差）优于0.8°，谐波减速器传动误差和回空间隙精度优于3′，谐波减速器效率优于70%（整机），电机响应机电时间常数≤5ms，电机额定转速大于12000rpm，产品体积≤φ16mm×50mm，产品重量≤65g；防护等级不低于IP55，建图范围10万平方米以上</w:t>
      </w:r>
      <w:bookmarkStart w:id="0" w:name="_Hlk169092314"/>
      <w:r>
        <w:rPr>
          <w:rFonts w:ascii="Times New Roman" w:hAnsi="Times New Roman" w:eastAsia="仿宋_GB2312" w:cs="Times New Roman"/>
          <w:kern w:val="0"/>
          <w:sz w:val="32"/>
          <w:szCs w:val="32"/>
        </w:rPr>
        <w:t>，自主识别准确率≥95%，精度≤5cm、5°</w:t>
      </w:r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，多目标追踪准确度大于85%，循迹精度50mm，到点精度10mm。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spacing w:line="600" w:lineRule="exact"/>
        <w:ind w:firstLine="642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申报主体：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创新联合体</w:t>
      </w:r>
    </w:p>
    <w:p>
      <w:pPr>
        <w:overflowPunct w:val="0"/>
        <w:autoSpaceDE w:val="0"/>
        <w:autoSpaceDN w:val="0"/>
        <w:spacing w:line="600" w:lineRule="exact"/>
        <w:ind w:firstLine="642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组织方式：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竞争性分配</w:t>
      </w:r>
    </w:p>
    <w:p>
      <w:pPr>
        <w:pStyle w:val="8"/>
        <w:widowControl/>
        <w:spacing w:line="600" w:lineRule="exact"/>
        <w:ind w:firstLine="643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攻关时限：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3年内</w:t>
      </w:r>
    </w:p>
    <w:p>
      <w:pPr>
        <w:pStyle w:val="8"/>
        <w:widowControl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*揭榜项目不要求绩效目标全覆盖</w:t>
      </w:r>
    </w:p>
    <w:p>
      <w:pPr>
        <w:pStyle w:val="2"/>
        <w:spacing w:after="0" w:line="600" w:lineRule="exact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F95663"/>
    <w:rsid w:val="00310BC0"/>
    <w:rsid w:val="005D4CF6"/>
    <w:rsid w:val="009319B3"/>
    <w:rsid w:val="00AD6D0D"/>
    <w:rsid w:val="00E106DC"/>
    <w:rsid w:val="00F40AB8"/>
    <w:rsid w:val="00FE2283"/>
    <w:rsid w:val="25F95663"/>
    <w:rsid w:val="477DAA4E"/>
    <w:rsid w:val="FE7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index 7"/>
    <w:basedOn w:val="1"/>
    <w:next w:val="1"/>
    <w:unhideWhenUsed/>
    <w:qFormat/>
    <w:uiPriority w:val="0"/>
    <w:pPr>
      <w:ind w:left="25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756</Characters>
  <Lines>6</Lines>
  <Paragraphs>1</Paragraphs>
  <TotalTime>6</TotalTime>
  <ScaleCrop>false</ScaleCrop>
  <LinksUpToDate>false</LinksUpToDate>
  <CharactersWithSpaces>887</CharactersWithSpaces>
  <Application>WPS Office_11.8.2.9695_F1E327BC-269C-435d-A152-05C5408002CA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2024-06-18T22:30:00Z</dcterms:created>
  <dc:creator>科技局-001</dc:creator>
  <lastModifiedBy>Huzhou</lastModifiedBy>
  <dcterms:modified xsi:type="dcterms:W3CDTF">2024-06-18T15:52:19Z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