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方正小标宋简体" w:hAnsi="方正小标宋简体" w:eastAsia="方正小标宋简体" w:cs="方正小标宋简体"/>
          <w:color w:val="FF0000"/>
          <w:spacing w:val="62"/>
          <w:sz w:val="84"/>
          <w:szCs w:val="84"/>
          <w:lang w:eastAsia="zh-CN"/>
        </w:rPr>
      </w:pPr>
      <w:bookmarkStart w:id="0" w:name="title"/>
      <w:bookmarkEnd w:id="0"/>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小标宋简体" w:hAnsi="方正小标宋简体" w:eastAsia="方正小标宋简体" w:cs="方正小标宋简体"/>
          <w:spacing w:val="17"/>
          <w:sz w:val="84"/>
          <w:szCs w:val="84"/>
          <w:u w:val="none"/>
          <w:lang w:eastAsia="zh-CN"/>
        </w:rPr>
      </w:pPr>
      <w:r>
        <w:rPr>
          <w:rFonts w:hint="eastAsia" w:ascii="方正小标宋简体" w:hAnsi="方正小标宋简体" w:eastAsia="方正小标宋简体" w:cs="方正小标宋简体"/>
          <w:color w:val="FF0000"/>
          <w:spacing w:val="17"/>
          <w:sz w:val="84"/>
          <w:szCs w:val="84"/>
          <w:u w:val="none"/>
          <w:lang w:eastAsia="zh-CN"/>
        </w:rPr>
        <w:t>湖州市农业农村局文件</w:t>
      </w:r>
    </w:p>
    <w:p>
      <w:pPr>
        <w:spacing w:line="440" w:lineRule="exact"/>
        <w:rPr>
          <w:rFonts w:hint="eastAsia" w:eastAsia="仿宋_GB2312"/>
          <w:sz w:val="36"/>
          <w:szCs w:val="36"/>
        </w:rPr>
      </w:pPr>
    </w:p>
    <w:p>
      <w:pPr>
        <w:pageBreakBefore w:val="0"/>
        <w:kinsoku/>
        <w:wordWrap/>
        <w:overflowPunct/>
        <w:topLinePunct w:val="0"/>
        <w:bidi w:val="0"/>
        <w:spacing w:line="560" w:lineRule="exact"/>
        <w:jc w:val="center"/>
        <w:rPr>
          <w:rFonts w:hint="eastAsia" w:ascii="方正小标宋简体" w:hAnsi="方正小标宋简体" w:eastAsia="方正小标宋简体" w:cs="方正小标宋简体"/>
          <w:color w:val="000000"/>
          <w:kern w:val="2"/>
          <w:sz w:val="32"/>
          <w:szCs w:val="32"/>
        </w:rPr>
      </w:pPr>
      <w:r>
        <w:rPr>
          <w:rFonts w:hint="eastAsia" w:ascii="仿宋_GB2312" w:eastAsia="仿宋_GB2312"/>
          <w:sz w:val="32"/>
          <w:szCs w:val="32"/>
        </w:rPr>
        <w:t>湖农发〔202</w:t>
      </w:r>
      <w:r>
        <w:rPr>
          <w:rFonts w:hint="eastAsia" w:ascii="仿宋_GB2312" w:eastAsia="仿宋_GB2312"/>
          <w:sz w:val="32"/>
          <w:szCs w:val="32"/>
          <w:lang w:val="en-US" w:eastAsia="zh-CN"/>
        </w:rPr>
        <w:t>3</w:t>
      </w:r>
      <w:r>
        <w:rPr>
          <w:rFonts w:hint="eastAsia" w:ascii="仿宋_GB2312" w:eastAsia="仿宋_GB2312"/>
          <w:sz w:val="32"/>
          <w:szCs w:val="32"/>
        </w:rPr>
        <w:t>〕</w:t>
      </w:r>
      <w:r>
        <w:rPr>
          <w:rFonts w:hint="eastAsia" w:ascii="仿宋_GB2312" w:eastAsia="仿宋_GB2312"/>
          <w:sz w:val="32"/>
          <w:szCs w:val="32"/>
          <w:lang w:val="en-US" w:eastAsia="zh-CN"/>
        </w:rPr>
        <w:t>12</w:t>
      </w:r>
      <w:r>
        <w:rPr>
          <w:rFonts w:hint="eastAsia" w:ascii="仿宋_GB2312" w:eastAsia="仿宋_GB2312"/>
          <w:sz w:val="32"/>
          <w:szCs w:val="32"/>
        </w:rPr>
        <w:t>号</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default" w:ascii="方正小标宋简体" w:hAnsi="方正小标宋简体" w:eastAsia="方正小标宋简体" w:cs="方正小标宋简体"/>
          <w:sz w:val="44"/>
          <w:szCs w:val="44"/>
          <w:lang w:val="en-US"/>
        </w:rPr>
      </w:pPr>
      <w:r>
        <mc:AlternateContent>
          <mc:Choice Requires="wps">
            <w:drawing>
              <wp:anchor distT="0" distB="0" distL="114300" distR="114300" simplePos="0" relativeHeight="251659264" behindDoc="0" locked="0" layoutInCell="1" allowOverlap="1">
                <wp:simplePos x="0" y="0"/>
                <wp:positionH relativeFrom="column">
                  <wp:posOffset>-313690</wp:posOffset>
                </wp:positionH>
                <wp:positionV relativeFrom="paragraph">
                  <wp:posOffset>139700</wp:posOffset>
                </wp:positionV>
                <wp:extent cx="6200775" cy="8890"/>
                <wp:effectExtent l="0" t="0" r="0" b="0"/>
                <wp:wrapNone/>
                <wp:docPr id="1" name="直接连接符 3"/>
                <wp:cNvGraphicFramePr/>
                <a:graphic xmlns:a="http://schemas.openxmlformats.org/drawingml/2006/main">
                  <a:graphicData uri="http://schemas.microsoft.com/office/word/2010/wordprocessingShape">
                    <wps:wsp>
                      <wps:cNvCnPr/>
                      <wps:spPr>
                        <a:xfrm flipV="true">
                          <a:off x="0" y="0"/>
                          <a:ext cx="6200775" cy="8890"/>
                        </a:xfrm>
                        <a:prstGeom prst="line">
                          <a:avLst/>
                        </a:prstGeom>
                        <a:ln w="28575" cap="flat" cmpd="sng">
                          <a:solidFill>
                            <a:srgbClr val="FF0000"/>
                          </a:solidFill>
                          <a:prstDash val="solid"/>
                          <a:round/>
                          <a:headEnd type="none" w="med" len="med"/>
                          <a:tailEnd type="none" w="med" len="med"/>
                        </a:ln>
                      </wps:spPr>
                      <wps:bodyPr upright="true"/>
                    </wps:wsp>
                  </a:graphicData>
                </a:graphic>
              </wp:anchor>
            </w:drawing>
          </mc:Choice>
          <mc:Fallback>
            <w:pict>
              <v:line id="直接连接符 3" o:spid="_x0000_s1026" o:spt="20" style="position:absolute;left:0pt;flip:y;margin-left:-24.7pt;margin-top:11pt;height:0.7pt;width:488.25pt;z-index:251659264;mso-width-relative:page;mso-height-relative:page;" filled="f" stroked="t" coordsize="21600,21600" o:gfxdata="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NXKtpbbAAAACQEAAA8AAAAAAAAAAQAgAAAAOAAA&#10;AGRycy9kb3ducmV2LnhtbFBLAQIUABQAAAAIAIdO4kACnBAW7wEAALQDAAAOAAAAAAAAAAEAIAAA&#10;AEABAABkcnMvZTJvRG9jLnhtbFBLBQYAAAAABgAGAFkBAAChBQAAAAA=&#10;">
                <v:fill on="f" focussize="0,0"/>
                <v:stroke weight="2.25pt" color="#FF0000" joinstyle="round"/>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default" w:ascii="Times New Roman" w:hAnsi="Times New Roman" w:eastAsia="黑体" w:cs="Times New Roman"/>
          <w:bCs/>
          <w:spacing w:val="-12"/>
          <w:sz w:val="44"/>
          <w:szCs w:val="44"/>
          <w:lang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rPr>
      </w:pPr>
      <w:r>
        <w:rPr>
          <w:rFonts w:hint="eastAsia" w:ascii="方正小标宋简体" w:hAnsi="方正小标宋简体" w:eastAsia="方正小标宋简体" w:cs="方正小标宋简体"/>
          <w:color w:val="000000"/>
          <w:kern w:val="2"/>
          <w:sz w:val="32"/>
          <w:szCs w:val="32"/>
          <w:lang w:val="en-US" w:eastAsia="zh-CN" w:bidi="ar"/>
        </w:rPr>
        <w:t xml:space="preserve"> </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leftChars="0" w:right="0" w:firstLine="0" w:firstLineChars="0"/>
        <w:jc w:val="center"/>
        <w:textAlignment w:val="auto"/>
        <w:rPr>
          <w:rFonts w:hint="eastAsia" w:ascii="方正小标宋简体" w:hAnsi="Times New Roman" w:eastAsia="方正小标宋简体" w:cs="Times New Roman"/>
          <w:kern w:val="2"/>
          <w:sz w:val="44"/>
          <w:szCs w:val="44"/>
        </w:rPr>
      </w:pPr>
      <w:r>
        <w:rPr>
          <w:rFonts w:hint="eastAsia" w:ascii="方正小标宋简体" w:hAnsi="方正小标宋简体" w:eastAsia="方正小标宋简体" w:cs="方正小标宋简体"/>
          <w:b w:val="0"/>
          <w:bCs w:val="0"/>
          <w:color w:val="000000"/>
          <w:spacing w:val="0"/>
          <w:sz w:val="44"/>
          <w:szCs w:val="44"/>
        </w:rPr>
        <w:t>湖州市农业农村局</w:t>
      </w:r>
      <w:r>
        <w:rPr>
          <w:rFonts w:hint="eastAsia" w:ascii="方正小标宋简体" w:hAnsi="方正小标宋简体" w:eastAsia="方正小标宋简体" w:cs="方正小标宋简体"/>
          <w:kern w:val="2"/>
          <w:sz w:val="44"/>
          <w:szCs w:val="44"/>
          <w:lang w:val="en-US" w:eastAsia="zh-CN" w:bidi="ar"/>
        </w:rPr>
        <w:t>关于印发2022年度</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leftChars="0" w:right="0" w:firstLine="0" w:firstLineChars="0"/>
        <w:jc w:val="center"/>
        <w:textAlignment w:val="auto"/>
        <w:rPr>
          <w:rFonts w:hint="eastAsia" w:ascii="方正小标宋简体" w:hAnsi="Times New Roman" w:eastAsia="方正小标宋简体" w:cs="Times New Roman"/>
          <w:kern w:val="2"/>
          <w:sz w:val="44"/>
          <w:szCs w:val="44"/>
        </w:rPr>
      </w:pPr>
      <w:r>
        <w:rPr>
          <w:rFonts w:hint="eastAsia" w:ascii="方正小标宋简体" w:hAnsi="方正小标宋简体" w:eastAsia="方正小标宋简体" w:cs="方正小标宋简体"/>
          <w:kern w:val="2"/>
          <w:sz w:val="44"/>
          <w:szCs w:val="44"/>
          <w:lang w:val="en-US" w:eastAsia="zh-CN" w:bidi="ar"/>
        </w:rPr>
        <w:t>湖州市耕地质量监测报告的通知</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b w:val="0"/>
          <w:bCs w:val="0"/>
          <w:sz w:val="44"/>
          <w:szCs w:val="44"/>
        </w:rPr>
      </w:pPr>
    </w:p>
    <w:p>
      <w:pPr>
        <w:keepNext w:val="0"/>
        <w:keepLines w:val="0"/>
        <w:widowControl w:val="0"/>
        <w:suppressLineNumbers w:val="0"/>
        <w:autoSpaceDE w:val="0"/>
        <w:autoSpaceDN/>
        <w:adjustRightInd w:val="0"/>
        <w:snapToGrid w:val="0"/>
        <w:spacing w:before="0" w:beforeAutospacing="0" w:after="0" w:afterAutospacing="0" w:line="560" w:lineRule="exact"/>
        <w:ind w:left="0" w:right="0" w:firstLine="0" w:firstLineChars="0"/>
        <w:jc w:val="both"/>
        <w:rPr>
          <w:rFonts w:hint="eastAsia" w:ascii="仿宋_GB2312" w:hAnsi="Times New Roman" w:eastAsia="仿宋_GB2312" w:cs="Times New Roman"/>
          <w:kern w:val="2"/>
          <w:sz w:val="32"/>
          <w:szCs w:val="32"/>
        </w:rPr>
      </w:pPr>
      <w:r>
        <w:rPr>
          <w:rFonts w:hint="eastAsia" w:ascii="仿宋_GB2312" w:hAnsi="Times New Roman" w:eastAsia="仿宋_GB2312" w:cs="仿宋_GB2312"/>
          <w:kern w:val="2"/>
          <w:sz w:val="32"/>
          <w:szCs w:val="32"/>
          <w:lang w:val="en-US" w:eastAsia="zh-CN" w:bidi="ar"/>
        </w:rPr>
        <w:t>各区（县）农业农村局</w:t>
      </w:r>
      <w:r>
        <w:rPr>
          <w:rFonts w:hint="eastAsia" w:ascii="仿宋_GB2312" w:eastAsia="仿宋_GB2312" w:cs="仿宋_GB2312"/>
          <w:kern w:val="2"/>
          <w:sz w:val="32"/>
          <w:szCs w:val="32"/>
          <w:lang w:val="en-US" w:eastAsia="zh-CN" w:bidi="ar"/>
        </w:rPr>
        <w:t>，</w:t>
      </w:r>
      <w:r>
        <w:rPr>
          <w:rFonts w:hint="eastAsia" w:ascii="仿宋_GB2312" w:hAnsi="Times New Roman" w:eastAsia="仿宋_GB2312" w:cs="仿宋_GB2312"/>
          <w:kern w:val="2"/>
          <w:sz w:val="32"/>
          <w:szCs w:val="32"/>
          <w:lang w:val="en-US" w:eastAsia="zh-CN" w:bidi="ar"/>
        </w:rPr>
        <w:t>南太湖新区社发局：</w:t>
      </w:r>
    </w:p>
    <w:p>
      <w:pPr>
        <w:keepNext w:val="0"/>
        <w:keepLines w:val="0"/>
        <w:widowControl w:val="0"/>
        <w:suppressLineNumbers w:val="0"/>
        <w:autoSpaceDE w:val="0"/>
        <w:autoSpaceDN/>
        <w:adjustRightInd w:val="0"/>
        <w:snapToGrid w:val="0"/>
        <w:spacing w:before="0" w:beforeAutospacing="0" w:after="0" w:afterAutospacing="0" w:line="560" w:lineRule="exact"/>
        <w:ind w:left="0" w:right="0" w:firstLine="640" w:firstLineChars="200"/>
        <w:jc w:val="both"/>
        <w:rPr>
          <w:rFonts w:hint="eastAsia" w:ascii="仿宋_GB2312" w:hAnsi="Times New Roman" w:eastAsia="仿宋_GB2312" w:cs="Times New Roman"/>
          <w:kern w:val="2"/>
          <w:sz w:val="32"/>
          <w:szCs w:val="32"/>
        </w:rPr>
      </w:pPr>
      <w:r>
        <w:rPr>
          <w:rFonts w:hint="eastAsia" w:ascii="仿宋_GB2312" w:hAnsi="Times New Roman" w:eastAsia="仿宋_GB2312" w:cs="仿宋_GB2312"/>
          <w:kern w:val="2"/>
          <w:sz w:val="32"/>
          <w:szCs w:val="32"/>
          <w:lang w:val="en-US" w:eastAsia="zh-CN" w:bidi="ar"/>
        </w:rPr>
        <w:t>根据浙江省农业厅《关于规范耕地质量调查监测与评价工作的通知》（浙农专发〔2018〕65号）文件精神，对全市2</w:t>
      </w:r>
      <w:r>
        <w:rPr>
          <w:rFonts w:hint="eastAsia" w:ascii="仿宋_GB2312" w:eastAsia="仿宋_GB2312" w:cs="仿宋_GB2312"/>
          <w:kern w:val="2"/>
          <w:sz w:val="32"/>
          <w:szCs w:val="32"/>
          <w:lang w:val="en-US" w:eastAsia="zh-CN" w:bidi="ar"/>
        </w:rPr>
        <w:t>2</w:t>
      </w:r>
      <w:r>
        <w:rPr>
          <w:rFonts w:hint="eastAsia" w:ascii="仿宋_GB2312" w:hAnsi="Times New Roman" w:eastAsia="仿宋_GB2312" w:cs="仿宋_GB2312"/>
          <w:kern w:val="2"/>
          <w:sz w:val="32"/>
          <w:szCs w:val="32"/>
          <w:lang w:val="en-US" w:eastAsia="zh-CN" w:bidi="ar"/>
        </w:rPr>
        <w:t>个长期定位监测点监测数据进行分析，形成2022年度湖州市耕地质量监测报告，现印发给你们，请落实到相关工作。</w:t>
      </w:r>
    </w:p>
    <w:p>
      <w:pPr>
        <w:keepNext w:val="0"/>
        <w:keepLines w:val="0"/>
        <w:widowControl w:val="0"/>
        <w:suppressLineNumbers w:val="0"/>
        <w:autoSpaceDE w:val="0"/>
        <w:autoSpaceDN/>
        <w:adjustRightInd w:val="0"/>
        <w:snapToGrid w:val="0"/>
        <w:spacing w:before="0" w:beforeAutospacing="0" w:after="0" w:afterAutospacing="0" w:line="560" w:lineRule="exact"/>
        <w:ind w:left="0" w:right="0" w:firstLine="640" w:firstLineChars="200"/>
        <w:jc w:val="both"/>
        <w:rPr>
          <w:rFonts w:hint="eastAsia" w:ascii="仿宋_GB2312" w:hAnsi="Times New Roman" w:eastAsia="仿宋_GB2312" w:cs="Times New Roman"/>
          <w:kern w:val="2"/>
          <w:sz w:val="32"/>
          <w:szCs w:val="32"/>
        </w:rPr>
      </w:pPr>
      <w:r>
        <w:rPr>
          <w:rFonts w:hint="eastAsia" w:ascii="仿宋_GB2312" w:hAnsi="Times New Roman" w:eastAsia="仿宋_GB2312" w:cs="Times New Roman"/>
          <w:kern w:val="2"/>
          <w:sz w:val="32"/>
          <w:szCs w:val="32"/>
          <w:lang w:val="en-US" w:eastAsia="zh-CN" w:bidi="ar"/>
        </w:rPr>
        <w:t xml:space="preserve"> </w:t>
      </w:r>
    </w:p>
    <w:p>
      <w:pPr>
        <w:keepNext w:val="0"/>
        <w:keepLines w:val="0"/>
        <w:widowControl w:val="0"/>
        <w:suppressLineNumbers w:val="0"/>
        <w:autoSpaceDE w:val="0"/>
        <w:autoSpaceDN/>
        <w:adjustRightInd w:val="0"/>
        <w:snapToGrid w:val="0"/>
        <w:spacing w:before="0" w:beforeAutospacing="0" w:after="0" w:afterAutospacing="0" w:line="560" w:lineRule="exact"/>
        <w:ind w:left="0" w:right="0" w:firstLine="640" w:firstLineChars="200"/>
        <w:jc w:val="both"/>
        <w:rPr>
          <w:rFonts w:hint="eastAsia" w:ascii="仿宋_GB2312" w:hAnsi="Times New Roman" w:eastAsia="仿宋_GB2312" w:cs="Times New Roman"/>
          <w:kern w:val="2"/>
          <w:sz w:val="32"/>
          <w:szCs w:val="32"/>
        </w:rPr>
      </w:pPr>
      <w:r>
        <w:rPr>
          <w:rFonts w:hint="eastAsia" w:ascii="仿宋_GB2312" w:hAnsi="Times New Roman" w:eastAsia="仿宋_GB2312" w:cs="仿宋_GB2312"/>
          <w:kern w:val="2"/>
          <w:sz w:val="32"/>
          <w:szCs w:val="32"/>
          <w:lang w:val="en-US" w:eastAsia="zh-CN" w:bidi="ar"/>
        </w:rPr>
        <w:t>附件：2022年度湖州市耕地质量监测报告</w:t>
      </w:r>
    </w:p>
    <w:p>
      <w:pPr>
        <w:keepNext w:val="0"/>
        <w:keepLines w:val="0"/>
        <w:pageBreakBefore w:val="0"/>
        <w:widowControl/>
        <w:suppressLineNumbers w:val="0"/>
        <w:shd w:val="clear" w:fill="FFFFFF"/>
        <w:kinsoku/>
        <w:wordWrap/>
        <w:overflowPunct/>
        <w:topLinePunct w:val="0"/>
        <w:autoSpaceDE w:val="0"/>
        <w:autoSpaceDN/>
        <w:bidi w:val="0"/>
        <w:adjustRightInd w:val="0"/>
        <w:snapToGrid w:val="0"/>
        <w:spacing w:before="0" w:beforeAutospacing="0" w:after="0" w:afterAutospacing="0" w:line="560" w:lineRule="exact"/>
        <w:ind w:left="0" w:right="0"/>
        <w:jc w:val="both"/>
        <w:textAlignment w:val="auto"/>
        <w:rPr>
          <w:rFonts w:hint="default" w:ascii="方正仿宋_GBK" w:hAnsi="方正仿宋_GBK" w:eastAsia="方正仿宋_GBK" w:cs="方正仿宋_GBK"/>
          <w:kern w:val="2"/>
          <w:sz w:val="32"/>
          <w:szCs w:val="32"/>
          <w:lang w:val="en-US" w:eastAsia="zh-CN" w:bidi="ar"/>
        </w:rPr>
      </w:pPr>
    </w:p>
    <w:p>
      <w:pPr>
        <w:keepNext w:val="0"/>
        <w:keepLines w:val="0"/>
        <w:pageBreakBefore w:val="0"/>
        <w:widowControl/>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color w:val="000000"/>
          <w:sz w:val="32"/>
          <w:szCs w:val="32"/>
          <w:lang w:val="en"/>
        </w:rPr>
      </w:pPr>
      <w:r>
        <w:rPr>
          <w:rFonts w:hint="default" w:ascii="Times New Roman" w:hAnsi="Times New Roman" w:eastAsia="仿宋_GB2312" w:cs="Times New Roman"/>
          <w:color w:val="000000"/>
          <w:sz w:val="32"/>
          <w:szCs w:val="32"/>
          <w:lang w:val="en"/>
        </w:rPr>
        <w:t xml:space="preserve">                  </w:t>
      </w:r>
      <w:bookmarkStart w:id="1" w:name="_GoBack"/>
      <w:bookmarkEnd w:id="1"/>
    </w:p>
    <w:p>
      <w:pPr>
        <w:widowControl/>
        <w:spacing w:line="560" w:lineRule="exact"/>
        <w:ind w:firstLine="4800" w:firstLineChars="15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 xml:space="preserve">湖州市农业农村局  </w:t>
      </w:r>
    </w:p>
    <w:p>
      <w:pPr>
        <w:widowControl/>
        <w:spacing w:line="560" w:lineRule="exact"/>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 xml:space="preserve">                         </w:t>
      </w:r>
      <w:r>
        <w:rPr>
          <w:rFonts w:hint="eastAsia" w:ascii="Times New Roman" w:hAnsi="Times New Roman" w:eastAsia="仿宋_GB2312" w:cs="Times New Roman"/>
          <w:color w:val="000000"/>
          <w:sz w:val="32"/>
          <w:szCs w:val="32"/>
          <w:lang w:val="en-US" w:eastAsia="zh-CN"/>
        </w:rPr>
        <w:t xml:space="preserve"> </w:t>
      </w:r>
      <w:r>
        <w:rPr>
          <w:rFonts w:hint="default" w:ascii="Times New Roman" w:hAnsi="Times New Roman" w:eastAsia="仿宋_GB2312" w:cs="Times New Roman"/>
          <w:color w:val="000000"/>
          <w:sz w:val="32"/>
          <w:szCs w:val="32"/>
        </w:rPr>
        <w:t xml:space="preserve">   </w:t>
      </w:r>
      <w:r>
        <w:rPr>
          <w:rFonts w:hint="default" w:ascii="Times New Roman" w:hAnsi="Times New Roman" w:eastAsia="仿宋_GB2312" w:cs="Times New Roman"/>
          <w:color w:val="000000"/>
          <w:sz w:val="32"/>
          <w:szCs w:val="32"/>
          <w:lang w:val="en-US" w:eastAsia="zh-CN"/>
        </w:rPr>
        <w:t xml:space="preserve">  </w:t>
      </w:r>
      <w:r>
        <w:rPr>
          <w:rFonts w:hint="default" w:ascii="Times New Roman" w:hAnsi="Times New Roman" w:eastAsia="仿宋_GB2312" w:cs="Times New Roman"/>
          <w:color w:val="000000"/>
          <w:sz w:val="32"/>
          <w:szCs w:val="32"/>
        </w:rPr>
        <w:t>20</w:t>
      </w:r>
      <w:r>
        <w:rPr>
          <w:rFonts w:hint="default" w:ascii="Times New Roman" w:hAnsi="Times New Roman" w:eastAsia="仿宋_GB2312" w:cs="Times New Roman"/>
          <w:color w:val="000000"/>
          <w:sz w:val="32"/>
          <w:szCs w:val="32"/>
          <w:lang w:val="en-US" w:eastAsia="zh-CN"/>
        </w:rPr>
        <w:t>2</w:t>
      </w:r>
      <w:r>
        <w:rPr>
          <w:rFonts w:hint="eastAsia" w:ascii="Times New Roman" w:hAnsi="Times New Roman" w:eastAsia="仿宋_GB2312" w:cs="Times New Roman"/>
          <w:color w:val="000000"/>
          <w:sz w:val="32"/>
          <w:szCs w:val="32"/>
          <w:lang w:val="en-US" w:eastAsia="zh-CN"/>
        </w:rPr>
        <w:t>3</w:t>
      </w:r>
      <w:r>
        <w:rPr>
          <w:rFonts w:hint="default" w:ascii="Times New Roman" w:hAnsi="Times New Roman" w:eastAsia="仿宋_GB2312" w:cs="Times New Roman"/>
          <w:color w:val="000000"/>
          <w:sz w:val="32"/>
          <w:szCs w:val="32"/>
        </w:rPr>
        <w:t>年</w:t>
      </w:r>
      <w:r>
        <w:rPr>
          <w:rFonts w:hint="eastAsia" w:ascii="Times New Roman" w:hAnsi="Times New Roman" w:eastAsia="仿宋_GB2312" w:cs="Times New Roman"/>
          <w:color w:val="000000"/>
          <w:sz w:val="32"/>
          <w:szCs w:val="32"/>
          <w:lang w:val="en-US" w:eastAsia="zh-CN"/>
        </w:rPr>
        <w:t>3</w:t>
      </w:r>
      <w:r>
        <w:rPr>
          <w:rFonts w:hint="default" w:ascii="Times New Roman" w:hAnsi="Times New Roman" w:eastAsia="仿宋_GB2312" w:cs="Times New Roman"/>
          <w:color w:val="000000"/>
          <w:sz w:val="32"/>
          <w:szCs w:val="32"/>
        </w:rPr>
        <w:t>月</w:t>
      </w:r>
      <w:r>
        <w:rPr>
          <w:rFonts w:hint="eastAsia" w:ascii="Times New Roman" w:hAnsi="Times New Roman" w:eastAsia="仿宋_GB2312" w:cs="Times New Roman"/>
          <w:color w:val="000000"/>
          <w:sz w:val="32"/>
          <w:szCs w:val="32"/>
          <w:lang w:val="en-US" w:eastAsia="zh-CN"/>
        </w:rPr>
        <w:t>8</w:t>
      </w:r>
      <w:r>
        <w:rPr>
          <w:rFonts w:hint="default" w:ascii="Times New Roman" w:hAnsi="Times New Roman" w:eastAsia="仿宋_GB2312" w:cs="Times New Roman"/>
          <w:color w:val="000000"/>
          <w:sz w:val="32"/>
          <w:szCs w:val="32"/>
        </w:rPr>
        <w:t>日</w:t>
      </w:r>
    </w:p>
    <w:p>
      <w:pPr>
        <w:jc w:val="left"/>
        <w:rPr>
          <w:rFonts w:hint="eastAsia" w:ascii="方正小标宋简体" w:eastAsia="方正小标宋简体" w:cs="Times New Roman"/>
          <w:sz w:val="32"/>
          <w:szCs w:val="32"/>
          <w:lang w:val="en-US" w:eastAsia="zh-CN"/>
        </w:rPr>
      </w:pPr>
      <w:r>
        <w:rPr>
          <w:rFonts w:hint="eastAsia" w:ascii="方正小标宋简体" w:eastAsia="方正小标宋简体" w:cs="Times New Roman"/>
          <w:sz w:val="32"/>
          <w:szCs w:val="32"/>
          <w:lang w:val="en-US" w:eastAsia="zh-CN"/>
        </w:rPr>
        <w:t>附件</w:t>
      </w:r>
    </w:p>
    <w:p>
      <w:pPr>
        <w:jc w:val="center"/>
        <w:rPr>
          <w:rFonts w:hint="eastAsia" w:eastAsia="黑体"/>
          <w:sz w:val="72"/>
          <w:szCs w:val="44"/>
        </w:rPr>
      </w:pPr>
    </w:p>
    <w:p>
      <w:pPr>
        <w:jc w:val="center"/>
        <w:rPr>
          <w:rFonts w:hint="eastAsia" w:eastAsia="黑体"/>
          <w:sz w:val="72"/>
          <w:szCs w:val="44"/>
        </w:rPr>
      </w:pPr>
    </w:p>
    <w:p>
      <w:pPr>
        <w:jc w:val="center"/>
        <w:rPr>
          <w:rFonts w:hint="eastAsia" w:eastAsia="黑体"/>
          <w:sz w:val="72"/>
          <w:szCs w:val="44"/>
        </w:rPr>
      </w:pPr>
    </w:p>
    <w:p>
      <w:pPr>
        <w:jc w:val="center"/>
        <w:rPr>
          <w:rFonts w:eastAsia="黑体"/>
          <w:sz w:val="72"/>
          <w:szCs w:val="44"/>
        </w:rPr>
      </w:pPr>
      <w:r>
        <w:rPr>
          <w:rFonts w:hint="eastAsia" w:eastAsia="黑体"/>
          <w:sz w:val="72"/>
          <w:szCs w:val="44"/>
        </w:rPr>
        <w:t>湖州</w:t>
      </w:r>
      <w:r>
        <w:rPr>
          <w:rFonts w:eastAsia="黑体"/>
          <w:sz w:val="72"/>
          <w:szCs w:val="44"/>
        </w:rPr>
        <w:t>市耕地质量监测报告</w:t>
      </w:r>
    </w:p>
    <w:p>
      <w:pPr>
        <w:jc w:val="center"/>
        <w:rPr>
          <w:rFonts w:eastAsia="黑体"/>
          <w:sz w:val="48"/>
          <w:szCs w:val="36"/>
        </w:rPr>
      </w:pPr>
      <w:r>
        <w:rPr>
          <w:rFonts w:eastAsia="黑体"/>
          <w:sz w:val="48"/>
          <w:szCs w:val="36"/>
        </w:rPr>
        <w:t>（</w:t>
      </w:r>
      <w:r>
        <w:rPr>
          <w:rFonts w:eastAsia="黑体"/>
          <w:sz w:val="56"/>
          <w:szCs w:val="44"/>
        </w:rPr>
        <w:t>2022年度</w:t>
      </w:r>
      <w:r>
        <w:rPr>
          <w:rFonts w:eastAsia="黑体"/>
          <w:sz w:val="48"/>
          <w:szCs w:val="36"/>
        </w:rPr>
        <w:t>）</w:t>
      </w:r>
    </w:p>
    <w:p>
      <w:pPr>
        <w:jc w:val="center"/>
        <w:rPr>
          <w:rFonts w:eastAsia="黑体"/>
          <w:sz w:val="36"/>
          <w:szCs w:val="36"/>
        </w:rPr>
      </w:pPr>
    </w:p>
    <w:p>
      <w:pPr>
        <w:jc w:val="center"/>
        <w:rPr>
          <w:rFonts w:eastAsia="黑体"/>
          <w:sz w:val="36"/>
          <w:szCs w:val="36"/>
        </w:rPr>
      </w:pPr>
    </w:p>
    <w:p>
      <w:pPr>
        <w:jc w:val="center"/>
        <w:rPr>
          <w:rFonts w:eastAsia="黑体"/>
          <w:sz w:val="36"/>
          <w:szCs w:val="36"/>
        </w:rPr>
      </w:pPr>
    </w:p>
    <w:p>
      <w:pPr>
        <w:jc w:val="center"/>
        <w:rPr>
          <w:rFonts w:eastAsia="黑体"/>
          <w:sz w:val="36"/>
          <w:szCs w:val="36"/>
        </w:rPr>
      </w:pPr>
    </w:p>
    <w:p>
      <w:pPr>
        <w:jc w:val="center"/>
        <w:rPr>
          <w:rFonts w:eastAsia="黑体"/>
          <w:sz w:val="36"/>
          <w:szCs w:val="36"/>
        </w:rPr>
      </w:pPr>
    </w:p>
    <w:p>
      <w:pPr>
        <w:jc w:val="center"/>
        <w:rPr>
          <w:rFonts w:eastAsia="黑体"/>
          <w:sz w:val="36"/>
          <w:szCs w:val="36"/>
        </w:rPr>
      </w:pPr>
    </w:p>
    <w:p>
      <w:pPr>
        <w:jc w:val="center"/>
        <w:rPr>
          <w:rFonts w:eastAsia="黑体"/>
          <w:sz w:val="36"/>
          <w:szCs w:val="36"/>
        </w:rPr>
      </w:pPr>
    </w:p>
    <w:p>
      <w:pPr>
        <w:jc w:val="both"/>
        <w:rPr>
          <w:rFonts w:eastAsia="黑体"/>
          <w:sz w:val="36"/>
          <w:szCs w:val="36"/>
        </w:rPr>
      </w:pPr>
    </w:p>
    <w:p>
      <w:pPr>
        <w:jc w:val="center"/>
        <w:rPr>
          <w:rFonts w:eastAsia="黑体"/>
          <w:sz w:val="36"/>
          <w:szCs w:val="36"/>
        </w:rPr>
      </w:pPr>
    </w:p>
    <w:p>
      <w:pPr>
        <w:jc w:val="center"/>
        <w:rPr>
          <w:rFonts w:eastAsia="黑体"/>
          <w:sz w:val="36"/>
          <w:szCs w:val="36"/>
        </w:rPr>
      </w:pPr>
      <w:r>
        <w:rPr>
          <w:rFonts w:hint="eastAsia" w:eastAsia="黑体"/>
          <w:sz w:val="36"/>
          <w:szCs w:val="36"/>
        </w:rPr>
        <w:t>湖州</w:t>
      </w:r>
      <w:r>
        <w:rPr>
          <w:rFonts w:eastAsia="黑体"/>
          <w:sz w:val="36"/>
          <w:szCs w:val="36"/>
        </w:rPr>
        <w:t>市农业农村局</w:t>
      </w:r>
    </w:p>
    <w:p>
      <w:pPr>
        <w:jc w:val="center"/>
        <w:rPr>
          <w:rFonts w:eastAsia="黑体"/>
          <w:sz w:val="36"/>
          <w:szCs w:val="36"/>
        </w:rPr>
      </w:pPr>
      <w:r>
        <w:rPr>
          <w:rFonts w:eastAsia="黑体"/>
          <w:sz w:val="36"/>
          <w:szCs w:val="36"/>
        </w:rPr>
        <w:t>202</w:t>
      </w:r>
      <w:r>
        <w:rPr>
          <w:rFonts w:hint="eastAsia" w:eastAsia="黑体"/>
          <w:sz w:val="36"/>
          <w:szCs w:val="36"/>
        </w:rPr>
        <w:t>3</w:t>
      </w:r>
      <w:r>
        <w:rPr>
          <w:rFonts w:eastAsia="黑体"/>
          <w:sz w:val="36"/>
          <w:szCs w:val="36"/>
        </w:rPr>
        <w:t>年</w:t>
      </w:r>
      <w:r>
        <w:rPr>
          <w:rFonts w:hint="eastAsia" w:eastAsia="黑体"/>
          <w:sz w:val="36"/>
          <w:szCs w:val="36"/>
        </w:rPr>
        <w:t>1</w:t>
      </w:r>
      <w:r>
        <w:rPr>
          <w:rFonts w:eastAsia="黑体"/>
          <w:sz w:val="36"/>
          <w:szCs w:val="36"/>
        </w:rPr>
        <w:t>月31日</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eastAsia="黑体"/>
          <w:sz w:val="44"/>
          <w:szCs w:val="36"/>
        </w:rPr>
      </w:pPr>
    </w:p>
    <w:p>
      <w:pPr>
        <w:spacing w:line="600" w:lineRule="exact"/>
        <w:jc w:val="center"/>
        <w:rPr>
          <w:rFonts w:hint="eastAsia" w:ascii="方正小标宋简体" w:hAnsi="方正小标宋简体" w:eastAsia="方正小标宋简体" w:cs="方正小标宋简体"/>
          <w:sz w:val="44"/>
          <w:szCs w:val="36"/>
        </w:rPr>
        <w:sectPr>
          <w:footerReference r:id="rId3" w:type="default"/>
          <w:footerReference r:id="rId4" w:type="even"/>
          <w:pgSz w:w="11906" w:h="16838"/>
          <w:pgMar w:top="2098" w:right="1474" w:bottom="1984" w:left="1587" w:header="851" w:footer="992" w:gutter="0"/>
          <w:paperSrc/>
          <w:pgNumType w:fmt="decimal"/>
          <w:cols w:space="0" w:num="1"/>
          <w:rtlGutter w:val="0"/>
          <w:docGrid w:type="lines" w:linePitch="312" w:charSpace="0"/>
        </w:sectPr>
      </w:pPr>
    </w:p>
    <w:p>
      <w:pPr>
        <w:spacing w:line="600" w:lineRule="exact"/>
        <w:jc w:val="center"/>
        <w:rPr>
          <w:rFonts w:hint="eastAsia" w:ascii="方正小标宋简体" w:hAnsi="方正小标宋简体" w:eastAsia="方正小标宋简体" w:cs="方正小标宋简体"/>
          <w:sz w:val="44"/>
          <w:szCs w:val="36"/>
        </w:rPr>
      </w:pPr>
      <w:r>
        <w:rPr>
          <w:rFonts w:hint="eastAsia" w:ascii="方正小标宋简体" w:hAnsi="方正小标宋简体" w:eastAsia="方正小标宋简体" w:cs="方正小标宋简体"/>
          <w:sz w:val="44"/>
          <w:szCs w:val="36"/>
        </w:rPr>
        <w:t>摘要</w:t>
      </w:r>
    </w:p>
    <w:p>
      <w:pPr>
        <w:pStyle w:val="2"/>
        <w:keepNext/>
        <w:keepLines/>
        <w:pageBreakBefore w:val="0"/>
        <w:widowControl w:val="0"/>
        <w:kinsoku/>
        <w:wordWrap/>
        <w:overflowPunct/>
        <w:topLinePunct w:val="0"/>
        <w:autoSpaceDE/>
        <w:autoSpaceDN/>
        <w:bidi w:val="0"/>
        <w:adjustRightInd/>
        <w:snapToGrid/>
        <w:spacing w:before="0" w:after="0" w:line="300" w:lineRule="exact"/>
        <w:textAlignment w:val="auto"/>
        <w:rPr>
          <w:rFonts w:hint="eastAsia"/>
        </w:rPr>
      </w:pPr>
    </w:p>
    <w:p>
      <w:pPr>
        <w:keepNext w:val="0"/>
        <w:keepLines w:val="0"/>
        <w:pageBreakBefore w:val="0"/>
        <w:widowControl/>
        <w:kinsoku/>
        <w:wordWrap/>
        <w:overflowPunct/>
        <w:topLinePunct w:val="0"/>
        <w:autoSpaceDE/>
        <w:autoSpaceDN/>
        <w:bidi w:val="0"/>
        <w:adjustRightInd/>
        <w:snapToGrid/>
        <w:spacing w:line="540" w:lineRule="exact"/>
        <w:ind w:firstLine="640" w:firstLineChars="200"/>
        <w:jc w:val="left"/>
        <w:textAlignment w:val="auto"/>
        <w:rPr>
          <w:rFonts w:hint="eastAsia" w:ascii="仿宋_GB2312" w:hAnsi="仿宋_GB2312" w:eastAsia="仿宋_GB2312" w:cs="仿宋_GB2312"/>
          <w:spacing w:val="-6"/>
          <w:kern w:val="0"/>
          <w:sz w:val="32"/>
          <w:szCs w:val="32"/>
        </w:rPr>
      </w:pPr>
      <w:r>
        <w:rPr>
          <w:rFonts w:hint="eastAsia" w:ascii="仿宋_GB2312" w:hAnsi="仿宋_GB2312" w:eastAsia="仿宋_GB2312" w:cs="仿宋_GB2312"/>
          <w:kern w:val="0"/>
          <w:sz w:val="32"/>
          <w:szCs w:val="32"/>
        </w:rPr>
        <w:t>根据国务院《基本农田保护条例》、农业农村部《耕地质量调查监测与评价办法》、《浙江省耕地质量管理办法》、《耕地质量监测技术规程(NY/T1119-2012)》和《浙江省耕地土壤监测实施方案》要求，对全市省级标准化耕地土壤长期定位监测点进</w:t>
      </w:r>
      <w:r>
        <w:rPr>
          <w:rFonts w:hint="eastAsia" w:ascii="仿宋_GB2312" w:hAnsi="仿宋_GB2312" w:eastAsia="仿宋_GB2312" w:cs="仿宋_GB2312"/>
          <w:spacing w:val="-6"/>
          <w:kern w:val="0"/>
          <w:sz w:val="32"/>
          <w:szCs w:val="32"/>
        </w:rPr>
        <w:t>行抽样检测，并结合相关研究，对全市耕地质量状况做出如下评价。</w:t>
      </w:r>
    </w:p>
    <w:p>
      <w:pPr>
        <w:keepNext w:val="0"/>
        <w:keepLines w:val="0"/>
        <w:pageBreakBefore w:val="0"/>
        <w:widowControl/>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highlight w:val="none"/>
        </w:rPr>
      </w:pPr>
      <w:r>
        <w:rPr>
          <w:rFonts w:hint="eastAsia" w:ascii="黑体" w:hAnsi="黑体" w:eastAsia="黑体" w:cs="黑体"/>
          <w:b w:val="0"/>
          <w:bCs/>
          <w:kern w:val="0"/>
          <w:sz w:val="32"/>
          <w:szCs w:val="32"/>
          <w:highlight w:val="none"/>
        </w:rPr>
        <w:t>一、全市耕地质量状况：</w:t>
      </w:r>
      <w:r>
        <w:rPr>
          <w:rFonts w:hint="eastAsia" w:ascii="仿宋_GB2312" w:hAnsi="仿宋_GB2312" w:eastAsia="仿宋_GB2312" w:cs="仿宋_GB2312"/>
          <w:kern w:val="0"/>
          <w:sz w:val="32"/>
          <w:szCs w:val="32"/>
          <w:highlight w:val="none"/>
        </w:rPr>
        <w:t>2022年，湖州市水田土壤有机质平均含量29.69g/kg，全氮含量1.52g/kg，有效磷含量19.17mg/kg，速效钾含量99.46mg/kg，缓效钾含量272.13mg/kg，土壤pH值变幅在5.00-8.46之间。旱地土壤有机质含量38.26g/kg，全氮含量1.92g/kg，有效磷含量156.64mg/kg，速效钾含量260.60mg/kg，缓效钾含量411.41mg/kg；土壤pH值在3.98-7.82之间。</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0"/>
          <w:sz w:val="32"/>
          <w:szCs w:val="32"/>
        </w:rPr>
      </w:pPr>
      <w:r>
        <w:rPr>
          <w:rFonts w:hint="eastAsia" w:ascii="黑体" w:hAnsi="黑体" w:eastAsia="黑体" w:cs="黑体"/>
          <w:b w:val="0"/>
          <w:bCs/>
          <w:kern w:val="0"/>
          <w:sz w:val="32"/>
          <w:szCs w:val="32"/>
          <w:highlight w:val="none"/>
        </w:rPr>
        <w:t>二、肥料投入与养分盈亏分析：</w:t>
      </w:r>
      <w:r>
        <w:rPr>
          <w:rFonts w:hint="eastAsia" w:ascii="仿宋_GB2312" w:hAnsi="仿宋_GB2312" w:eastAsia="仿宋_GB2312" w:cs="仿宋_GB2312"/>
          <w:kern w:val="0"/>
          <w:sz w:val="32"/>
          <w:szCs w:val="32"/>
          <w:highlight w:val="none"/>
        </w:rPr>
        <w:t>湖州市水田土壤氮肥、磷肥和钾肥投入与作物吸收量总体基本持平。水田土</w:t>
      </w:r>
      <w:r>
        <w:rPr>
          <w:rFonts w:hint="eastAsia" w:ascii="仿宋_GB2312" w:hAnsi="仿宋_GB2312" w:eastAsia="仿宋_GB2312" w:cs="仿宋_GB2312"/>
          <w:kern w:val="0"/>
          <w:sz w:val="32"/>
          <w:szCs w:val="32"/>
        </w:rPr>
        <w:t>壤总体为氮素、磷素盈余，钾素略有盈余，结合湖州市水田土壤缺磷、缺钾的现状，建议合理施用配方肥，坚持土壤培肥，依据监测点土壤地力情况调整氮肥施用，增加磷肥、钾肥投入比例。</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0"/>
          <w:sz w:val="32"/>
          <w:szCs w:val="32"/>
        </w:rPr>
      </w:pPr>
      <w:r>
        <w:rPr>
          <w:rFonts w:hint="eastAsia" w:ascii="黑体" w:hAnsi="黑体" w:eastAsia="黑体" w:cs="黑体"/>
          <w:b w:val="0"/>
          <w:bCs/>
          <w:kern w:val="0"/>
          <w:sz w:val="32"/>
          <w:szCs w:val="32"/>
        </w:rPr>
        <w:t>三、基础地力贡献与耕作培肥效应：</w:t>
      </w:r>
      <w:r>
        <w:rPr>
          <w:rFonts w:hint="eastAsia" w:ascii="仿宋_GB2312" w:hAnsi="仿宋_GB2312" w:eastAsia="仿宋_GB2312" w:cs="仿宋_GB2312"/>
          <w:kern w:val="0"/>
          <w:sz w:val="32"/>
          <w:szCs w:val="32"/>
        </w:rPr>
        <w:t>全市土壤基础地力贡献率为</w:t>
      </w:r>
      <w:r>
        <w:rPr>
          <w:rFonts w:hint="eastAsia" w:ascii="仿宋_GB2312" w:hAnsi="仿宋_GB2312" w:eastAsia="仿宋_GB2312" w:cs="仿宋_GB2312"/>
          <w:spacing w:val="-4"/>
          <w:sz w:val="32"/>
          <w:szCs w:val="32"/>
        </w:rPr>
        <w:t>79.24</w:t>
      </w:r>
      <w:r>
        <w:rPr>
          <w:rFonts w:hint="eastAsia" w:ascii="仿宋_GB2312" w:hAnsi="仿宋_GB2312" w:eastAsia="仿宋_GB2312" w:cs="仿宋_GB2312"/>
          <w:kern w:val="0"/>
          <w:sz w:val="32"/>
          <w:szCs w:val="32"/>
        </w:rPr>
        <w:t>%。应注重耕地用养结合，定期进行土壤培肥，因土因作物合理科学施肥，保障耕地的综合生产能力。水田施肥区产量要明显高于不施肥区，测土配方施肥试验区和测土配方有机肥施肥试验区的产量要明显高于常规施肥区。</w:t>
      </w:r>
    </w:p>
    <w:p>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eastAsia="仿宋_GB2312"/>
          <w:kern w:val="0"/>
          <w:sz w:val="28"/>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sz w:val="44"/>
          <w:szCs w:val="44"/>
        </w:rPr>
        <w:t>2022年度湖州市耕地质量监测报告</w:t>
      </w:r>
    </w:p>
    <w:p>
      <w:pPr>
        <w:pStyle w:val="2"/>
        <w:pageBreakBefore w:val="0"/>
        <w:widowControl w:val="0"/>
        <w:kinsoku/>
        <w:wordWrap/>
        <w:overflowPunct/>
        <w:topLinePunct w:val="0"/>
        <w:autoSpaceDE/>
        <w:autoSpaceDN/>
        <w:bidi w:val="0"/>
        <w:adjustRightInd/>
        <w:snapToGrid/>
        <w:spacing w:before="0" w:after="0" w:line="560" w:lineRule="exact"/>
        <w:ind w:left="0"/>
        <w:textAlignment w:val="auto"/>
        <w:rPr>
          <w:rFonts w:hint="eastAsia" w:ascii="仿宋_GB2312" w:hAnsi="仿宋_GB2312" w:eastAsia="仿宋_GB2312" w:cs="仿宋_GB2312"/>
          <w:sz w:val="32"/>
          <w:szCs w:val="32"/>
        </w:rPr>
      </w:pPr>
    </w:p>
    <w:p>
      <w:pPr>
        <w:pStyle w:val="16"/>
        <w:pageBreakBefore w:val="0"/>
        <w:widowControl w:val="0"/>
        <w:numPr>
          <w:ilvl w:val="0"/>
          <w:numId w:val="0"/>
        </w:numPr>
        <w:tabs>
          <w:tab w:val="left" w:pos="1450"/>
        </w:tabs>
        <w:kinsoku/>
        <w:wordWrap/>
        <w:overflowPunct/>
        <w:topLinePunct w:val="0"/>
        <w:autoSpaceDE/>
        <w:autoSpaceDN/>
        <w:bidi w:val="0"/>
        <w:adjustRightInd/>
        <w:snapToGrid/>
        <w:spacing w:line="560" w:lineRule="exact"/>
        <w:ind w:left="0" w:leftChars="0" w:firstLine="642" w:firstLineChars="200"/>
        <w:textAlignment w:val="auto"/>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lang w:eastAsia="zh-CN"/>
        </w:rPr>
        <w:t>一、</w:t>
      </w:r>
      <w:r>
        <w:rPr>
          <w:rFonts w:hint="eastAsia" w:ascii="仿宋_GB2312" w:hAnsi="仿宋_GB2312" w:eastAsia="仿宋_GB2312" w:cs="仿宋_GB2312"/>
          <w:b/>
          <w:sz w:val="32"/>
          <w:szCs w:val="32"/>
        </w:rPr>
        <w:t>概述</w:t>
      </w:r>
      <w:r>
        <w:rPr>
          <w:rFonts w:hint="eastAsia" w:ascii="仿宋_GB2312" w:hAnsi="仿宋_GB2312" w:eastAsia="仿宋_GB2312" w:cs="仿宋_GB2312"/>
          <w:b/>
          <w:sz w:val="32"/>
          <w:szCs w:val="32"/>
        </w:rPr>
        <w:tab/>
      </w:r>
    </w:p>
    <w:p>
      <w:pPr>
        <w:pageBreakBefore w:val="0"/>
        <w:widowControl w:val="0"/>
        <w:tabs>
          <w:tab w:val="left" w:pos="1450"/>
        </w:tabs>
        <w:kinsoku/>
        <w:wordWrap/>
        <w:overflowPunct/>
        <w:topLinePunct w:val="0"/>
        <w:autoSpaceDE/>
        <w:autoSpaceDN/>
        <w:bidi w:val="0"/>
        <w:adjustRightInd/>
        <w:snapToGrid/>
        <w:spacing w:line="560" w:lineRule="exact"/>
        <w:ind w:left="0" w:firstLine="640" w:firstLineChars="200"/>
        <w:textAlignment w:val="auto"/>
        <w:rPr>
          <w:rFonts w:hint="eastAsia" w:ascii="仿宋_GB2312" w:hAnsi="仿宋_GB2312" w:eastAsia="仿宋_GB2312" w:cs="仿宋_GB2312"/>
          <w:b/>
          <w:sz w:val="32"/>
          <w:szCs w:val="32"/>
        </w:rPr>
      </w:pPr>
      <w:r>
        <w:rPr>
          <w:rFonts w:hint="eastAsia" w:ascii="仿宋_GB2312" w:hAnsi="仿宋_GB2312" w:eastAsia="仿宋_GB2312" w:cs="仿宋_GB2312"/>
          <w:kern w:val="0"/>
          <w:sz w:val="32"/>
          <w:szCs w:val="32"/>
        </w:rPr>
        <w:t>耕地质量监测是《农业法》和《基本农田保护条例》赋予农业部门的重要职责，也是农业部门的一项基础性和公益性工作。浙江省耕地质量监测工作始于1985年，但由于城市建设等原因，大部分监测点被占用。2007年底，根据“一点多能，综合应用，分级管理，以县为主”原则，部署落实全省土壤地力监测网络，2008年开始，结合标准农田质量调查及组织开展标准农田质量提升项目试点，实施了全省耕地土壤长期定位监测点和区域重点实验室标准化建设工作。湖州市土肥监测工作自2000年开始建设，按照地形地貌、土壤类型、耕作制度、施肥水平等选出有一定代表性的地点，现在湖州市5个县（区）共建成23个长期定位监测点。</w:t>
      </w:r>
      <w:r>
        <w:rPr>
          <w:rFonts w:hint="eastAsia" w:ascii="仿宋_GB2312" w:hAnsi="仿宋_GB2312" w:eastAsia="仿宋_GB2312" w:cs="仿宋_GB2312"/>
          <w:color w:val="auto"/>
          <w:kern w:val="0"/>
          <w:sz w:val="32"/>
          <w:szCs w:val="32"/>
          <w:highlight w:val="none"/>
        </w:rPr>
        <w:t>长兴县泗安镇新丰村监测点因湖州市长合区工业平台建设用地需要而改建，2022年未纳入统计。</w:t>
      </w:r>
    </w:p>
    <w:p>
      <w:pPr>
        <w:pageBreakBefore w:val="0"/>
        <w:widowControl w:val="0"/>
        <w:kinsoku/>
        <w:wordWrap/>
        <w:overflowPunct/>
        <w:topLinePunct w:val="0"/>
        <w:autoSpaceDE/>
        <w:autoSpaceDN/>
        <w:bidi w:val="0"/>
        <w:adjustRightInd/>
        <w:snapToGrid/>
        <w:spacing w:line="560" w:lineRule="exact"/>
        <w:ind w:left="0" w:firstLine="642" w:firstLineChars="200"/>
        <w:textAlignment w:val="auto"/>
        <w:rPr>
          <w:rFonts w:hint="eastAsia" w:ascii="楷体_GB2312" w:hAnsi="楷体_GB2312" w:eastAsia="楷体_GB2312" w:cs="楷体_GB2312"/>
          <w:b/>
          <w:sz w:val="32"/>
          <w:szCs w:val="32"/>
        </w:rPr>
      </w:pPr>
      <w:r>
        <w:rPr>
          <w:rFonts w:hint="eastAsia" w:ascii="楷体_GB2312" w:hAnsi="楷体_GB2312" w:eastAsia="楷体_GB2312" w:cs="楷体_GB2312"/>
          <w:b/>
          <w:sz w:val="32"/>
          <w:szCs w:val="32"/>
        </w:rPr>
        <w:t>（一）监测点基本情况</w:t>
      </w:r>
    </w:p>
    <w:p>
      <w:pPr>
        <w:pageBreakBefore w:val="0"/>
        <w:widowControl w:val="0"/>
        <w:tabs>
          <w:tab w:val="left" w:pos="1450"/>
        </w:tabs>
        <w:kinsoku/>
        <w:wordWrap/>
        <w:overflowPunct/>
        <w:topLinePunct w:val="0"/>
        <w:autoSpaceDE/>
        <w:autoSpaceDN/>
        <w:bidi w:val="0"/>
        <w:adjustRightInd/>
        <w:snapToGrid/>
        <w:spacing w:line="560" w:lineRule="exact"/>
        <w:ind w:left="0" w:firstLine="640" w:firstLineChars="20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湖州市</w:t>
      </w:r>
      <w:r>
        <w:rPr>
          <w:rFonts w:hint="eastAsia" w:ascii="仿宋_GB2312" w:hAnsi="仿宋_GB2312" w:eastAsia="仿宋_GB2312" w:cs="仿宋_GB2312"/>
          <w:kern w:val="0"/>
          <w:sz w:val="32"/>
          <w:szCs w:val="32"/>
          <w:lang w:val="en-US" w:eastAsia="zh-CN"/>
        </w:rPr>
        <w:t>2022年实际</w:t>
      </w:r>
      <w:r>
        <w:rPr>
          <w:rFonts w:hint="eastAsia" w:ascii="仿宋_GB2312" w:hAnsi="仿宋_GB2312" w:eastAsia="仿宋_GB2312" w:cs="仿宋_GB2312"/>
          <w:kern w:val="0"/>
          <w:sz w:val="32"/>
          <w:szCs w:val="32"/>
        </w:rPr>
        <w:t>监测点</w:t>
      </w:r>
      <w:r>
        <w:rPr>
          <w:rFonts w:hint="eastAsia" w:ascii="仿宋_GB2312" w:hAnsi="仿宋_GB2312" w:eastAsia="仿宋_GB2312" w:cs="仿宋_GB2312"/>
          <w:color w:val="auto"/>
          <w:kern w:val="0"/>
          <w:sz w:val="32"/>
          <w:szCs w:val="32"/>
          <w:highlight w:val="none"/>
        </w:rPr>
        <w:t>22个，分布在全市的5个县（区），其中吴兴区3个，南浔区4个，德清县4个，长兴县6个，安吉县5个。监</w:t>
      </w:r>
      <w:r>
        <w:rPr>
          <w:rFonts w:hint="eastAsia" w:ascii="仿宋_GB2312" w:hAnsi="仿宋_GB2312" w:eastAsia="仿宋_GB2312" w:cs="仿宋_GB2312"/>
          <w:kern w:val="0"/>
          <w:sz w:val="32"/>
          <w:szCs w:val="32"/>
        </w:rPr>
        <w:t>测点涉及水稻土、潮土和红壤3个土壤类型。种植作物为水稻、小麦、番薯和茶叶，种植制度主要有油-稻、麦-稻、单季稻、番薯和茶叶。</w:t>
      </w:r>
    </w:p>
    <w:p>
      <w:pPr>
        <w:pageBreakBefore w:val="0"/>
        <w:widowControl w:val="0"/>
        <w:tabs>
          <w:tab w:val="left" w:pos="1450"/>
        </w:tabs>
        <w:kinsoku/>
        <w:wordWrap/>
        <w:overflowPunct/>
        <w:topLinePunct w:val="0"/>
        <w:autoSpaceDE/>
        <w:autoSpaceDN/>
        <w:bidi w:val="0"/>
        <w:adjustRightInd/>
        <w:snapToGrid/>
        <w:spacing w:line="560" w:lineRule="exact"/>
        <w:ind w:lef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0"/>
          <w:sz w:val="32"/>
          <w:szCs w:val="32"/>
        </w:rPr>
        <w:t>监测点的设置充分考虑了我市各县（区）的地形地貌、土壤类型、耕作制度和施肥水平等因素，具有一定的代表性。</w:t>
      </w:r>
    </w:p>
    <w:p>
      <w:pPr>
        <w:keepNext w:val="0"/>
        <w:keepLines w:val="0"/>
        <w:pageBreakBefore w:val="0"/>
        <w:widowControl w:val="0"/>
        <w:kinsoku/>
        <w:wordWrap/>
        <w:overflowPunct/>
        <w:topLinePunct w:val="0"/>
        <w:autoSpaceDE/>
        <w:autoSpaceDN/>
        <w:bidi w:val="0"/>
        <w:adjustRightInd/>
        <w:snapToGrid/>
        <w:spacing w:line="540" w:lineRule="exact"/>
        <w:ind w:left="0" w:firstLine="642" w:firstLineChars="200"/>
        <w:textAlignment w:val="auto"/>
        <w:rPr>
          <w:rFonts w:hint="eastAsia" w:ascii="楷体_GB2312" w:hAnsi="楷体_GB2312" w:eastAsia="楷体_GB2312" w:cs="楷体_GB2312"/>
          <w:b/>
          <w:sz w:val="32"/>
          <w:szCs w:val="32"/>
        </w:rPr>
      </w:pPr>
      <w:r>
        <w:rPr>
          <w:rFonts w:hint="eastAsia" w:ascii="楷体_GB2312" w:hAnsi="楷体_GB2312" w:eastAsia="楷体_GB2312" w:cs="楷体_GB2312"/>
          <w:b/>
          <w:sz w:val="32"/>
          <w:szCs w:val="32"/>
        </w:rPr>
        <w:t>（二）监测点设置原则及处理设计</w:t>
      </w:r>
    </w:p>
    <w:p>
      <w:pPr>
        <w:pStyle w:val="16"/>
        <w:keepNext w:val="0"/>
        <w:keepLines w:val="0"/>
        <w:pageBreakBefore w:val="0"/>
        <w:widowControl w:val="0"/>
        <w:kinsoku/>
        <w:wordWrap/>
        <w:overflowPunct/>
        <w:topLinePunct w:val="0"/>
        <w:autoSpaceDE/>
        <w:autoSpaceDN/>
        <w:bidi w:val="0"/>
        <w:adjustRightInd/>
        <w:snapToGrid/>
        <w:spacing w:line="540" w:lineRule="exact"/>
        <w:ind w:left="0" w:firstLine="562"/>
        <w:textAlignment w:val="auto"/>
        <w:rPr>
          <w:rFonts w:hint="eastAsia" w:ascii="仿宋_GB2312" w:hAnsi="仿宋_GB2312" w:eastAsia="仿宋_GB2312" w:cs="仿宋_GB2312"/>
          <w:b/>
          <w:kern w:val="0"/>
          <w:sz w:val="32"/>
          <w:szCs w:val="32"/>
        </w:rPr>
      </w:pPr>
      <w:r>
        <w:rPr>
          <w:rFonts w:hint="eastAsia" w:ascii="仿宋_GB2312" w:hAnsi="仿宋_GB2312" w:eastAsia="仿宋_GB2312" w:cs="仿宋_GB2312"/>
          <w:b/>
          <w:kern w:val="0"/>
          <w:sz w:val="32"/>
          <w:szCs w:val="32"/>
        </w:rPr>
        <w:t>水田：</w:t>
      </w:r>
    </w:p>
    <w:p>
      <w:pPr>
        <w:pStyle w:val="16"/>
        <w:keepNext w:val="0"/>
        <w:keepLines w:val="0"/>
        <w:pageBreakBefore w:val="0"/>
        <w:widowControl w:val="0"/>
        <w:kinsoku/>
        <w:wordWrap/>
        <w:overflowPunct/>
        <w:topLinePunct w:val="0"/>
        <w:autoSpaceDE/>
        <w:autoSpaceDN/>
        <w:bidi w:val="0"/>
        <w:adjustRightInd/>
        <w:snapToGrid/>
        <w:spacing w:line="540" w:lineRule="exact"/>
        <w:ind w:left="0" w:firstLine="56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水田监测点设置四个处理，分别是处理1，长期无肥区(空白区)，不施用任何化学肥料，也不种植绿肥和不进行秸秆还田及不施用有机肥；处理2，常规施肥区，施肥量与当地主要施肥量、施肥品种保持一致；处理3，测土配方施肥纯化肥区，根据土壤养分情况和作物需肥量确定最佳施肥量；处理4，测土配方施肥化肥+有机肥区，有机肥根据当地实际情况施用，相对固定，如商品有机肥(200kg/亩季)、秸秆还田(上茬作物秸秆50%-75%的量)、农家肥(750kg/亩季)，确定后五年保持不变，化肥用量同处理3或根据处理3作小幅调整。</w:t>
      </w:r>
    </w:p>
    <w:p>
      <w:pPr>
        <w:pStyle w:val="16"/>
        <w:keepNext w:val="0"/>
        <w:keepLines w:val="0"/>
        <w:pageBreakBefore w:val="0"/>
        <w:widowControl w:val="0"/>
        <w:kinsoku/>
        <w:wordWrap/>
        <w:overflowPunct/>
        <w:topLinePunct w:val="0"/>
        <w:autoSpaceDE/>
        <w:autoSpaceDN/>
        <w:bidi w:val="0"/>
        <w:adjustRightInd/>
        <w:snapToGrid/>
        <w:spacing w:line="540" w:lineRule="exact"/>
        <w:ind w:left="0" w:firstLine="56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各处理除施肥不同外，其他措施均保持一致。小区面积33.3-66.7平方米，小区间用水泥板隔开，以防止肥、水互相渗透。水泥板高60cm～80cm，厚5cm，其中，埋深30cm～50cm，露出田面30cm。灌水管内置在两块水泥板间，每一小区各设有一进水口和一出水口，进水口位置高于出水口，并安装阀门控制灌溉量。每一监测点均设有标志牌和宣传牌。</w:t>
      </w:r>
    </w:p>
    <w:p>
      <w:pPr>
        <w:pStyle w:val="16"/>
        <w:keepNext w:val="0"/>
        <w:keepLines w:val="0"/>
        <w:pageBreakBefore w:val="0"/>
        <w:widowControl w:val="0"/>
        <w:kinsoku/>
        <w:wordWrap/>
        <w:overflowPunct/>
        <w:topLinePunct w:val="0"/>
        <w:autoSpaceDE/>
        <w:autoSpaceDN/>
        <w:bidi w:val="0"/>
        <w:adjustRightInd/>
        <w:snapToGrid/>
        <w:spacing w:line="540" w:lineRule="exact"/>
        <w:ind w:left="0" w:firstLine="562"/>
        <w:textAlignment w:val="auto"/>
        <w:rPr>
          <w:rFonts w:hint="eastAsia" w:ascii="仿宋_GB2312" w:hAnsi="仿宋_GB2312" w:eastAsia="仿宋_GB2312" w:cs="仿宋_GB2312"/>
          <w:b/>
          <w:kern w:val="0"/>
          <w:sz w:val="32"/>
          <w:szCs w:val="32"/>
        </w:rPr>
      </w:pPr>
      <w:r>
        <w:rPr>
          <w:rFonts w:hint="eastAsia" w:ascii="仿宋_GB2312" w:hAnsi="仿宋_GB2312" w:eastAsia="仿宋_GB2312" w:cs="仿宋_GB2312"/>
          <w:b/>
          <w:kern w:val="0"/>
          <w:sz w:val="32"/>
          <w:szCs w:val="32"/>
        </w:rPr>
        <w:t>旱地：</w:t>
      </w:r>
    </w:p>
    <w:p>
      <w:pPr>
        <w:pStyle w:val="16"/>
        <w:keepNext w:val="0"/>
        <w:keepLines w:val="0"/>
        <w:pageBreakBefore w:val="0"/>
        <w:widowControl w:val="0"/>
        <w:kinsoku/>
        <w:wordWrap/>
        <w:overflowPunct/>
        <w:topLinePunct w:val="0"/>
        <w:autoSpaceDE/>
        <w:autoSpaceDN/>
        <w:bidi w:val="0"/>
        <w:adjustRightInd/>
        <w:snapToGrid/>
        <w:spacing w:line="540" w:lineRule="exact"/>
        <w:ind w:left="0" w:firstLine="56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旱地监测点设置三个处理，分别是处理1，长期无肥区(空白区)，不施用任何化学肥料，也不种植绿肥和不进行秸秆还田及不施用有机肥；处理2，常规施肥区；处理3，测土配方施肥化肥+有机肥区。有机肥1500kg/亩年或750kg/亩季，精施有机肥500kg/亩年或250 kg/亩季，蔬菜地不设无肥区。</w:t>
      </w:r>
    </w:p>
    <w:p>
      <w:pPr>
        <w:pStyle w:val="16"/>
        <w:keepNext w:val="0"/>
        <w:keepLines w:val="0"/>
        <w:pageBreakBefore w:val="0"/>
        <w:widowControl w:val="0"/>
        <w:kinsoku/>
        <w:wordWrap/>
        <w:overflowPunct/>
        <w:topLinePunct w:val="0"/>
        <w:autoSpaceDE/>
        <w:autoSpaceDN/>
        <w:bidi w:val="0"/>
        <w:adjustRightInd/>
        <w:snapToGrid/>
        <w:spacing w:line="540" w:lineRule="exact"/>
        <w:ind w:left="0" w:firstLine="56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各处理除施肥不同外，其他措施均保持一致。小区面积33.3-66.7平方米，小区间以排水沟和水泥板相隔，水泥板厚度5cm，埋深40cm，其中高出畦面10cm。</w:t>
      </w:r>
    </w:p>
    <w:p>
      <w:pPr>
        <w:keepNext w:val="0"/>
        <w:keepLines w:val="0"/>
        <w:pageBreakBefore w:val="0"/>
        <w:widowControl w:val="0"/>
        <w:kinsoku/>
        <w:wordWrap/>
        <w:overflowPunct/>
        <w:topLinePunct w:val="0"/>
        <w:autoSpaceDE/>
        <w:autoSpaceDN/>
        <w:bidi w:val="0"/>
        <w:adjustRightInd/>
        <w:snapToGrid/>
        <w:spacing w:line="540" w:lineRule="exact"/>
        <w:ind w:left="0" w:firstLine="642" w:firstLineChars="200"/>
        <w:textAlignment w:val="auto"/>
        <w:rPr>
          <w:rFonts w:hint="eastAsia" w:ascii="楷体_GB2312" w:hAnsi="楷体_GB2312" w:eastAsia="楷体_GB2312" w:cs="楷体_GB2312"/>
          <w:b/>
          <w:sz w:val="32"/>
          <w:szCs w:val="32"/>
        </w:rPr>
      </w:pPr>
      <w:r>
        <w:rPr>
          <w:rFonts w:hint="eastAsia" w:ascii="楷体_GB2312" w:hAnsi="楷体_GB2312" w:eastAsia="楷体_GB2312" w:cs="楷体_GB2312"/>
          <w:b/>
          <w:sz w:val="32"/>
          <w:szCs w:val="32"/>
        </w:rPr>
        <w:t>（三）监测内容与方法</w:t>
      </w:r>
    </w:p>
    <w:p>
      <w:pPr>
        <w:keepNext w:val="0"/>
        <w:keepLines w:val="0"/>
        <w:pageBreakBefore w:val="0"/>
        <w:widowControl w:val="0"/>
        <w:kinsoku/>
        <w:wordWrap/>
        <w:overflowPunct/>
        <w:topLinePunct w:val="0"/>
        <w:autoSpaceDE/>
        <w:autoSpaceDN/>
        <w:bidi w:val="0"/>
        <w:adjustRightInd/>
        <w:snapToGrid/>
        <w:spacing w:line="540" w:lineRule="exact"/>
        <w:ind w:left="0" w:firstLine="642" w:firstLineChars="200"/>
        <w:textAlignment w:val="auto"/>
        <w:rPr>
          <w:rFonts w:hint="eastAsia" w:ascii="仿宋_GB2312" w:hAnsi="仿宋_GB2312" w:eastAsia="仿宋_GB2312" w:cs="仿宋_GB2312"/>
          <w:b/>
          <w:kern w:val="0"/>
          <w:sz w:val="32"/>
          <w:szCs w:val="32"/>
        </w:rPr>
      </w:pPr>
      <w:r>
        <w:rPr>
          <w:rFonts w:hint="eastAsia" w:ascii="仿宋_GB2312" w:hAnsi="仿宋_GB2312" w:eastAsia="仿宋_GB2312" w:cs="仿宋_GB2312"/>
          <w:b/>
          <w:kern w:val="0"/>
          <w:sz w:val="32"/>
          <w:szCs w:val="32"/>
        </w:rPr>
        <w:t>监测内容：</w:t>
      </w:r>
    </w:p>
    <w:p>
      <w:pPr>
        <w:keepNext w:val="0"/>
        <w:keepLines w:val="0"/>
        <w:pageBreakBefore w:val="0"/>
        <w:widowControl w:val="0"/>
        <w:kinsoku/>
        <w:wordWrap/>
        <w:overflowPunct/>
        <w:topLinePunct w:val="0"/>
        <w:autoSpaceDE/>
        <w:autoSpaceDN/>
        <w:bidi w:val="0"/>
        <w:adjustRightInd/>
        <w:snapToGrid/>
        <w:spacing w:line="540" w:lineRule="exact"/>
        <w:ind w:left="0" w:firstLine="640" w:firstLineChars="20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一是建点时调查和测定内容主要，包括气象要素、地形、坡度、排灌条件、种植制度、剖面结构与理化性状等监测点基本情况调查。</w:t>
      </w:r>
    </w:p>
    <w:p>
      <w:pPr>
        <w:keepNext w:val="0"/>
        <w:keepLines w:val="0"/>
        <w:pageBreakBefore w:val="0"/>
        <w:widowControl w:val="0"/>
        <w:kinsoku/>
        <w:wordWrap/>
        <w:overflowPunct/>
        <w:topLinePunct w:val="0"/>
        <w:autoSpaceDE/>
        <w:autoSpaceDN/>
        <w:bidi w:val="0"/>
        <w:adjustRightInd/>
        <w:snapToGrid/>
        <w:spacing w:line="540" w:lineRule="exact"/>
        <w:ind w:left="0" w:firstLine="640" w:firstLineChars="20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二是年度监测内容，主要包括田间作业情况、作物产量与养分吸收、施肥情况和提让理化性状降。</w:t>
      </w:r>
    </w:p>
    <w:p>
      <w:pPr>
        <w:keepNext w:val="0"/>
        <w:keepLines w:val="0"/>
        <w:pageBreakBefore w:val="0"/>
        <w:widowControl w:val="0"/>
        <w:kinsoku/>
        <w:wordWrap/>
        <w:overflowPunct/>
        <w:topLinePunct w:val="0"/>
        <w:autoSpaceDE/>
        <w:autoSpaceDN/>
        <w:bidi w:val="0"/>
        <w:adjustRightInd/>
        <w:snapToGrid/>
        <w:spacing w:line="540" w:lineRule="exact"/>
        <w:ind w:left="0" w:firstLine="640" w:firstLineChars="20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田间作业情况每一年度</w:t>
      </w:r>
      <w:r>
        <w:rPr>
          <w:rFonts w:hint="eastAsia" w:ascii="仿宋_GB2312" w:hAnsi="仿宋_GB2312" w:eastAsia="仿宋_GB2312" w:cs="仿宋_GB2312"/>
          <w:kern w:val="0"/>
          <w:sz w:val="32"/>
          <w:szCs w:val="32"/>
          <w:highlight w:val="none"/>
        </w:rPr>
        <w:t>内每平作物</w:t>
      </w:r>
      <w:r>
        <w:rPr>
          <w:rFonts w:hint="eastAsia" w:ascii="仿宋_GB2312" w:hAnsi="仿宋_GB2312" w:eastAsia="仿宋_GB2312" w:cs="仿宋_GB2312"/>
          <w:kern w:val="0"/>
          <w:sz w:val="32"/>
          <w:szCs w:val="32"/>
        </w:rPr>
        <w:t>的名称，品种、播种期、收获期、耕作情况、濯排、病虫害防治、自然灾出现的时间与强度以及作物产量等内容。</w:t>
      </w:r>
    </w:p>
    <w:p>
      <w:pPr>
        <w:keepNext w:val="0"/>
        <w:keepLines w:val="0"/>
        <w:pageBreakBefore w:val="0"/>
        <w:widowControl w:val="0"/>
        <w:kinsoku/>
        <w:wordWrap/>
        <w:overflowPunct/>
        <w:topLinePunct w:val="0"/>
        <w:autoSpaceDE/>
        <w:autoSpaceDN/>
        <w:bidi w:val="0"/>
        <w:adjustRightInd/>
        <w:snapToGrid/>
        <w:spacing w:line="540" w:lineRule="exact"/>
        <w:ind w:left="0" w:firstLine="640" w:firstLineChars="20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作物产量是指监测区作物的实际产量，养分状况吸收量是指各处理果实和茎叶中带走的养分量。</w:t>
      </w:r>
    </w:p>
    <w:p>
      <w:pPr>
        <w:keepNext w:val="0"/>
        <w:keepLines w:val="0"/>
        <w:pageBreakBefore w:val="0"/>
        <w:widowControl w:val="0"/>
        <w:kinsoku/>
        <w:wordWrap/>
        <w:overflowPunct/>
        <w:topLinePunct w:val="0"/>
        <w:autoSpaceDE/>
        <w:autoSpaceDN/>
        <w:bidi w:val="0"/>
        <w:adjustRightInd/>
        <w:snapToGrid/>
        <w:spacing w:line="540" w:lineRule="exact"/>
        <w:ind w:left="0" w:firstLine="640" w:firstLineChars="20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施肥情况包括有机肥和化肥的施用日期、肥料品种、施肥次数和施用量等。</w:t>
      </w:r>
    </w:p>
    <w:p>
      <w:pPr>
        <w:keepNext w:val="0"/>
        <w:keepLines w:val="0"/>
        <w:pageBreakBefore w:val="0"/>
        <w:widowControl w:val="0"/>
        <w:kinsoku/>
        <w:wordWrap/>
        <w:overflowPunct/>
        <w:topLinePunct w:val="0"/>
        <w:autoSpaceDE/>
        <w:autoSpaceDN/>
        <w:bidi w:val="0"/>
        <w:adjustRightInd/>
        <w:snapToGrid/>
        <w:spacing w:line="540" w:lineRule="exact"/>
        <w:ind w:left="0" w:firstLine="640" w:firstLineChars="20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土壤理化性状年度监测内容包括土壤pH，土壤有机质、全氮、速效氮、有效磷、速效钾、缓效钾等。</w:t>
      </w:r>
    </w:p>
    <w:p>
      <w:pPr>
        <w:keepNext w:val="0"/>
        <w:keepLines w:val="0"/>
        <w:pageBreakBefore w:val="0"/>
        <w:widowControl w:val="0"/>
        <w:kinsoku/>
        <w:wordWrap/>
        <w:overflowPunct/>
        <w:topLinePunct w:val="0"/>
        <w:autoSpaceDE/>
        <w:autoSpaceDN/>
        <w:bidi w:val="0"/>
        <w:adjustRightInd/>
        <w:snapToGrid/>
        <w:spacing w:line="540" w:lineRule="exact"/>
        <w:ind w:left="0" w:firstLine="640" w:firstLineChars="20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五年监测内容每五年监测一次的内容包括土壤微量元素(包括有效态铁、锰、铜，锌、硼和钼)、土壤重金属元素(包括镉、汞、铅、铬、砷)、土层厚度等。</w:t>
      </w:r>
    </w:p>
    <w:p>
      <w:pPr>
        <w:pageBreakBefore w:val="0"/>
        <w:widowControl w:val="0"/>
        <w:kinsoku/>
        <w:wordWrap/>
        <w:overflowPunct/>
        <w:topLinePunct w:val="0"/>
        <w:autoSpaceDE/>
        <w:autoSpaceDN/>
        <w:bidi w:val="0"/>
        <w:adjustRightInd/>
        <w:snapToGrid/>
        <w:spacing w:line="560" w:lineRule="exact"/>
        <w:ind w:left="0" w:firstLine="642" w:firstLineChars="200"/>
        <w:textAlignment w:val="auto"/>
        <w:rPr>
          <w:rFonts w:hint="eastAsia" w:ascii="仿宋_GB2312" w:hAnsi="仿宋_GB2312" w:eastAsia="仿宋_GB2312" w:cs="仿宋_GB2312"/>
          <w:b/>
          <w:kern w:val="0"/>
          <w:sz w:val="32"/>
          <w:szCs w:val="32"/>
        </w:rPr>
      </w:pPr>
      <w:r>
        <w:rPr>
          <w:rFonts w:hint="eastAsia" w:ascii="仿宋_GB2312" w:hAnsi="仿宋_GB2312" w:eastAsia="仿宋_GB2312" w:cs="仿宋_GB2312"/>
          <w:b/>
          <w:kern w:val="0"/>
          <w:sz w:val="32"/>
          <w:szCs w:val="32"/>
        </w:rPr>
        <w:t>监测方法</w:t>
      </w:r>
    </w:p>
    <w:p>
      <w:pPr>
        <w:keepNext w:val="0"/>
        <w:keepLines w:val="0"/>
        <w:pageBreakBefore w:val="0"/>
        <w:widowControl w:val="0"/>
        <w:kinsoku/>
        <w:wordWrap/>
        <w:overflowPunct/>
        <w:topLinePunct w:val="0"/>
        <w:autoSpaceDE/>
        <w:autoSpaceDN/>
        <w:bidi w:val="0"/>
        <w:adjustRightInd/>
        <w:snapToGrid/>
        <w:spacing w:line="540" w:lineRule="exact"/>
        <w:ind w:left="0" w:firstLine="640" w:firstLineChars="20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田间调查与采样田间调查采取询问监测点所在农户与现场观测记载相结合的方式进行。土壤样品采集在每年度最后一季作物收获后分小区进行(一般为10月～11月，园地在果实采摘后年一次施肥前)。在每一小区按S形取样法取耕层混合土样，每个样品由小区内20个以上的取样点采集的分样充分混合而成，并用四分法筛分至1kg，随标签一起，装入样品袋。年度内的植株样包括每季作物，取样时间为每季作物成熟后采摘前。每一小区各采集有代表性的植株样本，大株作物选取5株以上，小株作物选取20株以上，果实与茎叶样分别采集，各为1kg，分别放入标签。分析测试项目为全氮、全磷、全钾。</w:t>
      </w:r>
      <w:r>
        <w:rPr>
          <w:rFonts w:hint="eastAsia" w:ascii="仿宋_GB2312" w:hAnsi="仿宋_GB2312" w:eastAsia="仿宋_GB2312" w:cs="仿宋_GB2312"/>
          <w:sz w:val="32"/>
          <w:szCs w:val="32"/>
        </w:rPr>
        <w:t>分析方法采用现行有效标准（NY/T1119-2006《土壤监测规程》）。</w:t>
      </w:r>
    </w:p>
    <w:p>
      <w:pPr>
        <w:keepNext w:val="0"/>
        <w:keepLines w:val="0"/>
        <w:pageBreakBefore w:val="0"/>
        <w:widowControl w:val="0"/>
        <w:kinsoku/>
        <w:wordWrap/>
        <w:overflowPunct/>
        <w:topLinePunct w:val="0"/>
        <w:autoSpaceDE/>
        <w:autoSpaceDN/>
        <w:bidi w:val="0"/>
        <w:adjustRightInd/>
        <w:snapToGrid/>
        <w:spacing w:line="540" w:lineRule="exact"/>
        <w:ind w:left="0" w:firstLine="640" w:firstLineChars="200"/>
        <w:textAlignment w:val="auto"/>
        <w:rPr>
          <w:rFonts w:hint="eastAsia" w:ascii="黑体" w:hAnsi="黑体" w:eastAsia="黑体" w:cs="黑体"/>
          <w:b w:val="0"/>
          <w:bCs/>
          <w:sz w:val="32"/>
          <w:szCs w:val="32"/>
        </w:rPr>
      </w:pPr>
      <w:r>
        <w:rPr>
          <w:rFonts w:hint="eastAsia" w:ascii="黑体" w:hAnsi="黑体" w:eastAsia="黑体" w:cs="黑体"/>
          <w:b w:val="0"/>
          <w:bCs/>
          <w:sz w:val="32"/>
          <w:szCs w:val="32"/>
        </w:rPr>
        <w:t>二、监测结果与分析</w:t>
      </w:r>
    </w:p>
    <w:p>
      <w:pPr>
        <w:keepNext w:val="0"/>
        <w:keepLines w:val="0"/>
        <w:pageBreakBefore w:val="0"/>
        <w:widowControl w:val="0"/>
        <w:kinsoku/>
        <w:wordWrap/>
        <w:overflowPunct/>
        <w:topLinePunct w:val="0"/>
        <w:autoSpaceDE/>
        <w:autoSpaceDN/>
        <w:bidi w:val="0"/>
        <w:adjustRightInd/>
        <w:snapToGrid/>
        <w:spacing w:line="540" w:lineRule="exact"/>
        <w:ind w:left="0" w:firstLine="642" w:firstLineChars="200"/>
        <w:textAlignment w:val="auto"/>
        <w:rPr>
          <w:rFonts w:hint="eastAsia" w:ascii="楷体_GB2312" w:hAnsi="楷体_GB2312" w:eastAsia="楷体_GB2312" w:cs="楷体_GB2312"/>
          <w:b/>
          <w:bCs w:val="0"/>
          <w:sz w:val="32"/>
          <w:szCs w:val="32"/>
        </w:rPr>
      </w:pPr>
      <w:r>
        <w:rPr>
          <w:rFonts w:hint="eastAsia" w:ascii="楷体_GB2312" w:hAnsi="楷体_GB2312" w:eastAsia="楷体_GB2312" w:cs="楷体_GB2312"/>
          <w:b/>
          <w:bCs w:val="0"/>
          <w:sz w:val="32"/>
          <w:szCs w:val="32"/>
        </w:rPr>
        <w:t>（一）耕层土壤理化性状及变化趋势</w:t>
      </w:r>
    </w:p>
    <w:p>
      <w:pPr>
        <w:pStyle w:val="16"/>
        <w:keepNext w:val="0"/>
        <w:keepLines w:val="0"/>
        <w:pageBreakBefore w:val="0"/>
        <w:widowControl w:val="0"/>
        <w:kinsoku/>
        <w:wordWrap/>
        <w:overflowPunct/>
        <w:topLinePunct w:val="0"/>
        <w:autoSpaceDE/>
        <w:autoSpaceDN/>
        <w:bidi w:val="0"/>
        <w:adjustRightInd/>
        <w:snapToGrid/>
        <w:spacing w:line="540" w:lineRule="exact"/>
        <w:ind w:left="0" w:firstLine="56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土壤中的有机质、主要营养元素及土壤pH值受母质、气候、地貌、植被以及人为活动等因素的影响，为科学描述耕地质量变化情况，评价不同技术措施实施效果，在系统总结田间试验、耕地质量调查等成果的基础上，根据浙江省主要耕地质量监测指标分级标准，形成分级标准(表2.1)，为耕地质量监测工作提供技术支撑。</w:t>
      </w:r>
    </w:p>
    <w:p>
      <w:pPr>
        <w:pStyle w:val="16"/>
        <w:spacing w:line="600" w:lineRule="exact"/>
        <w:ind w:firstLine="562"/>
        <w:jc w:val="center"/>
        <w:rPr>
          <w:rFonts w:eastAsia="仿宋_GB2312"/>
          <w:b w:val="0"/>
          <w:bCs/>
          <w:kern w:val="0"/>
          <w:sz w:val="28"/>
        </w:rPr>
      </w:pPr>
      <w:r>
        <w:rPr>
          <w:rFonts w:eastAsia="仿宋_GB2312"/>
          <w:b w:val="0"/>
          <w:bCs/>
          <w:kern w:val="0"/>
          <w:sz w:val="28"/>
        </w:rPr>
        <w:t>表2.1耕地质量监测指标分级标准</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850"/>
        <w:gridCol w:w="1134"/>
        <w:gridCol w:w="1332"/>
        <w:gridCol w:w="1379"/>
        <w:gridCol w:w="1487"/>
        <w:gridCol w:w="12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008" w:type="dxa"/>
            <w:vMerge w:val="restart"/>
            <w:shd w:val="clear" w:color="auto" w:fill="auto"/>
            <w:noWrap/>
            <w:vAlign w:val="center"/>
          </w:tcPr>
          <w:p>
            <w:pPr>
              <w:widowControl/>
              <w:jc w:val="center"/>
              <w:rPr>
                <w:rFonts w:eastAsia="仿宋_GB2312"/>
                <w:kern w:val="0"/>
                <w:sz w:val="22"/>
              </w:rPr>
            </w:pPr>
            <w:r>
              <w:rPr>
                <w:rFonts w:eastAsia="仿宋_GB2312"/>
                <w:kern w:val="0"/>
                <w:sz w:val="22"/>
              </w:rPr>
              <w:t>指标</w:t>
            </w:r>
          </w:p>
        </w:tc>
        <w:tc>
          <w:tcPr>
            <w:tcW w:w="850" w:type="dxa"/>
            <w:vMerge w:val="restart"/>
            <w:shd w:val="clear" w:color="auto" w:fill="auto"/>
            <w:noWrap/>
            <w:vAlign w:val="center"/>
          </w:tcPr>
          <w:p>
            <w:pPr>
              <w:widowControl/>
              <w:jc w:val="center"/>
              <w:rPr>
                <w:rFonts w:eastAsia="仿宋_GB2312"/>
                <w:kern w:val="0"/>
                <w:sz w:val="22"/>
              </w:rPr>
            </w:pPr>
            <w:r>
              <w:rPr>
                <w:rFonts w:eastAsia="仿宋_GB2312"/>
                <w:kern w:val="0"/>
                <w:sz w:val="22"/>
              </w:rPr>
              <w:t>单位</w:t>
            </w:r>
          </w:p>
        </w:tc>
        <w:tc>
          <w:tcPr>
            <w:tcW w:w="6571" w:type="dxa"/>
            <w:gridSpan w:val="5"/>
            <w:shd w:val="clear" w:color="auto" w:fill="auto"/>
            <w:noWrap/>
            <w:vAlign w:val="center"/>
          </w:tcPr>
          <w:p>
            <w:pPr>
              <w:widowControl/>
              <w:jc w:val="center"/>
              <w:rPr>
                <w:rFonts w:eastAsia="仿宋_GB2312"/>
                <w:kern w:val="0"/>
                <w:sz w:val="22"/>
              </w:rPr>
            </w:pPr>
            <w:r>
              <w:rPr>
                <w:rFonts w:eastAsia="仿宋_GB2312"/>
                <w:kern w:val="0"/>
                <w:sz w:val="22"/>
              </w:rPr>
              <w:t>分级标准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008" w:type="dxa"/>
            <w:vMerge w:val="continue"/>
            <w:vAlign w:val="center"/>
          </w:tcPr>
          <w:p>
            <w:pPr>
              <w:widowControl/>
              <w:jc w:val="left"/>
              <w:rPr>
                <w:rFonts w:eastAsia="仿宋_GB2312"/>
                <w:kern w:val="0"/>
                <w:sz w:val="22"/>
              </w:rPr>
            </w:pPr>
          </w:p>
        </w:tc>
        <w:tc>
          <w:tcPr>
            <w:tcW w:w="850" w:type="dxa"/>
            <w:vMerge w:val="continue"/>
            <w:vAlign w:val="center"/>
          </w:tcPr>
          <w:p>
            <w:pPr>
              <w:widowControl/>
              <w:jc w:val="left"/>
              <w:rPr>
                <w:rFonts w:eastAsia="仿宋_GB2312"/>
                <w:kern w:val="0"/>
                <w:sz w:val="22"/>
              </w:rPr>
            </w:pPr>
          </w:p>
        </w:tc>
        <w:tc>
          <w:tcPr>
            <w:tcW w:w="1134" w:type="dxa"/>
            <w:shd w:val="clear" w:color="auto" w:fill="auto"/>
            <w:noWrap/>
            <w:vAlign w:val="bottom"/>
          </w:tcPr>
          <w:p>
            <w:pPr>
              <w:widowControl/>
              <w:jc w:val="left"/>
              <w:rPr>
                <w:rFonts w:eastAsia="仿宋_GB2312"/>
                <w:kern w:val="0"/>
                <w:sz w:val="22"/>
              </w:rPr>
            </w:pPr>
            <w:r>
              <w:rPr>
                <w:rFonts w:eastAsia="仿宋_GB2312"/>
                <w:kern w:val="0"/>
                <w:sz w:val="22"/>
              </w:rPr>
              <w:t>1级（高）</w:t>
            </w:r>
          </w:p>
        </w:tc>
        <w:tc>
          <w:tcPr>
            <w:tcW w:w="1332" w:type="dxa"/>
            <w:shd w:val="clear" w:color="auto" w:fill="auto"/>
            <w:noWrap/>
            <w:vAlign w:val="bottom"/>
          </w:tcPr>
          <w:p>
            <w:pPr>
              <w:widowControl/>
              <w:jc w:val="left"/>
              <w:rPr>
                <w:rFonts w:eastAsia="仿宋_GB2312"/>
                <w:kern w:val="0"/>
                <w:sz w:val="22"/>
              </w:rPr>
            </w:pPr>
            <w:r>
              <w:rPr>
                <w:rFonts w:eastAsia="仿宋_GB2312"/>
                <w:kern w:val="0"/>
                <w:sz w:val="22"/>
              </w:rPr>
              <w:t>2级（较高）</w:t>
            </w:r>
          </w:p>
        </w:tc>
        <w:tc>
          <w:tcPr>
            <w:tcW w:w="1379" w:type="dxa"/>
            <w:shd w:val="clear" w:color="auto" w:fill="auto"/>
            <w:noWrap/>
            <w:vAlign w:val="bottom"/>
          </w:tcPr>
          <w:p>
            <w:pPr>
              <w:widowControl/>
              <w:jc w:val="left"/>
              <w:rPr>
                <w:rFonts w:eastAsia="仿宋_GB2312"/>
                <w:kern w:val="0"/>
                <w:sz w:val="22"/>
              </w:rPr>
            </w:pPr>
            <w:r>
              <w:rPr>
                <w:rFonts w:eastAsia="仿宋_GB2312"/>
                <w:kern w:val="0"/>
                <w:sz w:val="22"/>
              </w:rPr>
              <w:t>3级（中）</w:t>
            </w:r>
          </w:p>
        </w:tc>
        <w:tc>
          <w:tcPr>
            <w:tcW w:w="1487" w:type="dxa"/>
            <w:shd w:val="clear" w:color="auto" w:fill="auto"/>
            <w:noWrap/>
            <w:vAlign w:val="bottom"/>
          </w:tcPr>
          <w:p>
            <w:pPr>
              <w:widowControl/>
              <w:jc w:val="left"/>
              <w:rPr>
                <w:rFonts w:eastAsia="仿宋_GB2312"/>
                <w:kern w:val="0"/>
                <w:sz w:val="22"/>
              </w:rPr>
            </w:pPr>
            <w:r>
              <w:rPr>
                <w:rFonts w:eastAsia="仿宋_GB2312"/>
                <w:kern w:val="0"/>
                <w:sz w:val="22"/>
              </w:rPr>
              <w:t>4级（较低）</w:t>
            </w:r>
          </w:p>
        </w:tc>
        <w:tc>
          <w:tcPr>
            <w:tcW w:w="1239" w:type="dxa"/>
            <w:shd w:val="clear" w:color="auto" w:fill="auto"/>
            <w:noWrap/>
            <w:vAlign w:val="bottom"/>
          </w:tcPr>
          <w:p>
            <w:pPr>
              <w:widowControl/>
              <w:jc w:val="left"/>
              <w:rPr>
                <w:rFonts w:eastAsia="仿宋_GB2312"/>
                <w:kern w:val="0"/>
                <w:sz w:val="22"/>
              </w:rPr>
            </w:pPr>
            <w:r>
              <w:rPr>
                <w:rFonts w:eastAsia="仿宋_GB2312"/>
                <w:kern w:val="0"/>
                <w:sz w:val="22"/>
              </w:rPr>
              <w:t>5级（低）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008" w:type="dxa"/>
            <w:shd w:val="clear" w:color="auto" w:fill="auto"/>
            <w:noWrap/>
            <w:vAlign w:val="bottom"/>
          </w:tcPr>
          <w:p>
            <w:pPr>
              <w:widowControl/>
              <w:jc w:val="left"/>
              <w:rPr>
                <w:rFonts w:eastAsia="仿宋_GB2312"/>
                <w:kern w:val="0"/>
                <w:sz w:val="22"/>
              </w:rPr>
            </w:pPr>
            <w:r>
              <w:rPr>
                <w:rFonts w:eastAsia="仿宋_GB2312"/>
                <w:kern w:val="0"/>
                <w:sz w:val="22"/>
              </w:rPr>
              <w:t>有机质</w:t>
            </w:r>
          </w:p>
        </w:tc>
        <w:tc>
          <w:tcPr>
            <w:tcW w:w="850" w:type="dxa"/>
            <w:shd w:val="clear" w:color="auto" w:fill="auto"/>
            <w:noWrap/>
            <w:vAlign w:val="bottom"/>
          </w:tcPr>
          <w:p>
            <w:pPr>
              <w:widowControl/>
              <w:jc w:val="left"/>
              <w:rPr>
                <w:rFonts w:eastAsia="仿宋_GB2312"/>
                <w:kern w:val="0"/>
                <w:sz w:val="22"/>
              </w:rPr>
            </w:pPr>
            <w:r>
              <w:rPr>
                <w:rFonts w:eastAsia="仿宋_GB2312"/>
                <w:kern w:val="0"/>
                <w:sz w:val="22"/>
              </w:rPr>
              <w:t>g/kg</w:t>
            </w:r>
          </w:p>
        </w:tc>
        <w:tc>
          <w:tcPr>
            <w:tcW w:w="1134" w:type="dxa"/>
            <w:shd w:val="clear" w:color="auto" w:fill="auto"/>
            <w:noWrap/>
            <w:vAlign w:val="bottom"/>
          </w:tcPr>
          <w:p>
            <w:pPr>
              <w:widowControl/>
              <w:jc w:val="left"/>
              <w:rPr>
                <w:rFonts w:eastAsia="仿宋_GB2312"/>
                <w:kern w:val="0"/>
                <w:sz w:val="22"/>
              </w:rPr>
            </w:pPr>
            <w:r>
              <w:rPr>
                <w:rFonts w:eastAsia="仿宋_GB2312"/>
                <w:kern w:val="0"/>
                <w:sz w:val="22"/>
              </w:rPr>
              <w:t>&gt;35</w:t>
            </w:r>
          </w:p>
        </w:tc>
        <w:tc>
          <w:tcPr>
            <w:tcW w:w="1332" w:type="dxa"/>
            <w:shd w:val="clear" w:color="auto" w:fill="auto"/>
            <w:noWrap/>
            <w:vAlign w:val="bottom"/>
          </w:tcPr>
          <w:p>
            <w:pPr>
              <w:widowControl/>
              <w:jc w:val="left"/>
              <w:rPr>
                <w:rFonts w:eastAsia="仿宋_GB2312"/>
                <w:kern w:val="0"/>
                <w:sz w:val="22"/>
              </w:rPr>
            </w:pPr>
            <w:r>
              <w:rPr>
                <w:rFonts w:eastAsia="仿宋_GB2312"/>
                <w:kern w:val="0"/>
                <w:sz w:val="22"/>
              </w:rPr>
              <w:t>35-25</w:t>
            </w:r>
          </w:p>
        </w:tc>
        <w:tc>
          <w:tcPr>
            <w:tcW w:w="1379" w:type="dxa"/>
            <w:shd w:val="clear" w:color="auto" w:fill="auto"/>
            <w:noWrap/>
            <w:vAlign w:val="bottom"/>
          </w:tcPr>
          <w:p>
            <w:pPr>
              <w:widowControl/>
              <w:jc w:val="left"/>
              <w:rPr>
                <w:rFonts w:eastAsia="仿宋_GB2312"/>
                <w:kern w:val="0"/>
                <w:sz w:val="22"/>
              </w:rPr>
            </w:pPr>
            <w:r>
              <w:rPr>
                <w:rFonts w:eastAsia="仿宋_GB2312"/>
                <w:kern w:val="0"/>
                <w:sz w:val="22"/>
              </w:rPr>
              <w:t>25-15</w:t>
            </w:r>
          </w:p>
        </w:tc>
        <w:tc>
          <w:tcPr>
            <w:tcW w:w="1487" w:type="dxa"/>
            <w:shd w:val="clear" w:color="auto" w:fill="auto"/>
            <w:noWrap/>
            <w:vAlign w:val="bottom"/>
          </w:tcPr>
          <w:p>
            <w:pPr>
              <w:widowControl/>
              <w:jc w:val="left"/>
              <w:rPr>
                <w:rFonts w:eastAsia="仿宋_GB2312"/>
                <w:kern w:val="0"/>
                <w:sz w:val="22"/>
              </w:rPr>
            </w:pPr>
            <w:r>
              <w:rPr>
                <w:rFonts w:eastAsia="仿宋_GB2312"/>
                <w:kern w:val="0"/>
                <w:sz w:val="22"/>
              </w:rPr>
              <w:t>15-10</w:t>
            </w:r>
          </w:p>
        </w:tc>
        <w:tc>
          <w:tcPr>
            <w:tcW w:w="1239" w:type="dxa"/>
            <w:shd w:val="clear" w:color="auto" w:fill="auto"/>
            <w:noWrap/>
            <w:vAlign w:val="bottom"/>
          </w:tcPr>
          <w:p>
            <w:pPr>
              <w:widowControl/>
              <w:jc w:val="left"/>
              <w:rPr>
                <w:rFonts w:eastAsia="仿宋_GB2312"/>
                <w:kern w:val="0"/>
                <w:sz w:val="22"/>
              </w:rPr>
            </w:pPr>
            <w:r>
              <w:rPr>
                <w:rFonts w:eastAsia="仿宋_GB2312"/>
                <w:kern w:val="0"/>
                <w:sz w:val="22"/>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008" w:type="dxa"/>
            <w:shd w:val="clear" w:color="auto" w:fill="auto"/>
            <w:noWrap/>
            <w:vAlign w:val="bottom"/>
          </w:tcPr>
          <w:p>
            <w:pPr>
              <w:widowControl/>
              <w:jc w:val="left"/>
              <w:rPr>
                <w:rFonts w:eastAsia="仿宋_GB2312"/>
                <w:kern w:val="0"/>
                <w:sz w:val="22"/>
              </w:rPr>
            </w:pPr>
            <w:r>
              <w:rPr>
                <w:rFonts w:eastAsia="仿宋_GB2312"/>
                <w:kern w:val="0"/>
                <w:sz w:val="22"/>
              </w:rPr>
              <w:t>pH</w:t>
            </w:r>
          </w:p>
        </w:tc>
        <w:tc>
          <w:tcPr>
            <w:tcW w:w="850" w:type="dxa"/>
            <w:shd w:val="clear" w:color="auto" w:fill="auto"/>
            <w:noWrap/>
            <w:vAlign w:val="bottom"/>
          </w:tcPr>
          <w:p>
            <w:pPr>
              <w:widowControl/>
              <w:jc w:val="left"/>
              <w:rPr>
                <w:rFonts w:eastAsia="仿宋_GB2312"/>
                <w:kern w:val="0"/>
                <w:sz w:val="22"/>
              </w:rPr>
            </w:pPr>
          </w:p>
        </w:tc>
        <w:tc>
          <w:tcPr>
            <w:tcW w:w="1134" w:type="dxa"/>
            <w:shd w:val="clear" w:color="auto" w:fill="auto"/>
            <w:noWrap/>
            <w:vAlign w:val="bottom"/>
          </w:tcPr>
          <w:p>
            <w:pPr>
              <w:widowControl/>
              <w:jc w:val="left"/>
              <w:rPr>
                <w:rFonts w:eastAsia="仿宋_GB2312"/>
                <w:kern w:val="0"/>
                <w:sz w:val="22"/>
              </w:rPr>
            </w:pPr>
            <w:r>
              <w:rPr>
                <w:rFonts w:eastAsia="仿宋_GB2312"/>
                <w:kern w:val="0"/>
                <w:sz w:val="22"/>
              </w:rPr>
              <w:t>6.5-7.5</w:t>
            </w:r>
          </w:p>
        </w:tc>
        <w:tc>
          <w:tcPr>
            <w:tcW w:w="1332" w:type="dxa"/>
            <w:shd w:val="clear" w:color="auto" w:fill="auto"/>
            <w:noWrap/>
            <w:vAlign w:val="bottom"/>
          </w:tcPr>
          <w:p>
            <w:pPr>
              <w:widowControl/>
              <w:jc w:val="left"/>
              <w:rPr>
                <w:rFonts w:eastAsia="仿宋_GB2312"/>
                <w:kern w:val="0"/>
                <w:sz w:val="22"/>
              </w:rPr>
            </w:pPr>
            <w:r>
              <w:rPr>
                <w:rFonts w:eastAsia="仿宋_GB2312"/>
                <w:kern w:val="0"/>
                <w:sz w:val="22"/>
              </w:rPr>
              <w:t>5.5-6.5</w:t>
            </w:r>
          </w:p>
        </w:tc>
        <w:tc>
          <w:tcPr>
            <w:tcW w:w="1379" w:type="dxa"/>
            <w:shd w:val="clear" w:color="auto" w:fill="auto"/>
            <w:noWrap/>
            <w:vAlign w:val="bottom"/>
          </w:tcPr>
          <w:p>
            <w:pPr>
              <w:widowControl/>
              <w:jc w:val="left"/>
              <w:rPr>
                <w:rFonts w:eastAsia="仿宋_GB2312"/>
                <w:kern w:val="0"/>
                <w:sz w:val="22"/>
              </w:rPr>
            </w:pPr>
            <w:r>
              <w:rPr>
                <w:rFonts w:eastAsia="仿宋_GB2312"/>
                <w:kern w:val="0"/>
                <w:sz w:val="22"/>
              </w:rPr>
              <w:t>7.5-8.5</w:t>
            </w:r>
          </w:p>
        </w:tc>
        <w:tc>
          <w:tcPr>
            <w:tcW w:w="1487" w:type="dxa"/>
            <w:shd w:val="clear" w:color="auto" w:fill="auto"/>
            <w:noWrap/>
            <w:vAlign w:val="bottom"/>
          </w:tcPr>
          <w:p>
            <w:pPr>
              <w:widowControl/>
              <w:jc w:val="left"/>
              <w:rPr>
                <w:rFonts w:eastAsia="仿宋_GB2312"/>
                <w:kern w:val="0"/>
                <w:sz w:val="22"/>
              </w:rPr>
            </w:pPr>
            <w:r>
              <w:rPr>
                <w:rFonts w:eastAsia="仿宋_GB2312"/>
                <w:kern w:val="0"/>
                <w:sz w:val="22"/>
              </w:rPr>
              <w:t>4.5-5.5或&gt;8.5</w:t>
            </w:r>
          </w:p>
        </w:tc>
        <w:tc>
          <w:tcPr>
            <w:tcW w:w="1239" w:type="dxa"/>
            <w:shd w:val="clear" w:color="auto" w:fill="auto"/>
            <w:vAlign w:val="bottom"/>
          </w:tcPr>
          <w:p>
            <w:pPr>
              <w:widowControl/>
              <w:jc w:val="left"/>
              <w:rPr>
                <w:rFonts w:eastAsia="仿宋_GB2312"/>
                <w:kern w:val="0"/>
                <w:sz w:val="22"/>
              </w:rPr>
            </w:pPr>
            <w:r>
              <w:rPr>
                <w:rFonts w:eastAsia="仿宋_GB2312"/>
                <w:kern w:val="0"/>
                <w:sz w:val="22"/>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008" w:type="dxa"/>
            <w:shd w:val="clear" w:color="auto" w:fill="auto"/>
            <w:noWrap/>
            <w:vAlign w:val="bottom"/>
          </w:tcPr>
          <w:p>
            <w:pPr>
              <w:widowControl/>
              <w:jc w:val="left"/>
              <w:rPr>
                <w:rFonts w:eastAsia="仿宋_GB2312"/>
                <w:kern w:val="0"/>
                <w:sz w:val="22"/>
              </w:rPr>
            </w:pPr>
            <w:r>
              <w:rPr>
                <w:rFonts w:eastAsia="仿宋_GB2312"/>
                <w:kern w:val="0"/>
                <w:sz w:val="22"/>
              </w:rPr>
              <w:t>全氮</w:t>
            </w:r>
          </w:p>
        </w:tc>
        <w:tc>
          <w:tcPr>
            <w:tcW w:w="850" w:type="dxa"/>
            <w:shd w:val="clear" w:color="auto" w:fill="auto"/>
            <w:noWrap/>
            <w:vAlign w:val="bottom"/>
          </w:tcPr>
          <w:p>
            <w:pPr>
              <w:widowControl/>
              <w:jc w:val="left"/>
              <w:rPr>
                <w:rFonts w:eastAsia="仿宋_GB2312"/>
                <w:kern w:val="0"/>
                <w:sz w:val="22"/>
              </w:rPr>
            </w:pPr>
            <w:r>
              <w:rPr>
                <w:rFonts w:eastAsia="仿宋_GB2312"/>
                <w:kern w:val="0"/>
                <w:sz w:val="22"/>
              </w:rPr>
              <w:t>g/kg</w:t>
            </w:r>
          </w:p>
        </w:tc>
        <w:tc>
          <w:tcPr>
            <w:tcW w:w="1134" w:type="dxa"/>
            <w:shd w:val="clear" w:color="auto" w:fill="auto"/>
            <w:noWrap/>
            <w:vAlign w:val="bottom"/>
          </w:tcPr>
          <w:p>
            <w:pPr>
              <w:widowControl/>
              <w:jc w:val="left"/>
              <w:rPr>
                <w:rFonts w:eastAsia="仿宋_GB2312"/>
                <w:kern w:val="0"/>
                <w:sz w:val="22"/>
              </w:rPr>
            </w:pPr>
            <w:r>
              <w:rPr>
                <w:rFonts w:eastAsia="仿宋_GB2312"/>
                <w:kern w:val="0"/>
                <w:sz w:val="22"/>
              </w:rPr>
              <w:t>&gt;2.0</w:t>
            </w:r>
          </w:p>
        </w:tc>
        <w:tc>
          <w:tcPr>
            <w:tcW w:w="1332" w:type="dxa"/>
            <w:shd w:val="clear" w:color="auto" w:fill="auto"/>
            <w:noWrap/>
            <w:vAlign w:val="bottom"/>
          </w:tcPr>
          <w:p>
            <w:pPr>
              <w:widowControl/>
              <w:jc w:val="left"/>
              <w:rPr>
                <w:rFonts w:eastAsia="仿宋_GB2312"/>
                <w:kern w:val="0"/>
                <w:sz w:val="22"/>
              </w:rPr>
            </w:pPr>
            <w:r>
              <w:rPr>
                <w:rFonts w:eastAsia="仿宋_GB2312"/>
                <w:kern w:val="0"/>
                <w:sz w:val="22"/>
              </w:rPr>
              <w:t>2.0-1.5</w:t>
            </w:r>
          </w:p>
        </w:tc>
        <w:tc>
          <w:tcPr>
            <w:tcW w:w="1379" w:type="dxa"/>
            <w:shd w:val="clear" w:color="auto" w:fill="auto"/>
            <w:noWrap/>
            <w:vAlign w:val="bottom"/>
          </w:tcPr>
          <w:p>
            <w:pPr>
              <w:widowControl/>
              <w:jc w:val="left"/>
              <w:rPr>
                <w:rFonts w:eastAsia="仿宋_GB2312"/>
                <w:kern w:val="0"/>
                <w:sz w:val="22"/>
              </w:rPr>
            </w:pPr>
            <w:r>
              <w:rPr>
                <w:rFonts w:eastAsia="仿宋_GB2312"/>
                <w:kern w:val="0"/>
                <w:sz w:val="22"/>
              </w:rPr>
              <w:t>1.5-1.0</w:t>
            </w:r>
          </w:p>
        </w:tc>
        <w:tc>
          <w:tcPr>
            <w:tcW w:w="1487" w:type="dxa"/>
            <w:shd w:val="clear" w:color="auto" w:fill="auto"/>
            <w:noWrap/>
            <w:vAlign w:val="bottom"/>
          </w:tcPr>
          <w:p>
            <w:pPr>
              <w:widowControl/>
              <w:jc w:val="left"/>
              <w:rPr>
                <w:rFonts w:eastAsia="仿宋_GB2312"/>
                <w:kern w:val="0"/>
                <w:sz w:val="22"/>
              </w:rPr>
            </w:pPr>
            <w:r>
              <w:rPr>
                <w:rFonts w:eastAsia="仿宋_GB2312"/>
                <w:kern w:val="0"/>
                <w:sz w:val="22"/>
              </w:rPr>
              <w:t>1.0-0.75</w:t>
            </w:r>
          </w:p>
        </w:tc>
        <w:tc>
          <w:tcPr>
            <w:tcW w:w="1239" w:type="dxa"/>
            <w:shd w:val="clear" w:color="auto" w:fill="auto"/>
            <w:noWrap/>
            <w:vAlign w:val="bottom"/>
          </w:tcPr>
          <w:p>
            <w:pPr>
              <w:widowControl/>
              <w:jc w:val="left"/>
              <w:rPr>
                <w:rFonts w:eastAsia="仿宋_GB2312"/>
                <w:kern w:val="0"/>
                <w:sz w:val="22"/>
              </w:rPr>
            </w:pPr>
            <w:r>
              <w:rPr>
                <w:rFonts w:eastAsia="仿宋_GB2312"/>
                <w:kern w:val="0"/>
                <w:sz w:val="22"/>
              </w:rPr>
              <w:t>≤0.75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008" w:type="dxa"/>
            <w:shd w:val="clear" w:color="auto" w:fill="auto"/>
            <w:noWrap/>
            <w:vAlign w:val="bottom"/>
          </w:tcPr>
          <w:p>
            <w:pPr>
              <w:widowControl/>
              <w:jc w:val="left"/>
              <w:rPr>
                <w:rFonts w:eastAsia="仿宋_GB2312"/>
                <w:kern w:val="0"/>
                <w:sz w:val="22"/>
              </w:rPr>
            </w:pPr>
            <w:r>
              <w:rPr>
                <w:rFonts w:eastAsia="仿宋_GB2312"/>
                <w:kern w:val="0"/>
                <w:sz w:val="22"/>
              </w:rPr>
              <w:t>有效磷</w:t>
            </w:r>
          </w:p>
        </w:tc>
        <w:tc>
          <w:tcPr>
            <w:tcW w:w="850" w:type="dxa"/>
            <w:shd w:val="clear" w:color="auto" w:fill="auto"/>
            <w:noWrap/>
            <w:vAlign w:val="bottom"/>
          </w:tcPr>
          <w:p>
            <w:pPr>
              <w:widowControl/>
              <w:jc w:val="left"/>
              <w:rPr>
                <w:rFonts w:eastAsia="仿宋_GB2312"/>
                <w:kern w:val="0"/>
                <w:sz w:val="22"/>
              </w:rPr>
            </w:pPr>
            <w:r>
              <w:rPr>
                <w:rFonts w:eastAsia="仿宋_GB2312"/>
                <w:kern w:val="0"/>
                <w:sz w:val="22"/>
              </w:rPr>
              <w:t>mg/kg</w:t>
            </w:r>
          </w:p>
        </w:tc>
        <w:tc>
          <w:tcPr>
            <w:tcW w:w="1134" w:type="dxa"/>
            <w:shd w:val="clear" w:color="auto" w:fill="auto"/>
            <w:noWrap/>
            <w:vAlign w:val="bottom"/>
          </w:tcPr>
          <w:p>
            <w:pPr>
              <w:widowControl/>
              <w:jc w:val="left"/>
              <w:rPr>
                <w:rFonts w:eastAsia="仿宋_GB2312"/>
                <w:kern w:val="0"/>
                <w:sz w:val="22"/>
              </w:rPr>
            </w:pPr>
            <w:r>
              <w:rPr>
                <w:rFonts w:eastAsia="仿宋_GB2312"/>
                <w:kern w:val="0"/>
                <w:sz w:val="22"/>
              </w:rPr>
              <w:t>&gt;35</w:t>
            </w:r>
          </w:p>
        </w:tc>
        <w:tc>
          <w:tcPr>
            <w:tcW w:w="1332" w:type="dxa"/>
            <w:shd w:val="clear" w:color="auto" w:fill="auto"/>
            <w:noWrap/>
            <w:vAlign w:val="bottom"/>
          </w:tcPr>
          <w:p>
            <w:pPr>
              <w:widowControl/>
              <w:jc w:val="left"/>
              <w:rPr>
                <w:rFonts w:eastAsia="仿宋_GB2312"/>
                <w:kern w:val="0"/>
                <w:sz w:val="22"/>
              </w:rPr>
            </w:pPr>
            <w:r>
              <w:rPr>
                <w:rFonts w:eastAsia="仿宋_GB2312"/>
                <w:kern w:val="0"/>
                <w:sz w:val="22"/>
              </w:rPr>
              <w:t>35-25</w:t>
            </w:r>
          </w:p>
        </w:tc>
        <w:tc>
          <w:tcPr>
            <w:tcW w:w="1379" w:type="dxa"/>
            <w:shd w:val="clear" w:color="auto" w:fill="auto"/>
            <w:noWrap/>
            <w:vAlign w:val="bottom"/>
          </w:tcPr>
          <w:p>
            <w:pPr>
              <w:widowControl/>
              <w:jc w:val="left"/>
              <w:rPr>
                <w:rFonts w:eastAsia="仿宋_GB2312"/>
                <w:kern w:val="0"/>
                <w:sz w:val="22"/>
              </w:rPr>
            </w:pPr>
            <w:r>
              <w:rPr>
                <w:rFonts w:eastAsia="仿宋_GB2312"/>
                <w:kern w:val="0"/>
                <w:sz w:val="22"/>
              </w:rPr>
              <w:t>25-15</w:t>
            </w:r>
          </w:p>
        </w:tc>
        <w:tc>
          <w:tcPr>
            <w:tcW w:w="1487" w:type="dxa"/>
            <w:shd w:val="clear" w:color="auto" w:fill="auto"/>
            <w:noWrap/>
            <w:vAlign w:val="bottom"/>
          </w:tcPr>
          <w:p>
            <w:pPr>
              <w:widowControl/>
              <w:jc w:val="left"/>
              <w:rPr>
                <w:rFonts w:eastAsia="仿宋_GB2312"/>
                <w:kern w:val="0"/>
                <w:sz w:val="22"/>
              </w:rPr>
            </w:pPr>
            <w:r>
              <w:rPr>
                <w:rFonts w:eastAsia="仿宋_GB2312"/>
                <w:kern w:val="0"/>
                <w:sz w:val="22"/>
              </w:rPr>
              <w:t>15-10</w:t>
            </w:r>
          </w:p>
        </w:tc>
        <w:tc>
          <w:tcPr>
            <w:tcW w:w="1239" w:type="dxa"/>
            <w:shd w:val="clear" w:color="auto" w:fill="auto"/>
            <w:noWrap/>
            <w:vAlign w:val="bottom"/>
          </w:tcPr>
          <w:p>
            <w:pPr>
              <w:widowControl/>
              <w:jc w:val="left"/>
              <w:rPr>
                <w:rFonts w:eastAsia="仿宋_GB2312"/>
                <w:kern w:val="0"/>
                <w:sz w:val="22"/>
              </w:rPr>
            </w:pPr>
            <w:r>
              <w:rPr>
                <w:rFonts w:eastAsia="仿宋_GB2312"/>
                <w:kern w:val="0"/>
                <w:sz w:val="22"/>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008" w:type="dxa"/>
            <w:shd w:val="clear" w:color="auto" w:fill="auto"/>
            <w:noWrap/>
            <w:vAlign w:val="bottom"/>
          </w:tcPr>
          <w:p>
            <w:pPr>
              <w:widowControl/>
              <w:jc w:val="left"/>
              <w:rPr>
                <w:rFonts w:eastAsia="仿宋_GB2312"/>
                <w:kern w:val="0"/>
                <w:sz w:val="22"/>
              </w:rPr>
            </w:pPr>
            <w:r>
              <w:rPr>
                <w:rFonts w:eastAsia="仿宋_GB2312"/>
                <w:kern w:val="0"/>
                <w:sz w:val="22"/>
              </w:rPr>
              <w:t>速效钾</w:t>
            </w:r>
          </w:p>
        </w:tc>
        <w:tc>
          <w:tcPr>
            <w:tcW w:w="850" w:type="dxa"/>
            <w:shd w:val="clear" w:color="auto" w:fill="auto"/>
            <w:noWrap/>
            <w:vAlign w:val="bottom"/>
          </w:tcPr>
          <w:p>
            <w:pPr>
              <w:widowControl/>
              <w:jc w:val="left"/>
              <w:rPr>
                <w:rFonts w:eastAsia="仿宋_GB2312"/>
                <w:kern w:val="0"/>
                <w:sz w:val="22"/>
              </w:rPr>
            </w:pPr>
            <w:r>
              <w:rPr>
                <w:rFonts w:eastAsia="仿宋_GB2312"/>
                <w:kern w:val="0"/>
                <w:sz w:val="22"/>
              </w:rPr>
              <w:t>mg/kg</w:t>
            </w:r>
          </w:p>
        </w:tc>
        <w:tc>
          <w:tcPr>
            <w:tcW w:w="1134" w:type="dxa"/>
            <w:shd w:val="clear" w:color="auto" w:fill="auto"/>
            <w:noWrap/>
            <w:vAlign w:val="bottom"/>
          </w:tcPr>
          <w:p>
            <w:pPr>
              <w:widowControl/>
              <w:jc w:val="left"/>
              <w:rPr>
                <w:rFonts w:eastAsia="仿宋_GB2312"/>
                <w:kern w:val="0"/>
                <w:sz w:val="22"/>
              </w:rPr>
            </w:pPr>
            <w:r>
              <w:rPr>
                <w:rFonts w:eastAsia="仿宋_GB2312"/>
                <w:kern w:val="0"/>
                <w:sz w:val="22"/>
              </w:rPr>
              <w:t>&gt;150</w:t>
            </w:r>
          </w:p>
        </w:tc>
        <w:tc>
          <w:tcPr>
            <w:tcW w:w="1332" w:type="dxa"/>
            <w:shd w:val="clear" w:color="auto" w:fill="auto"/>
            <w:noWrap/>
            <w:vAlign w:val="bottom"/>
          </w:tcPr>
          <w:p>
            <w:pPr>
              <w:widowControl/>
              <w:jc w:val="left"/>
              <w:rPr>
                <w:rFonts w:eastAsia="仿宋_GB2312"/>
                <w:kern w:val="0"/>
                <w:sz w:val="22"/>
              </w:rPr>
            </w:pPr>
            <w:r>
              <w:rPr>
                <w:rFonts w:eastAsia="仿宋_GB2312"/>
                <w:kern w:val="0"/>
                <w:sz w:val="22"/>
              </w:rPr>
              <w:t>150-120</w:t>
            </w:r>
          </w:p>
        </w:tc>
        <w:tc>
          <w:tcPr>
            <w:tcW w:w="1379" w:type="dxa"/>
            <w:shd w:val="clear" w:color="auto" w:fill="auto"/>
            <w:noWrap/>
            <w:vAlign w:val="bottom"/>
          </w:tcPr>
          <w:p>
            <w:pPr>
              <w:widowControl/>
              <w:jc w:val="left"/>
              <w:rPr>
                <w:rFonts w:eastAsia="仿宋_GB2312"/>
                <w:kern w:val="0"/>
                <w:sz w:val="22"/>
              </w:rPr>
            </w:pPr>
            <w:r>
              <w:rPr>
                <w:rFonts w:eastAsia="仿宋_GB2312"/>
                <w:kern w:val="0"/>
                <w:sz w:val="22"/>
              </w:rPr>
              <w:t>120-80</w:t>
            </w:r>
          </w:p>
        </w:tc>
        <w:tc>
          <w:tcPr>
            <w:tcW w:w="1487" w:type="dxa"/>
            <w:shd w:val="clear" w:color="auto" w:fill="auto"/>
            <w:noWrap/>
            <w:vAlign w:val="bottom"/>
          </w:tcPr>
          <w:p>
            <w:pPr>
              <w:widowControl/>
              <w:jc w:val="left"/>
              <w:rPr>
                <w:rFonts w:eastAsia="仿宋_GB2312"/>
                <w:kern w:val="0"/>
                <w:sz w:val="22"/>
              </w:rPr>
            </w:pPr>
            <w:r>
              <w:rPr>
                <w:rFonts w:eastAsia="仿宋_GB2312"/>
                <w:kern w:val="0"/>
                <w:sz w:val="22"/>
              </w:rPr>
              <w:t>80-50</w:t>
            </w:r>
          </w:p>
        </w:tc>
        <w:tc>
          <w:tcPr>
            <w:tcW w:w="1239" w:type="dxa"/>
            <w:shd w:val="clear" w:color="auto" w:fill="auto"/>
            <w:noWrap/>
            <w:vAlign w:val="bottom"/>
          </w:tcPr>
          <w:p>
            <w:pPr>
              <w:widowControl/>
              <w:jc w:val="left"/>
              <w:rPr>
                <w:rFonts w:eastAsia="仿宋_GB2312"/>
                <w:kern w:val="0"/>
                <w:sz w:val="22"/>
              </w:rPr>
            </w:pPr>
            <w:r>
              <w:rPr>
                <w:rFonts w:eastAsia="仿宋_GB2312"/>
                <w:kern w:val="0"/>
                <w:sz w:val="22"/>
              </w:rPr>
              <w:t>≤50</w:t>
            </w:r>
          </w:p>
        </w:tc>
      </w:tr>
    </w:tbl>
    <w:p/>
    <w:p>
      <w:pPr>
        <w:keepNext w:val="0"/>
        <w:keepLines w:val="0"/>
        <w:pageBreakBefore w:val="0"/>
        <w:kinsoku/>
        <w:wordWrap/>
        <w:overflowPunct/>
        <w:topLinePunct w:val="0"/>
        <w:autoSpaceDE/>
        <w:autoSpaceDN/>
        <w:bidi w:val="0"/>
        <w:adjustRightInd/>
        <w:snapToGrid/>
        <w:spacing w:line="560" w:lineRule="exact"/>
        <w:ind w:firstLine="642" w:firstLineChars="200"/>
        <w:textAlignment w:val="auto"/>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2.1.1土壤有机质分析</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土壤有机质既是土壤的重要组成部分，又是植物矿质营养和有机营养的源泉，土壤的许多属性都直接或间接地与有机质相关。同时，土壤有机质也是土壤质量与肥力的重要因子，其含量的高低与土壤肥力水平密切相关。研究表明，开垦、耕作、施肥等人类活动都会影响土壤有机质的含量与品质。因此，土壤有机质含量变化是农田土壤用养管理的综合结果和肥力演变的重要标志。2022年度，湖州市耕地质量监测点土壤有机质平均含量为30.10g/kg，总体处于较高水平。</w:t>
      </w:r>
    </w:p>
    <w:p>
      <w:pPr>
        <w:keepNext w:val="0"/>
        <w:keepLines w:val="0"/>
        <w:pageBreakBefore w:val="0"/>
        <w:widowControl/>
        <w:kinsoku/>
        <w:wordWrap/>
        <w:overflowPunct/>
        <w:topLinePunct w:val="0"/>
        <w:autoSpaceDE/>
        <w:autoSpaceDN/>
        <w:bidi w:val="0"/>
        <w:adjustRightInd/>
        <w:snapToGrid/>
        <w:spacing w:line="580" w:lineRule="exact"/>
        <w:ind w:firstLine="642" w:firstLineChars="200"/>
        <w:jc w:val="left"/>
        <w:textAlignment w:val="auto"/>
        <w:rPr>
          <w:rFonts w:hint="eastAsia" w:ascii="仿宋_GB2312" w:hAnsi="仿宋_GB2312" w:eastAsia="仿宋_GB2312" w:cs="仿宋_GB2312"/>
          <w:b/>
          <w:bCs/>
          <w:kern w:val="0"/>
          <w:sz w:val="32"/>
          <w:szCs w:val="32"/>
        </w:rPr>
      </w:pPr>
      <w:r>
        <w:rPr>
          <w:rFonts w:hint="eastAsia" w:ascii="仿宋_GB2312" w:hAnsi="仿宋_GB2312" w:eastAsia="仿宋_GB2312" w:cs="仿宋_GB2312"/>
          <w:b/>
          <w:bCs/>
          <w:kern w:val="0"/>
          <w:sz w:val="32"/>
          <w:szCs w:val="32"/>
        </w:rPr>
        <w:t>（1）水田</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2022年度，湖州市水田土壤有机质平均含量为29.69 g/kg，处于较高水平，其含量在近几年总体趋于稳定，有略微下降的趋</w:t>
      </w:r>
      <w:r>
        <w:rPr>
          <w:rFonts w:hint="eastAsia" w:ascii="仿宋_GB2312" w:hAnsi="仿宋_GB2312" w:eastAsia="仿宋_GB2312" w:cs="仿宋_GB2312"/>
          <w:kern w:val="0"/>
          <w:sz w:val="32"/>
          <w:szCs w:val="32"/>
          <w:lang w:eastAsia="zh-CN"/>
        </w:rPr>
        <w:t>势（如图2.1所示）。监测点空白区因常年不施肥，基础地力略微下降为正常现象，</w:t>
      </w:r>
      <w:r>
        <w:rPr>
          <w:rFonts w:hint="eastAsia" w:ascii="仿宋_GB2312" w:hAnsi="仿宋_GB2312" w:eastAsia="仿宋_GB2312" w:cs="仿宋_GB2312"/>
          <w:kern w:val="0"/>
          <w:sz w:val="32"/>
          <w:szCs w:val="32"/>
        </w:rPr>
        <w:t>应注意增施有机肥，坚持土壤培肥，充分发挥有机肥对耕地的持续培肥作用。从频率分布来看，水田土壤有机质含量&gt;25g/kg占75%，其中高水平占25%，较高水平占50%。中水平（15-25g/kg）占25%，没有处于低或较低水平（≤15g/kg）有机质含量的水田监测点。具体分布情况见图2.2。</w:t>
      </w:r>
    </w:p>
    <w:p>
      <w:pPr>
        <w:widowControl/>
        <w:jc w:val="center"/>
        <w:rPr>
          <w:rFonts w:eastAsia="仿宋_GB2312"/>
          <w:kern w:val="0"/>
          <w:sz w:val="28"/>
        </w:rPr>
      </w:pPr>
      <w:r>
        <w:rPr>
          <w:rFonts w:eastAsia="仿宋_GB2312"/>
          <w:kern w:val="0"/>
          <w:sz w:val="28"/>
        </w:rPr>
        <w:drawing>
          <wp:inline distT="0" distB="0" distL="0" distR="0">
            <wp:extent cx="5274310" cy="2722245"/>
            <wp:effectExtent l="0" t="0" r="0" b="0"/>
            <wp:docPr id="1026" name="图片 4" descr="E:\其他\耕地质量监测报告\2022\湖州2022\图\水田\Graph1.tif"/>
            <wp:cNvGraphicFramePr/>
            <a:graphic xmlns:a="http://schemas.openxmlformats.org/drawingml/2006/main">
              <a:graphicData uri="http://schemas.openxmlformats.org/drawingml/2006/picture">
                <pic:pic xmlns:pic="http://schemas.openxmlformats.org/drawingml/2006/picture">
                  <pic:nvPicPr>
                    <pic:cNvPr id="1026" name="图片 4" descr="E:\其他\耕地质量监测报告\2022\湖州2022\图\水田\Graph1.tif"/>
                    <pic:cNvPicPr/>
                  </pic:nvPicPr>
                  <pic:blipFill>
                    <a:blip r:embed="rId6" cstate="print"/>
                    <a:srcRect/>
                    <a:stretch>
                      <a:fillRect/>
                    </a:stretch>
                  </pic:blipFill>
                  <pic:spPr>
                    <a:xfrm>
                      <a:off x="0" y="0"/>
                      <a:ext cx="5274310" cy="2722245"/>
                    </a:xfrm>
                    <a:prstGeom prst="rect">
                      <a:avLst/>
                    </a:prstGeom>
                    <a:ln>
                      <a:noFill/>
                    </a:ln>
                  </pic:spPr>
                </pic:pic>
              </a:graphicData>
            </a:graphic>
          </wp:inline>
        </w:drawing>
      </w:r>
    </w:p>
    <w:p>
      <w:pPr>
        <w:jc w:val="center"/>
        <w:rPr>
          <w:rFonts w:eastAsia="仿宋_GB2312"/>
          <w:sz w:val="28"/>
          <w:szCs w:val="28"/>
        </w:rPr>
      </w:pPr>
      <w:r>
        <w:rPr>
          <w:rFonts w:eastAsia="仿宋_GB2312"/>
          <w:sz w:val="28"/>
          <w:szCs w:val="28"/>
        </w:rPr>
        <w:t>图2.1  2011年-2022年</w:t>
      </w:r>
      <w:r>
        <w:rPr>
          <w:rFonts w:hint="eastAsia" w:eastAsia="仿宋_GB2312"/>
          <w:sz w:val="28"/>
          <w:szCs w:val="28"/>
        </w:rPr>
        <w:t>湖州市水田</w:t>
      </w:r>
      <w:r>
        <w:rPr>
          <w:rFonts w:eastAsia="仿宋_GB2312"/>
          <w:sz w:val="28"/>
          <w:szCs w:val="28"/>
        </w:rPr>
        <w:t>土壤有机质含量</w:t>
      </w:r>
    </w:p>
    <w:p>
      <w:pPr>
        <w:jc w:val="center"/>
        <w:rPr>
          <w:rFonts w:eastAsia="仿宋_GB2312"/>
          <w:sz w:val="28"/>
          <w:szCs w:val="28"/>
        </w:rPr>
      </w:pPr>
      <w:r>
        <w:rPr>
          <w:rFonts w:eastAsia="仿宋_GB2312"/>
          <w:sz w:val="28"/>
          <w:szCs w:val="28"/>
        </w:rPr>
        <w:drawing>
          <wp:inline distT="0" distB="0" distL="0" distR="0">
            <wp:extent cx="5274310" cy="2332990"/>
            <wp:effectExtent l="0" t="0" r="0" b="0"/>
            <wp:docPr id="1027" name="图片 11" descr="E:\其他\帮工\耕地质量监测报告\2022\湖州2022\图\水田分布\Graph1.tif"/>
            <wp:cNvGraphicFramePr/>
            <a:graphic xmlns:a="http://schemas.openxmlformats.org/drawingml/2006/main">
              <a:graphicData uri="http://schemas.openxmlformats.org/drawingml/2006/picture">
                <pic:pic xmlns:pic="http://schemas.openxmlformats.org/drawingml/2006/picture">
                  <pic:nvPicPr>
                    <pic:cNvPr id="1027" name="图片 11" descr="E:\其他\帮工\耕地质量监测报告\2022\湖州2022\图\水田分布\Graph1.tif"/>
                    <pic:cNvPicPr/>
                  </pic:nvPicPr>
                  <pic:blipFill>
                    <a:blip r:embed="rId7" cstate="print"/>
                    <a:srcRect/>
                    <a:stretch>
                      <a:fillRect/>
                    </a:stretch>
                  </pic:blipFill>
                  <pic:spPr>
                    <a:xfrm>
                      <a:off x="0" y="0"/>
                      <a:ext cx="5274310" cy="2332990"/>
                    </a:xfrm>
                    <a:prstGeom prst="rect">
                      <a:avLst/>
                    </a:prstGeom>
                    <a:ln>
                      <a:noFill/>
                    </a:ln>
                  </pic:spPr>
                </pic:pic>
              </a:graphicData>
            </a:graphic>
          </wp:inline>
        </w:drawing>
      </w:r>
    </w:p>
    <w:p>
      <w:pPr>
        <w:jc w:val="center"/>
        <w:rPr>
          <w:rFonts w:eastAsia="仿宋_GB2312"/>
          <w:sz w:val="28"/>
          <w:szCs w:val="28"/>
        </w:rPr>
      </w:pPr>
      <w:r>
        <w:rPr>
          <w:rFonts w:eastAsia="仿宋_GB2312"/>
          <w:sz w:val="28"/>
          <w:szCs w:val="28"/>
        </w:rPr>
        <w:t>图2.</w:t>
      </w:r>
      <w:r>
        <w:rPr>
          <w:rFonts w:hint="eastAsia" w:eastAsia="仿宋_GB2312"/>
          <w:sz w:val="28"/>
          <w:szCs w:val="28"/>
        </w:rPr>
        <w:t>2</w:t>
      </w:r>
      <w:r>
        <w:rPr>
          <w:rFonts w:eastAsia="仿宋_GB2312"/>
          <w:sz w:val="28"/>
          <w:szCs w:val="28"/>
        </w:rPr>
        <w:t xml:space="preserve">  2022年</w:t>
      </w:r>
      <w:r>
        <w:rPr>
          <w:rFonts w:hint="eastAsia" w:eastAsia="仿宋_GB2312"/>
          <w:sz w:val="28"/>
          <w:szCs w:val="28"/>
        </w:rPr>
        <w:t>湖州市水田</w:t>
      </w:r>
      <w:r>
        <w:rPr>
          <w:rFonts w:eastAsia="仿宋_GB2312"/>
          <w:sz w:val="28"/>
          <w:szCs w:val="28"/>
        </w:rPr>
        <w:t>土壤有机质含量</w:t>
      </w:r>
      <w:r>
        <w:rPr>
          <w:rFonts w:hint="eastAsia" w:eastAsia="仿宋_GB2312"/>
          <w:sz w:val="28"/>
          <w:szCs w:val="28"/>
        </w:rPr>
        <w:t>分布情况</w:t>
      </w:r>
    </w:p>
    <w:p>
      <w:pPr>
        <w:keepNext w:val="0"/>
        <w:keepLines w:val="0"/>
        <w:pageBreakBefore w:val="0"/>
        <w:widowControl/>
        <w:kinsoku/>
        <w:wordWrap/>
        <w:overflowPunct/>
        <w:topLinePunct w:val="0"/>
        <w:autoSpaceDE/>
        <w:autoSpaceDN/>
        <w:bidi w:val="0"/>
        <w:adjustRightInd/>
        <w:snapToGrid/>
        <w:spacing w:line="580" w:lineRule="exact"/>
        <w:ind w:firstLine="642" w:firstLineChars="200"/>
        <w:jc w:val="left"/>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（2）旱地</w:t>
      </w:r>
      <w:r>
        <w:rPr>
          <w:rFonts w:hint="eastAsia" w:ascii="仿宋_GB2312" w:hAnsi="仿宋_GB2312" w:eastAsia="仿宋_GB2312" w:cs="仿宋_GB2312"/>
          <w:b/>
          <w:bCs/>
          <w:kern w:val="0"/>
          <w:sz w:val="32"/>
          <w:szCs w:val="32"/>
        </w:rPr>
        <w:t>、园地</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2022年度，湖州市旱地土壤有机质平均含量为38.26 g/kg，处于高水平，其含量较2021年有所回升（如图2.3所示）。湖州旱地监测点只有两处，不做频率分布分析（下同）。</w:t>
      </w:r>
    </w:p>
    <w:p>
      <w:pPr>
        <w:widowControl/>
        <w:jc w:val="center"/>
        <w:rPr>
          <w:rFonts w:eastAsia="仿宋_GB2312"/>
          <w:kern w:val="0"/>
          <w:sz w:val="28"/>
        </w:rPr>
      </w:pPr>
      <w:r>
        <w:rPr>
          <w:rFonts w:eastAsia="仿宋_GB2312"/>
          <w:kern w:val="0"/>
          <w:sz w:val="28"/>
        </w:rPr>
        <w:drawing>
          <wp:inline distT="0" distB="0" distL="0" distR="0">
            <wp:extent cx="5274310" cy="2731135"/>
            <wp:effectExtent l="0" t="0" r="0" b="0"/>
            <wp:docPr id="1028" name="图片 2" descr="E:\其他\耕地质量监测报告\2022\湖州2022\图\旱地\Graph1.tif"/>
            <wp:cNvGraphicFramePr/>
            <a:graphic xmlns:a="http://schemas.openxmlformats.org/drawingml/2006/main">
              <a:graphicData uri="http://schemas.openxmlformats.org/drawingml/2006/picture">
                <pic:pic xmlns:pic="http://schemas.openxmlformats.org/drawingml/2006/picture">
                  <pic:nvPicPr>
                    <pic:cNvPr id="1028" name="图片 2" descr="E:\其他\耕地质量监测报告\2022\湖州2022\图\旱地\Graph1.tif"/>
                    <pic:cNvPicPr/>
                  </pic:nvPicPr>
                  <pic:blipFill>
                    <a:blip r:embed="rId8" cstate="print"/>
                    <a:srcRect/>
                    <a:stretch>
                      <a:fillRect/>
                    </a:stretch>
                  </pic:blipFill>
                  <pic:spPr>
                    <a:xfrm>
                      <a:off x="0" y="0"/>
                      <a:ext cx="5274310" cy="2731135"/>
                    </a:xfrm>
                    <a:prstGeom prst="rect">
                      <a:avLst/>
                    </a:prstGeom>
                    <a:ln>
                      <a:noFill/>
                    </a:ln>
                  </pic:spPr>
                </pic:pic>
              </a:graphicData>
            </a:graphic>
          </wp:inline>
        </w:drawing>
      </w:r>
    </w:p>
    <w:p>
      <w:pPr>
        <w:widowControl/>
        <w:jc w:val="center"/>
        <w:rPr>
          <w:rFonts w:eastAsia="仿宋_GB2312"/>
          <w:sz w:val="28"/>
          <w:szCs w:val="28"/>
        </w:rPr>
      </w:pPr>
      <w:r>
        <w:rPr>
          <w:rFonts w:eastAsia="仿宋_GB2312"/>
          <w:sz w:val="28"/>
          <w:szCs w:val="28"/>
        </w:rPr>
        <w:t>图2.</w:t>
      </w:r>
      <w:r>
        <w:rPr>
          <w:rFonts w:hint="eastAsia" w:eastAsia="仿宋_GB2312"/>
          <w:sz w:val="28"/>
          <w:szCs w:val="28"/>
        </w:rPr>
        <w:t>3</w:t>
      </w:r>
      <w:r>
        <w:rPr>
          <w:rFonts w:eastAsia="仿宋_GB2312"/>
          <w:sz w:val="28"/>
          <w:szCs w:val="28"/>
        </w:rPr>
        <w:t xml:space="preserve">  2011年-2022年</w:t>
      </w:r>
      <w:r>
        <w:rPr>
          <w:rFonts w:hint="eastAsia" w:eastAsia="仿宋_GB2312"/>
          <w:sz w:val="28"/>
          <w:szCs w:val="28"/>
        </w:rPr>
        <w:t>湖州市旱地</w:t>
      </w:r>
      <w:r>
        <w:rPr>
          <w:rFonts w:eastAsia="仿宋_GB2312"/>
          <w:sz w:val="28"/>
          <w:szCs w:val="28"/>
        </w:rPr>
        <w:t>土壤有机质含量</w:t>
      </w:r>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textAlignment w:val="auto"/>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2.1.2土壤全氮含量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氮素是植物生长三要素之首，氮素的演变也是土壤肥力演变的核心内容。土壤耽误含量与植物生长直接相关，其含量是是评价耕地质量主要指标之一。2022年湖州市土壤全氮含量1.54g/kg，总体处于较高水平。</w:t>
      </w:r>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textAlignment w:val="auto"/>
        <w:rPr>
          <w:rFonts w:hint="eastAsia" w:ascii="仿宋_GB2312" w:hAnsi="仿宋_GB2312" w:eastAsia="仿宋_GB2312" w:cs="仿宋_GB2312"/>
          <w:b/>
          <w:bCs/>
          <w:kern w:val="0"/>
          <w:sz w:val="32"/>
          <w:szCs w:val="32"/>
        </w:rPr>
      </w:pPr>
      <w:r>
        <w:rPr>
          <w:rFonts w:hint="eastAsia" w:ascii="仿宋_GB2312" w:hAnsi="仿宋_GB2312" w:eastAsia="仿宋_GB2312" w:cs="仿宋_GB2312"/>
          <w:b/>
          <w:bCs/>
          <w:kern w:val="0"/>
          <w:sz w:val="32"/>
          <w:szCs w:val="32"/>
        </w:rPr>
        <w:t>（1）水田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2022年度，湖州市水田土壤全氮平均含量为1.52g/kg，处于较高水平，2011年-2022年湖州市水田土壤全氮含量总体变化不大，近几年呈下降趋势，可能与2019-2022年新增和调整监测点有关（如图2.4所示）。从频率分布来看，水田土壤全氮含量主要集中在1.5-2.0g/kg和&gt;2.0g/kg的较高和高水平，其中高水平占15%，较高水平占50%。中水平（1.0-1.5g/kg）占5%。全氮含量处于低或较低水平（≤1.0g/kg）的在水田监测点中共占30%。具体分布情况见图2.5。</w:t>
      </w:r>
    </w:p>
    <w:p>
      <w:pPr>
        <w:jc w:val="center"/>
        <w:rPr>
          <w:rFonts w:eastAsia="仿宋_GB2312"/>
          <w:kern w:val="0"/>
          <w:sz w:val="28"/>
        </w:rPr>
      </w:pPr>
      <w:r>
        <w:rPr>
          <w:rFonts w:eastAsia="仿宋_GB2312"/>
          <w:kern w:val="0"/>
          <w:sz w:val="28"/>
        </w:rPr>
        <w:drawing>
          <wp:inline distT="0" distB="0" distL="0" distR="0">
            <wp:extent cx="5274310" cy="2722245"/>
            <wp:effectExtent l="0" t="0" r="2540" b="1905"/>
            <wp:docPr id="1029" name="图片 3" descr="E:\其他\耕地质量监测报告\2022\湖州2022\图\水田\Graph2.tif"/>
            <wp:cNvGraphicFramePr/>
            <a:graphic xmlns:a="http://schemas.openxmlformats.org/drawingml/2006/main">
              <a:graphicData uri="http://schemas.openxmlformats.org/drawingml/2006/picture">
                <pic:pic xmlns:pic="http://schemas.openxmlformats.org/drawingml/2006/picture">
                  <pic:nvPicPr>
                    <pic:cNvPr id="1029" name="图片 3" descr="E:\其他\耕地质量监测报告\2022\湖州2022\图\水田\Graph2.tif"/>
                    <pic:cNvPicPr/>
                  </pic:nvPicPr>
                  <pic:blipFill>
                    <a:blip r:embed="rId9" cstate="print"/>
                    <a:srcRect/>
                    <a:stretch>
                      <a:fillRect/>
                    </a:stretch>
                  </pic:blipFill>
                  <pic:spPr>
                    <a:xfrm>
                      <a:off x="0" y="0"/>
                      <a:ext cx="5274310" cy="2722245"/>
                    </a:xfrm>
                    <a:prstGeom prst="rect">
                      <a:avLst/>
                    </a:prstGeom>
                    <a:ln>
                      <a:noFill/>
                    </a:ln>
                  </pic:spPr>
                </pic:pic>
              </a:graphicData>
            </a:graphic>
          </wp:inline>
        </w:drawing>
      </w:r>
    </w:p>
    <w:p>
      <w:pPr>
        <w:jc w:val="center"/>
        <w:rPr>
          <w:rFonts w:eastAsia="仿宋_GB2312"/>
          <w:sz w:val="28"/>
          <w:szCs w:val="28"/>
        </w:rPr>
      </w:pPr>
      <w:r>
        <w:rPr>
          <w:rFonts w:eastAsia="仿宋_GB2312"/>
          <w:sz w:val="28"/>
          <w:szCs w:val="28"/>
        </w:rPr>
        <w:t>图2.</w:t>
      </w:r>
      <w:r>
        <w:rPr>
          <w:rFonts w:hint="eastAsia" w:eastAsia="仿宋_GB2312"/>
          <w:sz w:val="28"/>
          <w:szCs w:val="28"/>
        </w:rPr>
        <w:t>4</w:t>
      </w:r>
      <w:r>
        <w:rPr>
          <w:rFonts w:eastAsia="仿宋_GB2312"/>
          <w:sz w:val="28"/>
          <w:szCs w:val="28"/>
        </w:rPr>
        <w:t xml:space="preserve">  2011年-2022年</w:t>
      </w:r>
      <w:r>
        <w:rPr>
          <w:rFonts w:hint="eastAsia" w:eastAsia="仿宋_GB2312"/>
          <w:sz w:val="28"/>
          <w:szCs w:val="28"/>
        </w:rPr>
        <w:t>湖州市水田</w:t>
      </w:r>
      <w:r>
        <w:rPr>
          <w:rFonts w:eastAsia="仿宋_GB2312"/>
          <w:sz w:val="28"/>
          <w:szCs w:val="28"/>
        </w:rPr>
        <w:t>土壤全氮含量</w:t>
      </w:r>
    </w:p>
    <w:p>
      <w:pPr>
        <w:jc w:val="center"/>
        <w:rPr>
          <w:rFonts w:eastAsia="仿宋_GB2312"/>
          <w:sz w:val="28"/>
          <w:szCs w:val="28"/>
        </w:rPr>
      </w:pPr>
      <w:r>
        <w:rPr>
          <w:rFonts w:eastAsia="仿宋_GB2312"/>
          <w:sz w:val="28"/>
          <w:szCs w:val="28"/>
        </w:rPr>
        <w:drawing>
          <wp:inline distT="0" distB="0" distL="0" distR="0">
            <wp:extent cx="5274310" cy="2332990"/>
            <wp:effectExtent l="0" t="0" r="0" b="0"/>
            <wp:docPr id="1030" name="图片 15" descr="E:\其他\帮工\耕地质量监测报告\2022\湖州2022\图\水田分布\Graph3.tif"/>
            <wp:cNvGraphicFramePr/>
            <a:graphic xmlns:a="http://schemas.openxmlformats.org/drawingml/2006/main">
              <a:graphicData uri="http://schemas.openxmlformats.org/drawingml/2006/picture">
                <pic:pic xmlns:pic="http://schemas.openxmlformats.org/drawingml/2006/picture">
                  <pic:nvPicPr>
                    <pic:cNvPr id="1030" name="图片 15" descr="E:\其他\帮工\耕地质量监测报告\2022\湖州2022\图\水田分布\Graph3.tif"/>
                    <pic:cNvPicPr/>
                  </pic:nvPicPr>
                  <pic:blipFill>
                    <a:blip r:embed="rId10" cstate="print"/>
                    <a:srcRect/>
                    <a:stretch>
                      <a:fillRect/>
                    </a:stretch>
                  </pic:blipFill>
                  <pic:spPr>
                    <a:xfrm>
                      <a:off x="0" y="0"/>
                      <a:ext cx="5274310" cy="2332990"/>
                    </a:xfrm>
                    <a:prstGeom prst="rect">
                      <a:avLst/>
                    </a:prstGeom>
                    <a:ln>
                      <a:noFill/>
                    </a:ln>
                  </pic:spPr>
                </pic:pic>
              </a:graphicData>
            </a:graphic>
          </wp:inline>
        </w:drawing>
      </w:r>
    </w:p>
    <w:p>
      <w:pPr>
        <w:jc w:val="center"/>
        <w:rPr>
          <w:rFonts w:eastAsia="仿宋_GB2312"/>
          <w:sz w:val="28"/>
          <w:szCs w:val="28"/>
        </w:rPr>
      </w:pPr>
      <w:r>
        <w:rPr>
          <w:rFonts w:eastAsia="仿宋_GB2312"/>
          <w:sz w:val="28"/>
          <w:szCs w:val="28"/>
        </w:rPr>
        <w:t>图2.</w:t>
      </w:r>
      <w:r>
        <w:rPr>
          <w:rFonts w:hint="eastAsia" w:eastAsia="仿宋_GB2312"/>
          <w:sz w:val="28"/>
          <w:szCs w:val="28"/>
        </w:rPr>
        <w:t>5</w:t>
      </w:r>
      <w:r>
        <w:rPr>
          <w:rFonts w:eastAsia="仿宋_GB2312"/>
          <w:sz w:val="28"/>
          <w:szCs w:val="28"/>
        </w:rPr>
        <w:t xml:space="preserve">  2022年</w:t>
      </w:r>
      <w:r>
        <w:rPr>
          <w:rFonts w:hint="eastAsia" w:eastAsia="仿宋_GB2312"/>
          <w:sz w:val="28"/>
          <w:szCs w:val="28"/>
        </w:rPr>
        <w:t>湖州市水田</w:t>
      </w:r>
      <w:r>
        <w:rPr>
          <w:rFonts w:eastAsia="仿宋_GB2312"/>
          <w:sz w:val="28"/>
          <w:szCs w:val="28"/>
        </w:rPr>
        <w:t>土壤全氮含量</w:t>
      </w:r>
      <w:r>
        <w:rPr>
          <w:rFonts w:hint="eastAsia" w:eastAsia="仿宋_GB2312"/>
          <w:sz w:val="28"/>
          <w:szCs w:val="28"/>
        </w:rPr>
        <w:t>分布情况</w:t>
      </w:r>
    </w:p>
    <w:p>
      <w:pPr>
        <w:keepNext w:val="0"/>
        <w:keepLines w:val="0"/>
        <w:pageBreakBefore w:val="0"/>
        <w:widowControl w:val="0"/>
        <w:kinsoku/>
        <w:wordWrap/>
        <w:overflowPunct/>
        <w:topLinePunct w:val="0"/>
        <w:autoSpaceDE/>
        <w:autoSpaceDN/>
        <w:bidi w:val="0"/>
        <w:adjustRightInd/>
        <w:snapToGrid/>
        <w:spacing w:line="1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（2）旱地</w:t>
      </w:r>
      <w:r>
        <w:rPr>
          <w:rFonts w:hint="eastAsia" w:ascii="仿宋_GB2312" w:hAnsi="仿宋_GB2312" w:eastAsia="仿宋_GB2312" w:cs="仿宋_GB2312"/>
          <w:b/>
          <w:bCs/>
          <w:kern w:val="0"/>
          <w:sz w:val="32"/>
          <w:szCs w:val="32"/>
        </w:rPr>
        <w:t>、园地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0"/>
          <w:sz w:val="32"/>
          <w:szCs w:val="32"/>
        </w:rPr>
        <w:t>2022年度，湖州市旱地土壤全氮平均含量为1.92g/kg，处于较高水平，与有机质含量类似，全氮含量在2019年呈下降趋势，这与2019年新增了旱地监测点有关（如图2.6所示）。</w:t>
      </w:r>
    </w:p>
    <w:p>
      <w:pPr>
        <w:jc w:val="center"/>
        <w:rPr>
          <w:rFonts w:eastAsia="仿宋_GB2312"/>
          <w:sz w:val="28"/>
          <w:szCs w:val="28"/>
        </w:rPr>
      </w:pPr>
      <w:r>
        <w:rPr>
          <w:rFonts w:eastAsia="仿宋_GB2312"/>
          <w:sz w:val="28"/>
          <w:szCs w:val="28"/>
        </w:rPr>
        <w:drawing>
          <wp:inline distT="0" distB="0" distL="0" distR="0">
            <wp:extent cx="5274310" cy="2699385"/>
            <wp:effectExtent l="0" t="0" r="0" b="0"/>
            <wp:docPr id="1031" name="图片 16" descr="E:\其他\耕地质量监测报告\2022\湖州2022\图\旱地\Graph2.tif"/>
            <wp:cNvGraphicFramePr/>
            <a:graphic xmlns:a="http://schemas.openxmlformats.org/drawingml/2006/main">
              <a:graphicData uri="http://schemas.openxmlformats.org/drawingml/2006/picture">
                <pic:pic xmlns:pic="http://schemas.openxmlformats.org/drawingml/2006/picture">
                  <pic:nvPicPr>
                    <pic:cNvPr id="1031" name="图片 16" descr="E:\其他\耕地质量监测报告\2022\湖州2022\图\旱地\Graph2.tif"/>
                    <pic:cNvPicPr/>
                  </pic:nvPicPr>
                  <pic:blipFill>
                    <a:blip r:embed="rId11" cstate="print"/>
                    <a:srcRect/>
                    <a:stretch>
                      <a:fillRect/>
                    </a:stretch>
                  </pic:blipFill>
                  <pic:spPr>
                    <a:xfrm>
                      <a:off x="0" y="0"/>
                      <a:ext cx="5274310" cy="2699385"/>
                    </a:xfrm>
                    <a:prstGeom prst="rect">
                      <a:avLst/>
                    </a:prstGeom>
                    <a:ln>
                      <a:noFill/>
                    </a:ln>
                  </pic:spPr>
                </pic:pic>
              </a:graphicData>
            </a:graphic>
          </wp:inline>
        </w:drawing>
      </w:r>
    </w:p>
    <w:p>
      <w:pPr>
        <w:ind w:firstLine="560" w:firstLineChars="200"/>
        <w:jc w:val="center"/>
        <w:rPr>
          <w:rFonts w:eastAsia="仿宋_GB2312"/>
          <w:sz w:val="28"/>
          <w:szCs w:val="28"/>
        </w:rPr>
      </w:pPr>
      <w:r>
        <w:rPr>
          <w:rFonts w:eastAsia="仿宋_GB2312"/>
          <w:sz w:val="28"/>
          <w:szCs w:val="28"/>
        </w:rPr>
        <w:t>图2.</w:t>
      </w:r>
      <w:r>
        <w:rPr>
          <w:rFonts w:hint="eastAsia" w:eastAsia="仿宋_GB2312"/>
          <w:sz w:val="28"/>
          <w:szCs w:val="28"/>
        </w:rPr>
        <w:t>6</w:t>
      </w:r>
      <w:r>
        <w:rPr>
          <w:rFonts w:eastAsia="仿宋_GB2312"/>
          <w:sz w:val="28"/>
          <w:szCs w:val="28"/>
        </w:rPr>
        <w:t xml:space="preserve">  2011年-2022年</w:t>
      </w:r>
      <w:r>
        <w:rPr>
          <w:rFonts w:hint="eastAsia" w:eastAsia="仿宋_GB2312"/>
          <w:sz w:val="28"/>
          <w:szCs w:val="28"/>
        </w:rPr>
        <w:t>湖州市旱地</w:t>
      </w:r>
      <w:r>
        <w:rPr>
          <w:rFonts w:eastAsia="仿宋_GB2312"/>
          <w:sz w:val="28"/>
          <w:szCs w:val="28"/>
        </w:rPr>
        <w:t>土壤全氮含量</w:t>
      </w:r>
    </w:p>
    <w:p>
      <w:pPr>
        <w:keepNext w:val="0"/>
        <w:keepLines w:val="0"/>
        <w:pageBreakBefore w:val="0"/>
        <w:kinsoku/>
        <w:wordWrap/>
        <w:overflowPunct/>
        <w:topLinePunct w:val="0"/>
        <w:autoSpaceDE/>
        <w:autoSpaceDN/>
        <w:bidi w:val="0"/>
        <w:adjustRightInd/>
        <w:snapToGrid/>
        <w:spacing w:line="560" w:lineRule="exact"/>
        <w:ind w:firstLine="642" w:firstLineChars="200"/>
        <w:textAlignment w:val="auto"/>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2.1.3土壤有效磷含量</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kern w:val="0"/>
          <w:sz w:val="32"/>
          <w:szCs w:val="32"/>
        </w:rPr>
        <w:t>磷是植物生长发育必需的营养元素，土壤中磷素的多少及有效程度对作物产量和品质至关重要，也是土壤肥力的重要指标之而土壤有效磷是当季作物可从土壤中吸收利用的潜在磷量。同时，磷元素在土壤中的扩散系数很小，移动性差，当季利用效率极低，土壤有效磷含量一般认为在20-40mg/kg为宜，一味地过量施用磷肥对植物的吸收利用起到的效果有限，反而导致土壤中磷元素富集，影响作物吸收其他营养元素，磷的淋失还会对周围环境造成影响。2022年湖州市土壤有效磷</w:t>
      </w:r>
      <w:r>
        <w:rPr>
          <w:rFonts w:hint="eastAsia" w:ascii="仿宋_GB2312" w:hAnsi="仿宋_GB2312" w:eastAsia="仿宋_GB2312" w:cs="仿宋_GB2312"/>
          <w:kern w:val="0"/>
          <w:sz w:val="32"/>
          <w:szCs w:val="32"/>
          <w:highlight w:val="none"/>
        </w:rPr>
        <w:t>含量为25.72mg/kg，处于较高水平</w:t>
      </w:r>
      <w:r>
        <w:rPr>
          <w:rFonts w:hint="eastAsia" w:ascii="仿宋_GB2312" w:hAnsi="仿宋_GB2312" w:eastAsia="仿宋_GB2312" w:cs="仿宋_GB2312"/>
          <w:sz w:val="32"/>
          <w:szCs w:val="32"/>
          <w:highlight w:val="none"/>
        </w:rPr>
        <w:t>。</w:t>
      </w:r>
    </w:p>
    <w:p>
      <w:pPr>
        <w:keepNext w:val="0"/>
        <w:keepLines w:val="0"/>
        <w:pageBreakBefore w:val="0"/>
        <w:widowControl/>
        <w:kinsoku/>
        <w:wordWrap/>
        <w:overflowPunct/>
        <w:topLinePunct w:val="0"/>
        <w:autoSpaceDE/>
        <w:autoSpaceDN/>
        <w:bidi w:val="0"/>
        <w:adjustRightInd/>
        <w:snapToGrid/>
        <w:spacing w:line="560" w:lineRule="exact"/>
        <w:ind w:firstLine="642" w:firstLineChars="200"/>
        <w:textAlignment w:val="auto"/>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（1）水田</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highlight w:val="none"/>
        </w:rPr>
        <w:t>2022年度，湖州市水田土壤有效磷平均含量为19.17 mg/kg，处</w:t>
      </w:r>
      <w:r>
        <w:rPr>
          <w:rFonts w:hint="eastAsia" w:ascii="仿宋_GB2312" w:hAnsi="仿宋_GB2312" w:eastAsia="仿宋_GB2312" w:cs="仿宋_GB2312"/>
          <w:kern w:val="0"/>
          <w:sz w:val="32"/>
          <w:szCs w:val="32"/>
        </w:rPr>
        <w:t>于中等水平，相比于2021年有所上升（如图2.7所示）。从频率分布来看，水田土壤有效磷含量差异性较大，≤10mg/kg的缺磷土壤占约20%，10-15mg/kg的较低水平占比15%。15-25mg/kg占比40%；25-35mg/kg的较高水平占比20%；&gt;35mg/kg磷含量相对富集的土壤约占5%。具体分布情况见图2.8。</w:t>
      </w:r>
    </w:p>
    <w:p>
      <w:pPr>
        <w:jc w:val="center"/>
        <w:rPr>
          <w:rFonts w:eastAsia="仿宋_GB2312"/>
          <w:b/>
          <w:sz w:val="28"/>
          <w:szCs w:val="28"/>
        </w:rPr>
      </w:pPr>
      <w:r>
        <w:rPr>
          <w:rFonts w:eastAsia="仿宋_GB2312"/>
          <w:b/>
          <w:sz w:val="28"/>
          <w:szCs w:val="28"/>
        </w:rPr>
        <w:drawing>
          <wp:inline distT="0" distB="0" distL="0" distR="0">
            <wp:extent cx="5274310" cy="2722245"/>
            <wp:effectExtent l="0" t="0" r="0" b="0"/>
            <wp:docPr id="1032" name="图片 17" descr="E:\其他\耕地质量监测报告\2022\湖州2022\图\水田\Graph3.tif"/>
            <wp:cNvGraphicFramePr/>
            <a:graphic xmlns:a="http://schemas.openxmlformats.org/drawingml/2006/main">
              <a:graphicData uri="http://schemas.openxmlformats.org/drawingml/2006/picture">
                <pic:pic xmlns:pic="http://schemas.openxmlformats.org/drawingml/2006/picture">
                  <pic:nvPicPr>
                    <pic:cNvPr id="1032" name="图片 17" descr="E:\其他\耕地质量监测报告\2022\湖州2022\图\水田\Graph3.tif"/>
                    <pic:cNvPicPr/>
                  </pic:nvPicPr>
                  <pic:blipFill>
                    <a:blip r:embed="rId12" cstate="print"/>
                    <a:srcRect/>
                    <a:stretch>
                      <a:fillRect/>
                    </a:stretch>
                  </pic:blipFill>
                  <pic:spPr>
                    <a:xfrm>
                      <a:off x="0" y="0"/>
                      <a:ext cx="5274310" cy="2722245"/>
                    </a:xfrm>
                    <a:prstGeom prst="rect">
                      <a:avLst/>
                    </a:prstGeom>
                    <a:ln>
                      <a:noFill/>
                    </a:ln>
                  </pic:spPr>
                </pic:pic>
              </a:graphicData>
            </a:graphic>
          </wp:inline>
        </w:drawing>
      </w:r>
    </w:p>
    <w:p>
      <w:pPr>
        <w:jc w:val="center"/>
        <w:rPr>
          <w:rFonts w:eastAsia="仿宋_GB2312"/>
          <w:sz w:val="28"/>
          <w:szCs w:val="28"/>
        </w:rPr>
      </w:pPr>
      <w:r>
        <w:rPr>
          <w:rFonts w:eastAsia="仿宋_GB2312"/>
          <w:sz w:val="28"/>
          <w:szCs w:val="28"/>
        </w:rPr>
        <w:t>图2.</w:t>
      </w:r>
      <w:r>
        <w:rPr>
          <w:rFonts w:hint="eastAsia" w:eastAsia="仿宋_GB2312"/>
          <w:sz w:val="28"/>
          <w:szCs w:val="28"/>
        </w:rPr>
        <w:t>7</w:t>
      </w:r>
      <w:r>
        <w:rPr>
          <w:rFonts w:eastAsia="仿宋_GB2312"/>
          <w:sz w:val="28"/>
          <w:szCs w:val="28"/>
        </w:rPr>
        <w:t xml:space="preserve">  2011年-2022年</w:t>
      </w:r>
      <w:r>
        <w:rPr>
          <w:rFonts w:hint="eastAsia" w:eastAsia="仿宋_GB2312"/>
          <w:sz w:val="28"/>
          <w:szCs w:val="28"/>
        </w:rPr>
        <w:t>湖州市水田</w:t>
      </w:r>
      <w:r>
        <w:rPr>
          <w:rFonts w:eastAsia="仿宋_GB2312"/>
          <w:sz w:val="28"/>
          <w:szCs w:val="28"/>
        </w:rPr>
        <w:t>土壤有效磷含量</w:t>
      </w:r>
    </w:p>
    <w:p>
      <w:pPr>
        <w:jc w:val="center"/>
        <w:rPr>
          <w:rFonts w:eastAsia="仿宋_GB2312"/>
          <w:sz w:val="28"/>
          <w:szCs w:val="28"/>
        </w:rPr>
      </w:pPr>
      <w:r>
        <w:rPr>
          <w:rFonts w:eastAsia="仿宋_GB2312"/>
          <w:sz w:val="28"/>
          <w:szCs w:val="28"/>
        </w:rPr>
        <w:drawing>
          <wp:inline distT="0" distB="0" distL="0" distR="0">
            <wp:extent cx="5274310" cy="2332990"/>
            <wp:effectExtent l="0" t="0" r="0" b="0"/>
            <wp:docPr id="1033" name="图片 24" descr="E:\其他\帮工\耕地质量监测报告\2022\湖州2022\图\水田分布\Graph4.tif"/>
            <wp:cNvGraphicFramePr/>
            <a:graphic xmlns:a="http://schemas.openxmlformats.org/drawingml/2006/main">
              <a:graphicData uri="http://schemas.openxmlformats.org/drawingml/2006/picture">
                <pic:pic xmlns:pic="http://schemas.openxmlformats.org/drawingml/2006/picture">
                  <pic:nvPicPr>
                    <pic:cNvPr id="1033" name="图片 24" descr="E:\其他\帮工\耕地质量监测报告\2022\湖州2022\图\水田分布\Graph4.tif"/>
                    <pic:cNvPicPr/>
                  </pic:nvPicPr>
                  <pic:blipFill>
                    <a:blip r:embed="rId13" cstate="print"/>
                    <a:srcRect/>
                    <a:stretch>
                      <a:fillRect/>
                    </a:stretch>
                  </pic:blipFill>
                  <pic:spPr>
                    <a:xfrm>
                      <a:off x="0" y="0"/>
                      <a:ext cx="5274310" cy="2332990"/>
                    </a:xfrm>
                    <a:prstGeom prst="rect">
                      <a:avLst/>
                    </a:prstGeom>
                    <a:ln>
                      <a:noFill/>
                    </a:ln>
                  </pic:spPr>
                </pic:pic>
              </a:graphicData>
            </a:graphic>
          </wp:inline>
        </w:drawing>
      </w:r>
    </w:p>
    <w:p>
      <w:pPr>
        <w:jc w:val="center"/>
        <w:rPr>
          <w:rFonts w:eastAsia="仿宋_GB2312"/>
          <w:sz w:val="28"/>
          <w:szCs w:val="28"/>
        </w:rPr>
      </w:pPr>
      <w:r>
        <w:rPr>
          <w:rFonts w:eastAsia="仿宋_GB2312"/>
          <w:sz w:val="28"/>
          <w:szCs w:val="28"/>
        </w:rPr>
        <w:t>图2.</w:t>
      </w:r>
      <w:r>
        <w:rPr>
          <w:rFonts w:hint="eastAsia" w:eastAsia="仿宋_GB2312"/>
          <w:sz w:val="28"/>
          <w:szCs w:val="28"/>
        </w:rPr>
        <w:t>8</w:t>
      </w:r>
      <w:r>
        <w:rPr>
          <w:rFonts w:eastAsia="仿宋_GB2312"/>
          <w:sz w:val="28"/>
          <w:szCs w:val="28"/>
        </w:rPr>
        <w:t xml:space="preserve">  2022年</w:t>
      </w:r>
      <w:r>
        <w:rPr>
          <w:rFonts w:hint="eastAsia" w:eastAsia="仿宋_GB2312"/>
          <w:sz w:val="28"/>
          <w:szCs w:val="28"/>
        </w:rPr>
        <w:t>湖州市水田</w:t>
      </w:r>
      <w:r>
        <w:rPr>
          <w:rFonts w:eastAsia="仿宋_GB2312"/>
          <w:sz w:val="28"/>
          <w:szCs w:val="28"/>
        </w:rPr>
        <w:t>土壤有效磷含量</w:t>
      </w:r>
      <w:r>
        <w:rPr>
          <w:rFonts w:hint="eastAsia" w:eastAsia="仿宋_GB2312"/>
          <w:sz w:val="28"/>
          <w:szCs w:val="28"/>
        </w:rPr>
        <w:t>分布情况</w:t>
      </w:r>
    </w:p>
    <w:p>
      <w:pPr>
        <w:keepNext w:val="0"/>
        <w:keepLines w:val="0"/>
        <w:pageBreakBefore w:val="0"/>
        <w:widowControl/>
        <w:kinsoku/>
        <w:wordWrap/>
        <w:overflowPunct/>
        <w:topLinePunct w:val="0"/>
        <w:autoSpaceDE/>
        <w:autoSpaceDN/>
        <w:bidi w:val="0"/>
        <w:adjustRightInd/>
        <w:snapToGrid/>
        <w:spacing w:line="560" w:lineRule="exact"/>
        <w:ind w:firstLine="642" w:firstLineChars="200"/>
        <w:textAlignment w:val="auto"/>
        <w:rPr>
          <w:rFonts w:hint="eastAsia" w:ascii="仿宋_GB2312" w:hAnsi="仿宋_GB2312" w:eastAsia="仿宋_GB2312" w:cs="仿宋_GB2312"/>
          <w:b/>
          <w:bCs/>
          <w:kern w:val="0"/>
          <w:sz w:val="32"/>
          <w:szCs w:val="32"/>
        </w:rPr>
      </w:pPr>
      <w:r>
        <w:rPr>
          <w:rFonts w:hint="eastAsia" w:ascii="仿宋_GB2312" w:hAnsi="仿宋_GB2312" w:eastAsia="仿宋_GB2312" w:cs="仿宋_GB2312"/>
          <w:b/>
          <w:bCs/>
          <w:kern w:val="0"/>
          <w:sz w:val="32"/>
          <w:szCs w:val="32"/>
        </w:rPr>
        <w:t>（2）</w:t>
      </w:r>
      <w:r>
        <w:rPr>
          <w:rFonts w:hint="eastAsia" w:ascii="仿宋_GB2312" w:hAnsi="仿宋_GB2312" w:eastAsia="仿宋_GB2312" w:cs="仿宋_GB2312"/>
          <w:b/>
          <w:bCs/>
          <w:sz w:val="32"/>
          <w:szCs w:val="32"/>
        </w:rPr>
        <w:t>旱地</w:t>
      </w:r>
      <w:r>
        <w:rPr>
          <w:rFonts w:hint="eastAsia" w:ascii="仿宋_GB2312" w:hAnsi="仿宋_GB2312" w:eastAsia="仿宋_GB2312" w:cs="仿宋_GB2312"/>
          <w:b/>
          <w:bCs/>
          <w:kern w:val="0"/>
          <w:sz w:val="32"/>
          <w:szCs w:val="32"/>
        </w:rPr>
        <w:t>、园地</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2022年度，湖州市旱地土壤有效磷平均含量为</w:t>
      </w:r>
      <w:r>
        <w:rPr>
          <w:rFonts w:hint="eastAsia" w:ascii="仿宋_GB2312" w:hAnsi="仿宋_GB2312" w:eastAsia="仿宋_GB2312" w:cs="仿宋_GB2312"/>
          <w:kern w:val="0"/>
          <w:sz w:val="32"/>
          <w:szCs w:val="32"/>
          <w:highlight w:val="none"/>
        </w:rPr>
        <w:t>156.64mg/kg，</w:t>
      </w:r>
      <w:r>
        <w:rPr>
          <w:rFonts w:hint="eastAsia" w:ascii="仿宋_GB2312" w:hAnsi="仿宋_GB2312" w:eastAsia="仿宋_GB2312" w:cs="仿宋_GB2312"/>
          <w:kern w:val="0"/>
          <w:sz w:val="32"/>
          <w:szCs w:val="32"/>
        </w:rPr>
        <w:t>处于高水平，相比于2021年略有下降（如图2.9所示）。</w:t>
      </w:r>
    </w:p>
    <w:p>
      <w:pPr>
        <w:widowControl/>
        <w:jc w:val="center"/>
        <w:rPr>
          <w:rFonts w:eastAsia="仿宋_GB2312"/>
          <w:kern w:val="0"/>
          <w:sz w:val="28"/>
        </w:rPr>
      </w:pPr>
      <w:r>
        <w:rPr>
          <w:rFonts w:eastAsia="仿宋_GB2312"/>
          <w:kern w:val="0"/>
          <w:sz w:val="28"/>
        </w:rPr>
        <w:drawing>
          <wp:inline distT="0" distB="0" distL="0" distR="0">
            <wp:extent cx="5274310" cy="2604135"/>
            <wp:effectExtent l="0" t="0" r="2540" b="5715"/>
            <wp:docPr id="1034" name="图片 19" descr="E:\其他\耕地质量监测报告\2022\湖州2022\图\旱地\Graph3.tif"/>
            <wp:cNvGraphicFramePr/>
            <a:graphic xmlns:a="http://schemas.openxmlformats.org/drawingml/2006/main">
              <a:graphicData uri="http://schemas.openxmlformats.org/drawingml/2006/picture">
                <pic:pic xmlns:pic="http://schemas.openxmlformats.org/drawingml/2006/picture">
                  <pic:nvPicPr>
                    <pic:cNvPr id="1034" name="图片 19" descr="E:\其他\耕地质量监测报告\2022\湖州2022\图\旱地\Graph3.tif"/>
                    <pic:cNvPicPr/>
                  </pic:nvPicPr>
                  <pic:blipFill>
                    <a:blip r:embed="rId14" cstate="print"/>
                    <a:srcRect/>
                    <a:stretch>
                      <a:fillRect/>
                    </a:stretch>
                  </pic:blipFill>
                  <pic:spPr>
                    <a:xfrm>
                      <a:off x="0" y="0"/>
                      <a:ext cx="5274310" cy="2604135"/>
                    </a:xfrm>
                    <a:prstGeom prst="rect">
                      <a:avLst/>
                    </a:prstGeom>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460" w:lineRule="exact"/>
        <w:jc w:val="center"/>
        <w:textAlignment w:val="auto"/>
        <w:rPr>
          <w:rFonts w:hint="eastAsia" w:ascii="仿宋_GB2312" w:hAnsi="仿宋_GB2312" w:eastAsia="仿宋_GB2312" w:cs="仿宋_GB2312"/>
          <w:b/>
          <w:sz w:val="32"/>
          <w:szCs w:val="32"/>
        </w:rPr>
      </w:pPr>
      <w:r>
        <w:rPr>
          <w:rFonts w:eastAsia="仿宋_GB2312"/>
          <w:sz w:val="28"/>
          <w:szCs w:val="28"/>
        </w:rPr>
        <w:t>图2.</w:t>
      </w:r>
      <w:r>
        <w:rPr>
          <w:rFonts w:hint="eastAsia" w:eastAsia="仿宋_GB2312"/>
          <w:sz w:val="28"/>
          <w:szCs w:val="28"/>
        </w:rPr>
        <w:t>9</w:t>
      </w:r>
      <w:r>
        <w:rPr>
          <w:rFonts w:eastAsia="仿宋_GB2312"/>
          <w:sz w:val="28"/>
          <w:szCs w:val="28"/>
        </w:rPr>
        <w:t xml:space="preserve">  2011年-2022年</w:t>
      </w:r>
      <w:r>
        <w:rPr>
          <w:rFonts w:hint="eastAsia" w:eastAsia="仿宋_GB2312"/>
          <w:sz w:val="28"/>
          <w:szCs w:val="28"/>
        </w:rPr>
        <w:t>湖州市旱地</w:t>
      </w:r>
      <w:r>
        <w:rPr>
          <w:rFonts w:eastAsia="仿宋_GB2312"/>
          <w:sz w:val="28"/>
          <w:szCs w:val="28"/>
        </w:rPr>
        <w:t>土壤有效磷含量</w:t>
      </w:r>
    </w:p>
    <w:p>
      <w:pPr>
        <w:keepNext w:val="0"/>
        <w:keepLines w:val="0"/>
        <w:pageBreakBefore w:val="0"/>
        <w:kinsoku/>
        <w:wordWrap/>
        <w:overflowPunct/>
        <w:topLinePunct w:val="0"/>
        <w:autoSpaceDE/>
        <w:autoSpaceDN/>
        <w:bidi w:val="0"/>
        <w:adjustRightInd/>
        <w:snapToGrid/>
        <w:spacing w:line="520" w:lineRule="exact"/>
        <w:ind w:firstLine="642" w:firstLineChars="200"/>
        <w:textAlignment w:val="auto"/>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2.1.4土壤速效钾、缓效钾含量</w:t>
      </w:r>
    </w:p>
    <w:p>
      <w:pPr>
        <w:keepNext w:val="0"/>
        <w:keepLines w:val="0"/>
        <w:pageBreakBefore w:val="0"/>
        <w:widowControl/>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钾是作物生长不可缺少的大量营养元素，土壤速效钾能直接被作物吸收利用。研究土壤速效钾含量的变化趋势，对合理利用钾肥资源，提高施钾效果具有重要意义。速效钾</w:t>
      </w:r>
      <w:r>
        <w:rPr>
          <w:rFonts w:hint="eastAsia" w:ascii="仿宋_GB2312" w:hAnsi="仿宋_GB2312" w:eastAsia="仿宋_GB2312" w:cs="仿宋_GB2312"/>
          <w:kern w:val="0"/>
          <w:sz w:val="32"/>
          <w:szCs w:val="32"/>
          <w:lang w:val="en-US" w:eastAsia="zh-CN"/>
        </w:rPr>
        <w:t>含量</w:t>
      </w:r>
      <w:r>
        <w:rPr>
          <w:rFonts w:hint="eastAsia" w:ascii="仿宋_GB2312" w:hAnsi="仿宋_GB2312" w:eastAsia="仿宋_GB2312" w:cs="仿宋_GB2312"/>
          <w:kern w:val="0"/>
          <w:sz w:val="32"/>
          <w:szCs w:val="32"/>
        </w:rPr>
        <w:t>在各类土壤中差异较大</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rPr>
        <w:t>从100到400mg/kg都有分布。2022年度，湖州市耕层土壤速效钾平均含量为107.14mg/kg。处于中等水平。</w:t>
      </w:r>
    </w:p>
    <w:p>
      <w:pPr>
        <w:keepNext w:val="0"/>
        <w:keepLines w:val="0"/>
        <w:pageBreakBefore w:val="0"/>
        <w:widowControl/>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缓效钾是土壤供钾潜力的指标。根据农业部耕地质量监测保护中心编著的《长三角区耕地质量评价》，将缓效钾分为六级，含量（mg/kg）小于500的为第六级，500-750的为第五级，750-900的为第四级，900-1200的为第三级，1200-1500的为第二级，大于1500的为第一级。2022年度，湖州市耕层土壤缓效钾平均含量为278.76mg/kg。处于第六级。</w:t>
      </w:r>
    </w:p>
    <w:p>
      <w:pPr>
        <w:keepNext w:val="0"/>
        <w:keepLines w:val="0"/>
        <w:pageBreakBefore w:val="0"/>
        <w:widowControl/>
        <w:kinsoku/>
        <w:wordWrap/>
        <w:overflowPunct/>
        <w:topLinePunct w:val="0"/>
        <w:autoSpaceDE/>
        <w:autoSpaceDN/>
        <w:bidi w:val="0"/>
        <w:adjustRightInd/>
        <w:snapToGrid/>
        <w:spacing w:line="540" w:lineRule="exact"/>
        <w:ind w:firstLine="642" w:firstLineChars="200"/>
        <w:jc w:val="left"/>
        <w:textAlignment w:val="auto"/>
        <w:rPr>
          <w:rFonts w:hint="eastAsia" w:ascii="仿宋_GB2312" w:hAnsi="仿宋_GB2312" w:eastAsia="仿宋_GB2312" w:cs="仿宋_GB2312"/>
          <w:b/>
          <w:bCs/>
          <w:kern w:val="0"/>
          <w:sz w:val="32"/>
          <w:szCs w:val="32"/>
        </w:rPr>
      </w:pPr>
      <w:r>
        <w:rPr>
          <w:rFonts w:hint="eastAsia" w:ascii="仿宋_GB2312" w:hAnsi="仿宋_GB2312" w:eastAsia="仿宋_GB2312" w:cs="仿宋_GB2312"/>
          <w:b/>
          <w:bCs/>
          <w:kern w:val="0"/>
          <w:sz w:val="32"/>
          <w:szCs w:val="32"/>
        </w:rPr>
        <w:t>（1）水田</w:t>
      </w:r>
    </w:p>
    <w:p>
      <w:pPr>
        <w:keepNext w:val="0"/>
        <w:keepLines w:val="0"/>
        <w:pageBreakBefore w:val="0"/>
        <w:widowControl/>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2022年度，湖州市水田土壤速效钾平均含量为99.4</w:t>
      </w:r>
      <w:r>
        <w:rPr>
          <w:rFonts w:hint="eastAsia" w:ascii="仿宋_GB2312" w:hAnsi="仿宋_GB2312" w:eastAsia="仿宋_GB2312" w:cs="仿宋_GB2312"/>
          <w:kern w:val="0"/>
          <w:sz w:val="32"/>
          <w:szCs w:val="32"/>
          <w:highlight w:val="none"/>
        </w:rPr>
        <w:t>6mg/kg</w:t>
      </w:r>
      <w:r>
        <w:rPr>
          <w:rFonts w:hint="eastAsia" w:ascii="仿宋_GB2312" w:hAnsi="仿宋_GB2312" w:eastAsia="仿宋_GB2312" w:cs="仿宋_GB2312"/>
          <w:kern w:val="0"/>
          <w:sz w:val="32"/>
          <w:szCs w:val="32"/>
        </w:rPr>
        <w:t>，处于中等水平，较2021年稍有上升（如图2.10所示）。从频率分布来看，水田土壤速效钾含量差异性较大，≤80mg/kg的缺钾土壤占比约65%。土壤速效钾含量≤50mg/kg的占20%，50-80mg/kg的占45%，80-120mg/kg的占10%，120-150mg/kg的占0%；&gt;150mg/kg的占25%。具体分布情况见图2.11。</w:t>
      </w:r>
    </w:p>
    <w:p>
      <w:pPr>
        <w:widowControl/>
        <w:jc w:val="center"/>
        <w:rPr>
          <w:rFonts w:eastAsia="仿宋_GB2312"/>
          <w:kern w:val="0"/>
          <w:sz w:val="28"/>
        </w:rPr>
      </w:pPr>
      <w:r>
        <w:rPr>
          <w:rFonts w:eastAsia="仿宋_GB2312"/>
          <w:kern w:val="0"/>
          <w:sz w:val="28"/>
        </w:rPr>
        <w:drawing>
          <wp:inline distT="0" distB="0" distL="0" distR="0">
            <wp:extent cx="5274310" cy="2699385"/>
            <wp:effectExtent l="0" t="0" r="0" b="0"/>
            <wp:docPr id="1035" name="图片 20" descr="E:\其他\耕地质量监测报告\2022\湖州2022\图\水田\Graph4.tif"/>
            <wp:cNvGraphicFramePr/>
            <a:graphic xmlns:a="http://schemas.openxmlformats.org/drawingml/2006/main">
              <a:graphicData uri="http://schemas.openxmlformats.org/drawingml/2006/picture">
                <pic:pic xmlns:pic="http://schemas.openxmlformats.org/drawingml/2006/picture">
                  <pic:nvPicPr>
                    <pic:cNvPr id="1035" name="图片 20" descr="E:\其他\耕地质量监测报告\2022\湖州2022\图\水田\Graph4.tif"/>
                    <pic:cNvPicPr/>
                  </pic:nvPicPr>
                  <pic:blipFill>
                    <a:blip r:embed="rId15" cstate="print"/>
                    <a:srcRect/>
                    <a:stretch>
                      <a:fillRect/>
                    </a:stretch>
                  </pic:blipFill>
                  <pic:spPr>
                    <a:xfrm>
                      <a:off x="0" y="0"/>
                      <a:ext cx="5274310" cy="2699385"/>
                    </a:xfrm>
                    <a:prstGeom prst="rect">
                      <a:avLst/>
                    </a:prstGeom>
                    <a:ln>
                      <a:noFill/>
                    </a:ln>
                  </pic:spPr>
                </pic:pic>
              </a:graphicData>
            </a:graphic>
          </wp:inline>
        </w:drawing>
      </w:r>
    </w:p>
    <w:p>
      <w:pPr>
        <w:jc w:val="center"/>
        <w:rPr>
          <w:rFonts w:eastAsia="仿宋_GB2312"/>
          <w:sz w:val="28"/>
          <w:szCs w:val="28"/>
        </w:rPr>
      </w:pPr>
      <w:r>
        <w:rPr>
          <w:rFonts w:eastAsia="仿宋_GB2312"/>
          <w:sz w:val="28"/>
          <w:szCs w:val="28"/>
        </w:rPr>
        <w:t>图2.</w:t>
      </w:r>
      <w:r>
        <w:rPr>
          <w:rFonts w:hint="eastAsia" w:eastAsia="仿宋_GB2312"/>
          <w:sz w:val="28"/>
          <w:szCs w:val="28"/>
        </w:rPr>
        <w:t>10</w:t>
      </w:r>
      <w:r>
        <w:rPr>
          <w:rFonts w:eastAsia="仿宋_GB2312"/>
          <w:sz w:val="28"/>
          <w:szCs w:val="28"/>
        </w:rPr>
        <w:t xml:space="preserve">  2011年-2022年</w:t>
      </w:r>
      <w:r>
        <w:rPr>
          <w:rFonts w:hint="eastAsia" w:eastAsia="仿宋_GB2312"/>
          <w:sz w:val="28"/>
          <w:szCs w:val="28"/>
        </w:rPr>
        <w:t>湖州市水田</w:t>
      </w:r>
      <w:r>
        <w:rPr>
          <w:rFonts w:eastAsia="仿宋_GB2312"/>
          <w:sz w:val="28"/>
          <w:szCs w:val="28"/>
        </w:rPr>
        <w:t>土壤</w:t>
      </w:r>
      <w:r>
        <w:rPr>
          <w:rFonts w:eastAsia="仿宋_GB2312"/>
          <w:kern w:val="0"/>
          <w:sz w:val="28"/>
        </w:rPr>
        <w:t>速效钾</w:t>
      </w:r>
      <w:r>
        <w:rPr>
          <w:rFonts w:eastAsia="仿宋_GB2312"/>
          <w:sz w:val="28"/>
          <w:szCs w:val="28"/>
        </w:rPr>
        <w:t>含量</w:t>
      </w:r>
    </w:p>
    <w:p>
      <w:pPr>
        <w:jc w:val="center"/>
        <w:rPr>
          <w:rFonts w:eastAsia="仿宋_GB2312"/>
          <w:sz w:val="28"/>
          <w:szCs w:val="28"/>
        </w:rPr>
      </w:pPr>
      <w:r>
        <w:rPr>
          <w:rFonts w:eastAsia="仿宋_GB2312"/>
          <w:sz w:val="28"/>
          <w:szCs w:val="28"/>
        </w:rPr>
        <w:drawing>
          <wp:inline distT="0" distB="0" distL="0" distR="0">
            <wp:extent cx="5274310" cy="2332990"/>
            <wp:effectExtent l="0" t="0" r="0" b="0"/>
            <wp:docPr id="1036" name="图片 27" descr="E:\其他\帮工\耕地质量监测报告\2022\湖州2022\图\水田分布\Graph5.tif"/>
            <wp:cNvGraphicFramePr/>
            <a:graphic xmlns:a="http://schemas.openxmlformats.org/drawingml/2006/main">
              <a:graphicData uri="http://schemas.openxmlformats.org/drawingml/2006/picture">
                <pic:pic xmlns:pic="http://schemas.openxmlformats.org/drawingml/2006/picture">
                  <pic:nvPicPr>
                    <pic:cNvPr id="1036" name="图片 27" descr="E:\其他\帮工\耕地质量监测报告\2022\湖州2022\图\水田分布\Graph5.tif"/>
                    <pic:cNvPicPr/>
                  </pic:nvPicPr>
                  <pic:blipFill>
                    <a:blip r:embed="rId16" cstate="print"/>
                    <a:srcRect/>
                    <a:stretch>
                      <a:fillRect/>
                    </a:stretch>
                  </pic:blipFill>
                  <pic:spPr>
                    <a:xfrm>
                      <a:off x="0" y="0"/>
                      <a:ext cx="5274310" cy="2332990"/>
                    </a:xfrm>
                    <a:prstGeom prst="rect">
                      <a:avLst/>
                    </a:prstGeom>
                    <a:ln>
                      <a:noFill/>
                    </a:ln>
                  </pic:spPr>
                </pic:pic>
              </a:graphicData>
            </a:graphic>
          </wp:inline>
        </w:drawing>
      </w:r>
    </w:p>
    <w:p>
      <w:pPr>
        <w:jc w:val="center"/>
        <w:rPr>
          <w:rFonts w:eastAsia="仿宋_GB2312"/>
          <w:sz w:val="28"/>
          <w:szCs w:val="28"/>
        </w:rPr>
      </w:pPr>
      <w:r>
        <w:rPr>
          <w:rFonts w:eastAsia="仿宋_GB2312"/>
          <w:sz w:val="28"/>
          <w:szCs w:val="28"/>
        </w:rPr>
        <w:t>图2.</w:t>
      </w:r>
      <w:r>
        <w:rPr>
          <w:rFonts w:hint="eastAsia" w:eastAsia="仿宋_GB2312"/>
          <w:sz w:val="28"/>
          <w:szCs w:val="28"/>
        </w:rPr>
        <w:t>11</w:t>
      </w:r>
      <w:r>
        <w:rPr>
          <w:rFonts w:eastAsia="仿宋_GB2312"/>
          <w:sz w:val="28"/>
          <w:szCs w:val="28"/>
        </w:rPr>
        <w:t xml:space="preserve">  2022年</w:t>
      </w:r>
      <w:r>
        <w:rPr>
          <w:rFonts w:hint="eastAsia" w:eastAsia="仿宋_GB2312"/>
          <w:sz w:val="28"/>
          <w:szCs w:val="28"/>
        </w:rPr>
        <w:t>湖州市水田</w:t>
      </w:r>
      <w:r>
        <w:rPr>
          <w:rFonts w:eastAsia="仿宋_GB2312"/>
          <w:sz w:val="28"/>
          <w:szCs w:val="28"/>
        </w:rPr>
        <w:t>土壤</w:t>
      </w:r>
      <w:r>
        <w:rPr>
          <w:rFonts w:eastAsia="仿宋_GB2312"/>
          <w:kern w:val="0"/>
          <w:sz w:val="28"/>
        </w:rPr>
        <w:t>速效钾</w:t>
      </w:r>
      <w:r>
        <w:rPr>
          <w:rFonts w:eastAsia="仿宋_GB2312"/>
          <w:sz w:val="28"/>
          <w:szCs w:val="28"/>
        </w:rPr>
        <w:t>含量</w:t>
      </w:r>
      <w:r>
        <w:rPr>
          <w:rFonts w:hint="eastAsia" w:eastAsia="仿宋_GB2312"/>
          <w:sz w:val="28"/>
          <w:szCs w:val="28"/>
        </w:rPr>
        <w:t>分布情况</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kern w:val="0"/>
          <w:sz w:val="32"/>
          <w:szCs w:val="32"/>
        </w:rPr>
      </w:pPr>
      <w:r>
        <w:rPr>
          <w:rFonts w:hint="eastAsia" w:ascii="仿宋_GB2312" w:hAnsi="仿宋_GB2312" w:eastAsia="仿宋_GB2312" w:cs="仿宋_GB2312"/>
          <w:b w:val="0"/>
          <w:bCs w:val="0"/>
          <w:kern w:val="0"/>
          <w:sz w:val="32"/>
          <w:szCs w:val="32"/>
        </w:rPr>
        <w:t>2022年度，湖州市水田土壤缓效钾平均含量为272.13mg/kg，处于中下水平，较2021年有所上升（如图2.12所示）。从频率分布来看，水田土壤缓效钾含量分布较为集中，≤500mg/kg的缺钾土壤占比90%，500mg/kg-750mg/kg的占比10%。没有大于750mg/kg的土壤点位。具体分布情况见图2.13。</w:t>
      </w:r>
    </w:p>
    <w:p>
      <w:pPr>
        <w:jc w:val="center"/>
        <w:rPr>
          <w:rFonts w:eastAsia="仿宋_GB2312"/>
          <w:sz w:val="28"/>
          <w:szCs w:val="28"/>
        </w:rPr>
      </w:pPr>
      <w:r>
        <w:rPr>
          <w:rFonts w:eastAsia="仿宋_GB2312"/>
          <w:sz w:val="28"/>
          <w:szCs w:val="28"/>
        </w:rPr>
        <w:drawing>
          <wp:inline distT="0" distB="0" distL="0" distR="0">
            <wp:extent cx="5274310" cy="2694940"/>
            <wp:effectExtent l="0" t="0" r="0" b="0"/>
            <wp:docPr id="1037" name="图片 1" descr="E:\其他\帮工\耕地质量监测报告\2022\湖州2022\图\新建文件夹\Graph11.tif"/>
            <wp:cNvGraphicFramePr/>
            <a:graphic xmlns:a="http://schemas.openxmlformats.org/drawingml/2006/main">
              <a:graphicData uri="http://schemas.openxmlformats.org/drawingml/2006/picture">
                <pic:pic xmlns:pic="http://schemas.openxmlformats.org/drawingml/2006/picture">
                  <pic:nvPicPr>
                    <pic:cNvPr id="1037" name="图片 1" descr="E:\其他\帮工\耕地质量监测报告\2022\湖州2022\图\新建文件夹\Graph11.tif"/>
                    <pic:cNvPicPr/>
                  </pic:nvPicPr>
                  <pic:blipFill>
                    <a:blip r:embed="rId17" cstate="print"/>
                    <a:srcRect/>
                    <a:stretch>
                      <a:fillRect/>
                    </a:stretch>
                  </pic:blipFill>
                  <pic:spPr>
                    <a:xfrm>
                      <a:off x="0" y="0"/>
                      <a:ext cx="5274310" cy="2694940"/>
                    </a:xfrm>
                    <a:prstGeom prst="rect">
                      <a:avLst/>
                    </a:prstGeom>
                    <a:ln>
                      <a:noFill/>
                    </a:ln>
                  </pic:spPr>
                </pic:pic>
              </a:graphicData>
            </a:graphic>
          </wp:inline>
        </w:drawing>
      </w:r>
    </w:p>
    <w:p>
      <w:pPr>
        <w:jc w:val="center"/>
        <w:rPr>
          <w:rFonts w:eastAsia="仿宋_GB2312"/>
          <w:sz w:val="28"/>
          <w:szCs w:val="28"/>
        </w:rPr>
      </w:pPr>
      <w:r>
        <w:rPr>
          <w:rFonts w:eastAsia="仿宋_GB2312"/>
          <w:sz w:val="28"/>
          <w:szCs w:val="28"/>
        </w:rPr>
        <w:t>图2.</w:t>
      </w:r>
      <w:r>
        <w:rPr>
          <w:rFonts w:hint="eastAsia" w:eastAsia="仿宋_GB2312"/>
          <w:sz w:val="28"/>
          <w:szCs w:val="28"/>
        </w:rPr>
        <w:t>1</w:t>
      </w:r>
      <w:r>
        <w:rPr>
          <w:rFonts w:eastAsia="仿宋_GB2312"/>
          <w:sz w:val="28"/>
          <w:szCs w:val="28"/>
        </w:rPr>
        <w:t>2  2011年-2022年</w:t>
      </w:r>
      <w:r>
        <w:rPr>
          <w:rFonts w:hint="eastAsia" w:eastAsia="仿宋_GB2312"/>
          <w:sz w:val="28"/>
          <w:szCs w:val="28"/>
        </w:rPr>
        <w:t>湖州市水田</w:t>
      </w:r>
      <w:r>
        <w:rPr>
          <w:rFonts w:eastAsia="仿宋_GB2312"/>
          <w:sz w:val="28"/>
          <w:szCs w:val="28"/>
        </w:rPr>
        <w:t>土壤</w:t>
      </w:r>
      <w:r>
        <w:rPr>
          <w:rFonts w:hint="eastAsia" w:eastAsia="仿宋_GB2312"/>
          <w:kern w:val="0"/>
          <w:sz w:val="28"/>
        </w:rPr>
        <w:t>缓效</w:t>
      </w:r>
      <w:r>
        <w:rPr>
          <w:rFonts w:eastAsia="仿宋_GB2312"/>
          <w:kern w:val="0"/>
          <w:sz w:val="28"/>
        </w:rPr>
        <w:t>钾</w:t>
      </w:r>
      <w:r>
        <w:rPr>
          <w:rFonts w:eastAsia="仿宋_GB2312"/>
          <w:sz w:val="28"/>
          <w:szCs w:val="28"/>
        </w:rPr>
        <w:t>含量</w:t>
      </w:r>
    </w:p>
    <w:p>
      <w:pPr>
        <w:jc w:val="center"/>
        <w:rPr>
          <w:rFonts w:eastAsia="仿宋_GB2312"/>
          <w:sz w:val="28"/>
          <w:szCs w:val="28"/>
        </w:rPr>
      </w:pPr>
      <w:r>
        <w:rPr>
          <w:rFonts w:eastAsia="仿宋_GB2312"/>
          <w:sz w:val="28"/>
          <w:szCs w:val="28"/>
        </w:rPr>
        <w:drawing>
          <wp:inline distT="0" distB="0" distL="0" distR="0">
            <wp:extent cx="5274310" cy="2332990"/>
            <wp:effectExtent l="0" t="0" r="0" b="0"/>
            <wp:docPr id="1038" name="图片 28" descr="E:\其他\帮工\耕地质量监测报告\2022\湖州2022\图\水田分布\Graph6.tif"/>
            <wp:cNvGraphicFramePr/>
            <a:graphic xmlns:a="http://schemas.openxmlformats.org/drawingml/2006/main">
              <a:graphicData uri="http://schemas.openxmlformats.org/drawingml/2006/picture">
                <pic:pic xmlns:pic="http://schemas.openxmlformats.org/drawingml/2006/picture">
                  <pic:nvPicPr>
                    <pic:cNvPr id="1038" name="图片 28" descr="E:\其他\帮工\耕地质量监测报告\2022\湖州2022\图\水田分布\Graph6.tif"/>
                    <pic:cNvPicPr/>
                  </pic:nvPicPr>
                  <pic:blipFill>
                    <a:blip r:embed="rId18" cstate="print"/>
                    <a:srcRect/>
                    <a:stretch>
                      <a:fillRect/>
                    </a:stretch>
                  </pic:blipFill>
                  <pic:spPr>
                    <a:xfrm>
                      <a:off x="0" y="0"/>
                      <a:ext cx="5274310" cy="2332990"/>
                    </a:xfrm>
                    <a:prstGeom prst="rect">
                      <a:avLst/>
                    </a:prstGeom>
                    <a:ln>
                      <a:noFill/>
                    </a:ln>
                  </pic:spPr>
                </pic:pic>
              </a:graphicData>
            </a:graphic>
          </wp:inline>
        </w:drawing>
      </w:r>
    </w:p>
    <w:p>
      <w:pPr>
        <w:jc w:val="center"/>
        <w:rPr>
          <w:rFonts w:eastAsia="仿宋_GB2312"/>
          <w:sz w:val="28"/>
          <w:szCs w:val="28"/>
        </w:rPr>
      </w:pPr>
      <w:r>
        <w:rPr>
          <w:rFonts w:eastAsia="仿宋_GB2312"/>
          <w:sz w:val="28"/>
          <w:szCs w:val="28"/>
        </w:rPr>
        <w:t>图2.</w:t>
      </w:r>
      <w:r>
        <w:rPr>
          <w:rFonts w:hint="eastAsia" w:eastAsia="仿宋_GB2312"/>
          <w:sz w:val="28"/>
          <w:szCs w:val="28"/>
        </w:rPr>
        <w:t>1</w:t>
      </w:r>
      <w:r>
        <w:rPr>
          <w:rFonts w:eastAsia="仿宋_GB2312"/>
          <w:sz w:val="28"/>
          <w:szCs w:val="28"/>
        </w:rPr>
        <w:t>3  2022年</w:t>
      </w:r>
      <w:r>
        <w:rPr>
          <w:rFonts w:hint="eastAsia" w:eastAsia="仿宋_GB2312"/>
          <w:sz w:val="28"/>
          <w:szCs w:val="28"/>
        </w:rPr>
        <w:t>湖州市水田</w:t>
      </w:r>
      <w:r>
        <w:rPr>
          <w:rFonts w:eastAsia="仿宋_GB2312"/>
          <w:sz w:val="28"/>
          <w:szCs w:val="28"/>
        </w:rPr>
        <w:t>土壤</w:t>
      </w:r>
      <w:r>
        <w:rPr>
          <w:rFonts w:hint="eastAsia" w:eastAsia="仿宋_GB2312"/>
          <w:kern w:val="0"/>
          <w:sz w:val="28"/>
        </w:rPr>
        <w:t>缓效</w:t>
      </w:r>
      <w:r>
        <w:rPr>
          <w:rFonts w:eastAsia="仿宋_GB2312"/>
          <w:kern w:val="0"/>
          <w:sz w:val="28"/>
        </w:rPr>
        <w:t>钾</w:t>
      </w:r>
      <w:r>
        <w:rPr>
          <w:rFonts w:eastAsia="仿宋_GB2312"/>
          <w:sz w:val="28"/>
          <w:szCs w:val="28"/>
        </w:rPr>
        <w:t>含量</w:t>
      </w:r>
      <w:r>
        <w:rPr>
          <w:rFonts w:hint="eastAsia" w:eastAsia="仿宋_GB2312"/>
          <w:sz w:val="28"/>
          <w:szCs w:val="28"/>
        </w:rPr>
        <w:t>分布情况</w:t>
      </w:r>
    </w:p>
    <w:p>
      <w:pPr>
        <w:keepNext w:val="0"/>
        <w:keepLines w:val="0"/>
        <w:pageBreakBefore w:val="0"/>
        <w:widowControl/>
        <w:kinsoku/>
        <w:wordWrap/>
        <w:overflowPunct/>
        <w:topLinePunct w:val="0"/>
        <w:autoSpaceDE/>
        <w:autoSpaceDN/>
        <w:bidi w:val="0"/>
        <w:adjustRightInd/>
        <w:snapToGrid/>
        <w:spacing w:line="560" w:lineRule="exact"/>
        <w:ind w:firstLine="642" w:firstLineChars="200"/>
        <w:jc w:val="left"/>
        <w:textAlignment w:val="auto"/>
        <w:rPr>
          <w:rFonts w:hint="eastAsia" w:ascii="仿宋_GB2312" w:hAnsi="仿宋_GB2312" w:eastAsia="仿宋_GB2312" w:cs="仿宋_GB2312"/>
          <w:b/>
          <w:bCs/>
          <w:kern w:val="0"/>
          <w:sz w:val="32"/>
          <w:szCs w:val="32"/>
        </w:rPr>
      </w:pPr>
      <w:r>
        <w:rPr>
          <w:rFonts w:hint="eastAsia" w:ascii="仿宋_GB2312" w:hAnsi="仿宋_GB2312" w:eastAsia="仿宋_GB2312" w:cs="仿宋_GB2312"/>
          <w:b/>
          <w:bCs/>
          <w:kern w:val="0"/>
          <w:sz w:val="32"/>
          <w:szCs w:val="32"/>
        </w:rPr>
        <w:t>（2）</w:t>
      </w:r>
      <w:r>
        <w:rPr>
          <w:rFonts w:hint="eastAsia" w:ascii="仿宋_GB2312" w:hAnsi="仿宋_GB2312" w:eastAsia="仿宋_GB2312" w:cs="仿宋_GB2312"/>
          <w:b/>
          <w:bCs/>
          <w:sz w:val="32"/>
          <w:szCs w:val="32"/>
        </w:rPr>
        <w:t>旱地</w:t>
      </w:r>
      <w:r>
        <w:rPr>
          <w:rFonts w:hint="eastAsia" w:ascii="仿宋_GB2312" w:hAnsi="仿宋_GB2312" w:eastAsia="仿宋_GB2312" w:cs="仿宋_GB2312"/>
          <w:b/>
          <w:bCs/>
          <w:kern w:val="0"/>
          <w:sz w:val="32"/>
          <w:szCs w:val="32"/>
        </w:rPr>
        <w:t>、园地</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0"/>
          <w:sz w:val="32"/>
          <w:szCs w:val="32"/>
        </w:rPr>
        <w:t>2022年度，湖州市旱地土壤速效钾平均含量</w:t>
      </w:r>
      <w:r>
        <w:rPr>
          <w:rFonts w:hint="eastAsia" w:ascii="仿宋_GB2312" w:hAnsi="仿宋_GB2312" w:eastAsia="仿宋_GB2312" w:cs="仿宋_GB2312"/>
          <w:kern w:val="0"/>
          <w:sz w:val="32"/>
          <w:szCs w:val="32"/>
          <w:highlight w:val="none"/>
        </w:rPr>
        <w:t>为260.60mg/kg，</w:t>
      </w:r>
      <w:r>
        <w:rPr>
          <w:rFonts w:hint="eastAsia" w:ascii="仿宋_GB2312" w:hAnsi="仿宋_GB2312" w:eastAsia="仿宋_GB2312" w:cs="仿宋_GB2312"/>
          <w:kern w:val="0"/>
          <w:sz w:val="32"/>
          <w:szCs w:val="32"/>
        </w:rPr>
        <w:t>处于高水平，较2021年略有下降（如图2.14所示）。</w:t>
      </w:r>
    </w:p>
    <w:p>
      <w:pPr>
        <w:widowControl/>
        <w:jc w:val="center"/>
        <w:rPr>
          <w:rFonts w:eastAsia="仿宋_GB2312"/>
          <w:kern w:val="0"/>
          <w:sz w:val="28"/>
        </w:rPr>
      </w:pPr>
      <w:r>
        <w:rPr>
          <w:rFonts w:eastAsia="仿宋_GB2312"/>
          <w:kern w:val="0"/>
          <w:sz w:val="28"/>
        </w:rPr>
        <w:drawing>
          <wp:inline distT="0" distB="0" distL="0" distR="0">
            <wp:extent cx="5274310" cy="2699385"/>
            <wp:effectExtent l="0" t="0" r="0" b="0"/>
            <wp:docPr id="1039" name="图片 22" descr="E:\其他\耕地质量监测报告\2022\湖州2022\图\旱地\Graph4.tif"/>
            <wp:cNvGraphicFramePr/>
            <a:graphic xmlns:a="http://schemas.openxmlformats.org/drawingml/2006/main">
              <a:graphicData uri="http://schemas.openxmlformats.org/drawingml/2006/picture">
                <pic:pic xmlns:pic="http://schemas.openxmlformats.org/drawingml/2006/picture">
                  <pic:nvPicPr>
                    <pic:cNvPr id="1039" name="图片 22" descr="E:\其他\耕地质量监测报告\2022\湖州2022\图\旱地\Graph4.tif"/>
                    <pic:cNvPicPr/>
                  </pic:nvPicPr>
                  <pic:blipFill>
                    <a:blip r:embed="rId19" cstate="print"/>
                    <a:srcRect/>
                    <a:stretch>
                      <a:fillRect/>
                    </a:stretch>
                  </pic:blipFill>
                  <pic:spPr>
                    <a:xfrm>
                      <a:off x="0" y="0"/>
                      <a:ext cx="5274310" cy="2699385"/>
                    </a:xfrm>
                    <a:prstGeom prst="rect">
                      <a:avLst/>
                    </a:prstGeom>
                    <a:ln>
                      <a:noFill/>
                    </a:ln>
                  </pic:spPr>
                </pic:pic>
              </a:graphicData>
            </a:graphic>
          </wp:inline>
        </w:drawing>
      </w:r>
    </w:p>
    <w:p>
      <w:pPr>
        <w:jc w:val="center"/>
        <w:rPr>
          <w:rFonts w:eastAsia="仿宋_GB2312"/>
          <w:sz w:val="28"/>
          <w:szCs w:val="28"/>
        </w:rPr>
      </w:pPr>
      <w:r>
        <w:rPr>
          <w:rFonts w:eastAsia="仿宋_GB2312"/>
          <w:sz w:val="28"/>
          <w:szCs w:val="28"/>
        </w:rPr>
        <w:t>图2.</w:t>
      </w:r>
      <w:r>
        <w:rPr>
          <w:rFonts w:hint="eastAsia" w:eastAsia="仿宋_GB2312"/>
          <w:sz w:val="28"/>
          <w:szCs w:val="28"/>
        </w:rPr>
        <w:t>1</w:t>
      </w:r>
      <w:r>
        <w:rPr>
          <w:rFonts w:eastAsia="仿宋_GB2312"/>
          <w:sz w:val="28"/>
          <w:szCs w:val="28"/>
        </w:rPr>
        <w:t>4  2011年-2022年</w:t>
      </w:r>
      <w:r>
        <w:rPr>
          <w:rFonts w:hint="eastAsia" w:eastAsia="仿宋_GB2312"/>
          <w:sz w:val="28"/>
          <w:szCs w:val="28"/>
        </w:rPr>
        <w:t>湖州市旱地</w:t>
      </w:r>
      <w:r>
        <w:rPr>
          <w:rFonts w:eastAsia="仿宋_GB2312"/>
          <w:sz w:val="28"/>
          <w:szCs w:val="28"/>
        </w:rPr>
        <w:t>土壤</w:t>
      </w:r>
      <w:r>
        <w:rPr>
          <w:rFonts w:eastAsia="仿宋_GB2312"/>
          <w:kern w:val="0"/>
          <w:sz w:val="28"/>
        </w:rPr>
        <w:t>速效钾</w:t>
      </w:r>
      <w:r>
        <w:rPr>
          <w:rFonts w:eastAsia="仿宋_GB2312"/>
          <w:sz w:val="28"/>
          <w:szCs w:val="28"/>
        </w:rPr>
        <w:t>含量</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2022年度，湖州市旱地土壤缓效钾平均含量为411.41mg/kg，处于第六等水平，较2021年有所上升（如图2.15所示）。</w:t>
      </w:r>
    </w:p>
    <w:p>
      <w:pPr>
        <w:widowControl/>
        <w:jc w:val="center"/>
        <w:rPr>
          <w:rFonts w:eastAsia="仿宋_GB2312"/>
          <w:kern w:val="0"/>
          <w:sz w:val="28"/>
        </w:rPr>
      </w:pPr>
      <w:r>
        <w:rPr>
          <w:rFonts w:eastAsia="仿宋_GB2312"/>
          <w:kern w:val="0"/>
          <w:sz w:val="28"/>
        </w:rPr>
        <w:drawing>
          <wp:inline distT="0" distB="0" distL="0" distR="0">
            <wp:extent cx="5274310" cy="2566670"/>
            <wp:effectExtent l="0" t="0" r="2540" b="5080"/>
            <wp:docPr id="1040" name="图片 6" descr="E:\其他\帮工\耕地质量监测报告\2022\湖州2022\图\新建文件夹\Graph8.tif"/>
            <wp:cNvGraphicFramePr/>
            <a:graphic xmlns:a="http://schemas.openxmlformats.org/drawingml/2006/main">
              <a:graphicData uri="http://schemas.openxmlformats.org/drawingml/2006/picture">
                <pic:pic xmlns:pic="http://schemas.openxmlformats.org/drawingml/2006/picture">
                  <pic:nvPicPr>
                    <pic:cNvPr id="1040" name="图片 6" descr="E:\其他\帮工\耕地质量监测报告\2022\湖州2022\图\新建文件夹\Graph8.tif"/>
                    <pic:cNvPicPr/>
                  </pic:nvPicPr>
                  <pic:blipFill>
                    <a:blip r:embed="rId20" cstate="print"/>
                    <a:srcRect/>
                    <a:stretch>
                      <a:fillRect/>
                    </a:stretch>
                  </pic:blipFill>
                  <pic:spPr>
                    <a:xfrm>
                      <a:off x="0" y="0"/>
                      <a:ext cx="5274310" cy="2566670"/>
                    </a:xfrm>
                    <a:prstGeom prst="rect">
                      <a:avLst/>
                    </a:prstGeom>
                    <a:ln>
                      <a:noFill/>
                    </a:ln>
                  </pic:spPr>
                </pic:pic>
              </a:graphicData>
            </a:graphic>
          </wp:inline>
        </w:drawing>
      </w:r>
    </w:p>
    <w:p>
      <w:pPr>
        <w:widowControl/>
        <w:jc w:val="center"/>
        <w:rPr>
          <w:rFonts w:eastAsia="仿宋_GB2312"/>
          <w:sz w:val="28"/>
          <w:szCs w:val="28"/>
        </w:rPr>
      </w:pPr>
      <w:r>
        <w:rPr>
          <w:rFonts w:eastAsia="仿宋_GB2312"/>
          <w:sz w:val="28"/>
          <w:szCs w:val="28"/>
        </w:rPr>
        <w:t>图2.</w:t>
      </w:r>
      <w:r>
        <w:rPr>
          <w:rFonts w:hint="eastAsia" w:eastAsia="仿宋_GB2312"/>
          <w:sz w:val="28"/>
          <w:szCs w:val="28"/>
        </w:rPr>
        <w:t>1</w:t>
      </w:r>
      <w:r>
        <w:rPr>
          <w:rFonts w:eastAsia="仿宋_GB2312"/>
          <w:sz w:val="28"/>
          <w:szCs w:val="28"/>
        </w:rPr>
        <w:t>5  2017年-2022年</w:t>
      </w:r>
      <w:r>
        <w:rPr>
          <w:rFonts w:hint="eastAsia" w:eastAsia="仿宋_GB2312"/>
          <w:sz w:val="28"/>
          <w:szCs w:val="28"/>
        </w:rPr>
        <w:t>湖州市旱地</w:t>
      </w:r>
      <w:r>
        <w:rPr>
          <w:rFonts w:eastAsia="仿宋_GB2312"/>
          <w:sz w:val="28"/>
          <w:szCs w:val="28"/>
        </w:rPr>
        <w:t>土壤</w:t>
      </w:r>
      <w:r>
        <w:rPr>
          <w:rFonts w:hint="eastAsia" w:eastAsia="仿宋_GB2312"/>
          <w:kern w:val="0"/>
          <w:sz w:val="28"/>
        </w:rPr>
        <w:t>缓效</w:t>
      </w:r>
      <w:r>
        <w:rPr>
          <w:rFonts w:eastAsia="仿宋_GB2312"/>
          <w:kern w:val="0"/>
          <w:sz w:val="28"/>
        </w:rPr>
        <w:t>钾</w:t>
      </w:r>
      <w:r>
        <w:rPr>
          <w:rFonts w:eastAsia="仿宋_GB2312"/>
          <w:sz w:val="28"/>
          <w:szCs w:val="28"/>
        </w:rPr>
        <w:t>含量</w:t>
      </w:r>
    </w:p>
    <w:p>
      <w:pPr>
        <w:keepNext w:val="0"/>
        <w:keepLines w:val="0"/>
        <w:pageBreakBefore w:val="0"/>
        <w:widowControl/>
        <w:kinsoku/>
        <w:wordWrap/>
        <w:overflowPunct/>
        <w:topLinePunct w:val="0"/>
        <w:autoSpaceDE/>
        <w:autoSpaceDN/>
        <w:bidi w:val="0"/>
        <w:adjustRightInd/>
        <w:snapToGrid/>
        <w:spacing w:line="560" w:lineRule="exact"/>
        <w:ind w:firstLine="642" w:firstLineChars="200"/>
        <w:jc w:val="left"/>
        <w:textAlignment w:val="auto"/>
        <w:rPr>
          <w:rFonts w:hint="eastAsia" w:ascii="仿宋_GB2312" w:hAnsi="仿宋_GB2312" w:eastAsia="仿宋_GB2312" w:cs="仿宋_GB2312"/>
          <w:b/>
          <w:bCs/>
          <w:kern w:val="0"/>
          <w:sz w:val="32"/>
          <w:szCs w:val="32"/>
        </w:rPr>
      </w:pPr>
      <w:r>
        <w:rPr>
          <w:rFonts w:hint="eastAsia" w:ascii="仿宋_GB2312" w:hAnsi="仿宋_GB2312" w:eastAsia="仿宋_GB2312" w:cs="仿宋_GB2312"/>
          <w:b/>
          <w:bCs/>
          <w:kern w:val="0"/>
          <w:sz w:val="32"/>
          <w:szCs w:val="32"/>
        </w:rPr>
        <w:t>2.1.5土壤酸碱度现状</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土壤pH(酸碱度)是土壤形成和熟化培肥过程的一个重要指标，对土壤中养分的存在形态和有效性、土壤的理化性质、微生物活动以及植物生长发育都有很大影响。土壤pH值过低和过高直接反映土壤酸化或土壤盐碱化，均不利于作物的生长和发育。2022年度，湖州市监测点土壤pH分布在3.98 - 8.46之间，不同地区土壤pH差别较大。</w:t>
      </w:r>
    </w:p>
    <w:p>
      <w:pPr>
        <w:keepNext w:val="0"/>
        <w:keepLines w:val="0"/>
        <w:pageBreakBefore w:val="0"/>
        <w:widowControl/>
        <w:kinsoku/>
        <w:wordWrap/>
        <w:overflowPunct/>
        <w:topLinePunct w:val="0"/>
        <w:autoSpaceDE/>
        <w:autoSpaceDN/>
        <w:bidi w:val="0"/>
        <w:adjustRightInd/>
        <w:snapToGrid/>
        <w:spacing w:line="560" w:lineRule="exact"/>
        <w:ind w:firstLine="642" w:firstLineChars="200"/>
        <w:jc w:val="left"/>
        <w:textAlignment w:val="auto"/>
        <w:rPr>
          <w:rFonts w:hint="eastAsia" w:ascii="仿宋_GB2312" w:hAnsi="仿宋_GB2312" w:eastAsia="仿宋_GB2312" w:cs="仿宋_GB2312"/>
          <w:b/>
          <w:bCs/>
          <w:kern w:val="0"/>
          <w:sz w:val="32"/>
          <w:szCs w:val="32"/>
        </w:rPr>
      </w:pPr>
      <w:r>
        <w:rPr>
          <w:rFonts w:hint="eastAsia" w:ascii="仿宋_GB2312" w:hAnsi="仿宋_GB2312" w:eastAsia="仿宋_GB2312" w:cs="仿宋_GB2312"/>
          <w:b/>
          <w:bCs/>
          <w:kern w:val="0"/>
          <w:sz w:val="32"/>
          <w:szCs w:val="32"/>
        </w:rPr>
        <w:t>（1）水田</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2022年度，湖州市水田pH分布5.00 -8.46之间，不同地区土壤pH差别较大，平均pH值相比往年变化不大（如图2.16所示）。从频率分布来看，水田土壤pH中有90%处于5.5-7.5之间，属于较为适合作物生长的微酸性、中性、微碱性土壤。pH在6.5-7.5的占45%，5.5-6.5的占45%，7.5-8.5的占10%。没有pH小于5.5或大于8.5的强酸或强碱性土壤。具体分布情况见图2.17。</w:t>
      </w:r>
    </w:p>
    <w:p>
      <w:pPr>
        <w:widowControl/>
        <w:jc w:val="center"/>
        <w:rPr>
          <w:rFonts w:eastAsia="仿宋_GB2312"/>
          <w:kern w:val="0"/>
          <w:sz w:val="28"/>
        </w:rPr>
      </w:pPr>
      <w:r>
        <w:rPr>
          <w:rFonts w:eastAsia="仿宋_GB2312"/>
          <w:kern w:val="0"/>
          <w:sz w:val="28"/>
        </w:rPr>
        <w:drawing>
          <wp:inline distT="0" distB="0" distL="0" distR="0">
            <wp:extent cx="5274310" cy="2781935"/>
            <wp:effectExtent l="0" t="0" r="0" b="0"/>
            <wp:docPr id="1041" name="图片 23" descr="E:\其他\耕地质量监测报告\2022\湖州2022\图\水田\Graph5.tif"/>
            <wp:cNvGraphicFramePr/>
            <a:graphic xmlns:a="http://schemas.openxmlformats.org/drawingml/2006/main">
              <a:graphicData uri="http://schemas.openxmlformats.org/drawingml/2006/picture">
                <pic:pic xmlns:pic="http://schemas.openxmlformats.org/drawingml/2006/picture">
                  <pic:nvPicPr>
                    <pic:cNvPr id="1041" name="图片 23" descr="E:\其他\耕地质量监测报告\2022\湖州2022\图\水田\Graph5.tif"/>
                    <pic:cNvPicPr/>
                  </pic:nvPicPr>
                  <pic:blipFill>
                    <a:blip r:embed="rId21" cstate="print"/>
                    <a:srcRect/>
                    <a:stretch>
                      <a:fillRect/>
                    </a:stretch>
                  </pic:blipFill>
                  <pic:spPr>
                    <a:xfrm>
                      <a:off x="0" y="0"/>
                      <a:ext cx="5274310" cy="2781935"/>
                    </a:xfrm>
                    <a:prstGeom prst="rect">
                      <a:avLst/>
                    </a:prstGeom>
                    <a:ln>
                      <a:noFill/>
                    </a:ln>
                  </pic:spPr>
                </pic:pic>
              </a:graphicData>
            </a:graphic>
          </wp:inline>
        </w:drawing>
      </w:r>
    </w:p>
    <w:p>
      <w:pPr>
        <w:jc w:val="center"/>
        <w:rPr>
          <w:rFonts w:eastAsia="仿宋_GB2312"/>
          <w:kern w:val="0"/>
          <w:sz w:val="28"/>
        </w:rPr>
      </w:pPr>
      <w:r>
        <w:rPr>
          <w:rFonts w:eastAsia="仿宋_GB2312"/>
          <w:sz w:val="28"/>
          <w:szCs w:val="28"/>
        </w:rPr>
        <w:t>图2.</w:t>
      </w:r>
      <w:r>
        <w:rPr>
          <w:rFonts w:hint="eastAsia" w:eastAsia="仿宋_GB2312"/>
          <w:sz w:val="28"/>
          <w:szCs w:val="28"/>
        </w:rPr>
        <w:t>1</w:t>
      </w:r>
      <w:r>
        <w:rPr>
          <w:rFonts w:eastAsia="仿宋_GB2312"/>
          <w:sz w:val="28"/>
          <w:szCs w:val="28"/>
        </w:rPr>
        <w:t>6  2011年-2022年</w:t>
      </w:r>
      <w:r>
        <w:rPr>
          <w:rFonts w:hint="eastAsia" w:eastAsia="仿宋_GB2312"/>
          <w:sz w:val="28"/>
          <w:szCs w:val="28"/>
        </w:rPr>
        <w:t>湖州市水田</w:t>
      </w:r>
      <w:r>
        <w:rPr>
          <w:rFonts w:eastAsia="仿宋_GB2312"/>
          <w:sz w:val="28"/>
          <w:szCs w:val="28"/>
        </w:rPr>
        <w:t>土壤</w:t>
      </w:r>
      <w:r>
        <w:rPr>
          <w:rFonts w:hint="eastAsia" w:eastAsia="仿宋_GB2312"/>
          <w:kern w:val="0"/>
          <w:sz w:val="28"/>
        </w:rPr>
        <w:t>pH值</w:t>
      </w:r>
    </w:p>
    <w:p>
      <w:pPr>
        <w:jc w:val="center"/>
        <w:rPr>
          <w:rFonts w:eastAsia="仿宋_GB2312"/>
          <w:kern w:val="0"/>
          <w:sz w:val="28"/>
        </w:rPr>
      </w:pPr>
      <w:r>
        <w:rPr>
          <w:rFonts w:eastAsia="仿宋_GB2312"/>
          <w:kern w:val="0"/>
          <w:sz w:val="28"/>
        </w:rPr>
        <w:drawing>
          <wp:inline distT="0" distB="0" distL="0" distR="0">
            <wp:extent cx="5274310" cy="2332990"/>
            <wp:effectExtent l="0" t="0" r="0" b="0"/>
            <wp:docPr id="1042" name="图片 29" descr="E:\其他\帮工\耕地质量监测报告\2022\湖州2022\图\水田分布\Graph2.tif"/>
            <wp:cNvGraphicFramePr/>
            <a:graphic xmlns:a="http://schemas.openxmlformats.org/drawingml/2006/main">
              <a:graphicData uri="http://schemas.openxmlformats.org/drawingml/2006/picture">
                <pic:pic xmlns:pic="http://schemas.openxmlformats.org/drawingml/2006/picture">
                  <pic:nvPicPr>
                    <pic:cNvPr id="1042" name="图片 29" descr="E:\其他\帮工\耕地质量监测报告\2022\湖州2022\图\水田分布\Graph2.tif"/>
                    <pic:cNvPicPr/>
                  </pic:nvPicPr>
                  <pic:blipFill>
                    <a:blip r:embed="rId22" cstate="print"/>
                    <a:srcRect/>
                    <a:stretch>
                      <a:fillRect/>
                    </a:stretch>
                  </pic:blipFill>
                  <pic:spPr>
                    <a:xfrm>
                      <a:off x="0" y="0"/>
                      <a:ext cx="5274310" cy="2332990"/>
                    </a:xfrm>
                    <a:prstGeom prst="rect">
                      <a:avLst/>
                    </a:prstGeom>
                    <a:ln>
                      <a:noFill/>
                    </a:ln>
                  </pic:spPr>
                </pic:pic>
              </a:graphicData>
            </a:graphic>
          </wp:inline>
        </w:drawing>
      </w:r>
    </w:p>
    <w:p>
      <w:pPr>
        <w:jc w:val="center"/>
        <w:rPr>
          <w:rFonts w:eastAsia="仿宋_GB2312"/>
          <w:sz w:val="28"/>
          <w:szCs w:val="28"/>
        </w:rPr>
      </w:pPr>
      <w:r>
        <w:rPr>
          <w:rFonts w:eastAsia="仿宋_GB2312"/>
          <w:sz w:val="28"/>
          <w:szCs w:val="28"/>
        </w:rPr>
        <w:t>图2.</w:t>
      </w:r>
      <w:r>
        <w:rPr>
          <w:rFonts w:hint="eastAsia" w:eastAsia="仿宋_GB2312"/>
          <w:sz w:val="28"/>
          <w:szCs w:val="28"/>
        </w:rPr>
        <w:t>1</w:t>
      </w:r>
      <w:r>
        <w:rPr>
          <w:rFonts w:eastAsia="仿宋_GB2312"/>
          <w:sz w:val="28"/>
          <w:szCs w:val="28"/>
        </w:rPr>
        <w:t>7  2022年</w:t>
      </w:r>
      <w:r>
        <w:rPr>
          <w:rFonts w:hint="eastAsia" w:eastAsia="仿宋_GB2312"/>
          <w:sz w:val="28"/>
          <w:szCs w:val="28"/>
        </w:rPr>
        <w:t>湖州市水田</w:t>
      </w:r>
      <w:r>
        <w:rPr>
          <w:rFonts w:eastAsia="仿宋_GB2312"/>
          <w:sz w:val="28"/>
          <w:szCs w:val="28"/>
        </w:rPr>
        <w:t>土壤</w:t>
      </w:r>
      <w:r>
        <w:rPr>
          <w:rFonts w:hint="eastAsia" w:eastAsia="仿宋_GB2312"/>
          <w:kern w:val="0"/>
          <w:sz w:val="28"/>
        </w:rPr>
        <w:t>pH值分布情况</w:t>
      </w:r>
    </w:p>
    <w:p>
      <w:pPr>
        <w:keepNext w:val="0"/>
        <w:keepLines w:val="0"/>
        <w:pageBreakBefore w:val="0"/>
        <w:widowControl/>
        <w:kinsoku/>
        <w:wordWrap/>
        <w:overflowPunct/>
        <w:topLinePunct w:val="0"/>
        <w:autoSpaceDE/>
        <w:autoSpaceDN/>
        <w:bidi w:val="0"/>
        <w:adjustRightInd/>
        <w:snapToGrid/>
        <w:spacing w:line="560" w:lineRule="exact"/>
        <w:ind w:firstLine="642" w:firstLineChars="200"/>
        <w:jc w:val="left"/>
        <w:textAlignment w:val="auto"/>
        <w:rPr>
          <w:rFonts w:hint="eastAsia" w:ascii="仿宋_GB2312" w:hAnsi="仿宋_GB2312" w:eastAsia="仿宋_GB2312" w:cs="仿宋_GB2312"/>
          <w:b/>
          <w:bCs/>
          <w:kern w:val="0"/>
          <w:sz w:val="32"/>
          <w:szCs w:val="32"/>
        </w:rPr>
      </w:pPr>
      <w:r>
        <w:rPr>
          <w:rFonts w:hint="eastAsia" w:ascii="仿宋_GB2312" w:hAnsi="仿宋_GB2312" w:eastAsia="仿宋_GB2312" w:cs="仿宋_GB2312"/>
          <w:b/>
          <w:bCs/>
          <w:kern w:val="0"/>
          <w:sz w:val="32"/>
          <w:szCs w:val="32"/>
        </w:rPr>
        <w:t>（2）旱地、园地</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2022年度，湖州市旱地土壤pH值在3.98-7.82之间，平均值为5.89，旱地在2019年之前仅有茶园一个监测点，pH值较低，2019年后增加了一处监测点，导致平均pH值有明显提升（如图2.18所示）。</w:t>
      </w:r>
    </w:p>
    <w:p>
      <w:pPr>
        <w:widowControl/>
        <w:jc w:val="center"/>
        <w:rPr>
          <w:rFonts w:eastAsia="仿宋_GB2312"/>
          <w:kern w:val="0"/>
          <w:sz w:val="28"/>
        </w:rPr>
      </w:pPr>
      <w:r>
        <w:rPr>
          <w:rFonts w:eastAsia="仿宋_GB2312"/>
          <w:kern w:val="0"/>
          <w:sz w:val="28"/>
        </w:rPr>
        <w:drawing>
          <wp:inline distT="0" distB="0" distL="0" distR="0">
            <wp:extent cx="5274310" cy="2736215"/>
            <wp:effectExtent l="0" t="0" r="0" b="0"/>
            <wp:docPr id="1043" name="图片 26" descr="E:\其他\耕地质量监测报告\2022\湖州2022\图\旱地\Graph5.tif"/>
            <wp:cNvGraphicFramePr/>
            <a:graphic xmlns:a="http://schemas.openxmlformats.org/drawingml/2006/main">
              <a:graphicData uri="http://schemas.openxmlformats.org/drawingml/2006/picture">
                <pic:pic xmlns:pic="http://schemas.openxmlformats.org/drawingml/2006/picture">
                  <pic:nvPicPr>
                    <pic:cNvPr id="1043" name="图片 26" descr="E:\其他\耕地质量监测报告\2022\湖州2022\图\旱地\Graph5.tif"/>
                    <pic:cNvPicPr/>
                  </pic:nvPicPr>
                  <pic:blipFill>
                    <a:blip r:embed="rId23" cstate="print"/>
                    <a:srcRect/>
                    <a:stretch>
                      <a:fillRect/>
                    </a:stretch>
                  </pic:blipFill>
                  <pic:spPr>
                    <a:xfrm>
                      <a:off x="0" y="0"/>
                      <a:ext cx="5274310" cy="2736215"/>
                    </a:xfrm>
                    <a:prstGeom prst="rect">
                      <a:avLst/>
                    </a:prstGeom>
                    <a:ln>
                      <a:noFill/>
                    </a:ln>
                  </pic:spPr>
                </pic:pic>
              </a:graphicData>
            </a:graphic>
          </wp:inline>
        </w:drawing>
      </w:r>
    </w:p>
    <w:p>
      <w:pPr>
        <w:jc w:val="center"/>
        <w:rPr>
          <w:rFonts w:eastAsia="仿宋_GB2312"/>
          <w:kern w:val="0"/>
          <w:sz w:val="28"/>
        </w:rPr>
      </w:pPr>
      <w:r>
        <w:rPr>
          <w:rFonts w:eastAsia="仿宋_GB2312"/>
          <w:sz w:val="28"/>
          <w:szCs w:val="28"/>
        </w:rPr>
        <w:t>图2.</w:t>
      </w:r>
      <w:r>
        <w:rPr>
          <w:rFonts w:hint="eastAsia" w:eastAsia="仿宋_GB2312"/>
          <w:sz w:val="28"/>
          <w:szCs w:val="28"/>
        </w:rPr>
        <w:t>1</w:t>
      </w:r>
      <w:r>
        <w:rPr>
          <w:rFonts w:eastAsia="仿宋_GB2312"/>
          <w:sz w:val="28"/>
          <w:szCs w:val="28"/>
        </w:rPr>
        <w:t>8  2011年-2022年</w:t>
      </w:r>
      <w:r>
        <w:rPr>
          <w:rFonts w:hint="eastAsia" w:eastAsia="仿宋_GB2312"/>
          <w:sz w:val="28"/>
          <w:szCs w:val="28"/>
        </w:rPr>
        <w:t>湖州市旱地</w:t>
      </w:r>
      <w:r>
        <w:rPr>
          <w:rFonts w:eastAsia="仿宋_GB2312"/>
          <w:sz w:val="28"/>
          <w:szCs w:val="28"/>
        </w:rPr>
        <w:t>土壤</w:t>
      </w:r>
      <w:r>
        <w:rPr>
          <w:rFonts w:hint="eastAsia" w:eastAsia="仿宋_GB2312"/>
          <w:kern w:val="0"/>
          <w:sz w:val="28"/>
        </w:rPr>
        <w:t>pH值</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kern w:val="0"/>
          <w:sz w:val="32"/>
          <w:szCs w:val="32"/>
        </w:rPr>
      </w:pPr>
    </w:p>
    <w:p>
      <w:pPr>
        <w:keepNext w:val="0"/>
        <w:keepLines w:val="0"/>
        <w:pageBreakBefore w:val="0"/>
        <w:widowControl/>
        <w:kinsoku/>
        <w:wordWrap/>
        <w:overflowPunct/>
        <w:topLinePunct w:val="0"/>
        <w:autoSpaceDE/>
        <w:autoSpaceDN/>
        <w:bidi w:val="0"/>
        <w:adjustRightInd/>
        <w:snapToGrid/>
        <w:spacing w:line="560" w:lineRule="exact"/>
        <w:ind w:firstLine="642" w:firstLineChars="200"/>
        <w:jc w:val="left"/>
        <w:textAlignment w:val="auto"/>
        <w:rPr>
          <w:rFonts w:hint="eastAsia" w:ascii="楷体_GB2312" w:hAnsi="楷体_GB2312" w:eastAsia="楷体_GB2312" w:cs="楷体_GB2312"/>
          <w:b/>
          <w:bCs/>
          <w:kern w:val="0"/>
          <w:sz w:val="32"/>
          <w:szCs w:val="32"/>
        </w:rPr>
      </w:pPr>
      <w:r>
        <w:rPr>
          <w:rFonts w:hint="eastAsia" w:ascii="楷体_GB2312" w:hAnsi="楷体_GB2312" w:eastAsia="楷体_GB2312" w:cs="楷体_GB2312"/>
          <w:b/>
          <w:bCs/>
          <w:kern w:val="0"/>
          <w:sz w:val="32"/>
          <w:szCs w:val="32"/>
        </w:rPr>
        <w:t>（二）土壤养分平衡状况</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耕层土壤养分平衡就是养分被作物消耗和施肥投入之间的平衡，反映一季或者一个轮作周期内农田养分的收支平衡状况。作物带出量大于施肥量，说明施肥量不足，耕地养分亏缺；作物带出量低于施用量说明施肥量大，耕地养分有盈余。一般以表现盈亏量（肥料养分的投入量-作物养分的吸收量）及实际平衡盈亏率【（投入/支出-1）×100】来衡量农田施肥水平及养分平衡。</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2022年湖州市水田监测点土壤平均氮素（N）表现盈亏为+3.01 kg/亩，实际平衡盈亏率为+23.76%；平均磷素（P</w:t>
      </w:r>
      <w:r>
        <w:rPr>
          <w:rFonts w:hint="eastAsia" w:ascii="仿宋_GB2312" w:hAnsi="仿宋_GB2312" w:eastAsia="仿宋_GB2312" w:cs="仿宋_GB2312"/>
          <w:kern w:val="0"/>
          <w:sz w:val="32"/>
          <w:szCs w:val="32"/>
          <w:vertAlign w:val="subscript"/>
        </w:rPr>
        <w:t>2</w:t>
      </w:r>
      <w:r>
        <w:rPr>
          <w:rFonts w:hint="eastAsia" w:ascii="仿宋_GB2312" w:hAnsi="仿宋_GB2312" w:eastAsia="仿宋_GB2312" w:cs="仿宋_GB2312"/>
          <w:kern w:val="0"/>
          <w:sz w:val="32"/>
          <w:szCs w:val="32"/>
        </w:rPr>
        <w:t>O</w:t>
      </w:r>
      <w:r>
        <w:rPr>
          <w:rFonts w:hint="eastAsia" w:ascii="仿宋_GB2312" w:hAnsi="仿宋_GB2312" w:eastAsia="仿宋_GB2312" w:cs="仿宋_GB2312"/>
          <w:kern w:val="0"/>
          <w:sz w:val="32"/>
          <w:szCs w:val="32"/>
          <w:vertAlign w:val="subscript"/>
        </w:rPr>
        <w:t>5</w:t>
      </w:r>
      <w:r>
        <w:rPr>
          <w:rFonts w:hint="eastAsia" w:ascii="仿宋_GB2312" w:hAnsi="仿宋_GB2312" w:eastAsia="仿宋_GB2312" w:cs="仿宋_GB2312"/>
          <w:kern w:val="0"/>
          <w:sz w:val="32"/>
          <w:szCs w:val="32"/>
        </w:rPr>
        <w:t>）表现盈亏为+1.79kg/亩，实际平衡盈亏率为+49.02%；平均钾素（</w:t>
      </w:r>
      <w:r>
        <w:rPr>
          <w:rFonts w:hint="eastAsia" w:ascii="仿宋_GB2312" w:hAnsi="仿宋_GB2312" w:eastAsia="仿宋_GB2312" w:cs="仿宋_GB2312"/>
          <w:kern w:val="0"/>
          <w:sz w:val="32"/>
          <w:szCs w:val="32"/>
          <w:lang w:val="en-US" w:eastAsia="zh-CN" w:bidi="ar-SA"/>
        </w:rPr>
        <w:t>K</w:t>
      </w:r>
      <w:r>
        <w:rPr>
          <w:rFonts w:hint="eastAsia" w:ascii="仿宋_GB2312" w:hAnsi="仿宋_GB2312" w:eastAsia="仿宋_GB2312" w:cs="仿宋_GB2312"/>
          <w:kern w:val="0"/>
          <w:sz w:val="32"/>
          <w:szCs w:val="32"/>
          <w:vertAlign w:val="subscript"/>
          <w:lang w:val="en-US" w:eastAsia="zh-CN" w:bidi="ar-SA"/>
        </w:rPr>
        <w:t>2</w:t>
      </w:r>
      <w:r>
        <w:rPr>
          <w:rFonts w:hint="eastAsia" w:ascii="仿宋_GB2312" w:hAnsi="仿宋_GB2312" w:eastAsia="仿宋_GB2312" w:cs="仿宋_GB2312"/>
          <w:kern w:val="0"/>
          <w:sz w:val="32"/>
          <w:szCs w:val="32"/>
          <w:lang w:val="en-US" w:eastAsia="zh-CN" w:bidi="ar-SA"/>
        </w:rPr>
        <w:t>O</w:t>
      </w:r>
      <w:r>
        <w:rPr>
          <w:rFonts w:hint="eastAsia" w:ascii="仿宋_GB2312" w:hAnsi="仿宋_GB2312" w:eastAsia="仿宋_GB2312" w:cs="仿宋_GB2312"/>
          <w:kern w:val="0"/>
          <w:sz w:val="32"/>
          <w:szCs w:val="32"/>
        </w:rPr>
        <w:t>）表现盈亏为+0.22kg/亩，实际平衡盈亏率为+2.73%。不同处理间养分平衡状况如表2.</w:t>
      </w:r>
      <w:r>
        <w:rPr>
          <w:rFonts w:hint="eastAsia" w:ascii="仿宋_GB2312" w:hAnsi="仿宋_GB2312" w:eastAsia="仿宋_GB2312" w:cs="仿宋_GB2312"/>
          <w:kern w:val="0"/>
          <w:sz w:val="32"/>
          <w:szCs w:val="32"/>
          <w:lang w:val="en-US" w:eastAsia="zh-CN"/>
        </w:rPr>
        <w:t>2</w:t>
      </w:r>
      <w:r>
        <w:rPr>
          <w:rFonts w:hint="eastAsia" w:ascii="仿宋_GB2312" w:hAnsi="仿宋_GB2312" w:eastAsia="仿宋_GB2312" w:cs="仿宋_GB2312"/>
          <w:kern w:val="0"/>
          <w:sz w:val="32"/>
          <w:szCs w:val="32"/>
        </w:rPr>
        <w:t>所示。</w:t>
      </w:r>
    </w:p>
    <w:p>
      <w:pPr>
        <w:spacing w:line="300" w:lineRule="auto"/>
        <w:jc w:val="center"/>
        <w:rPr>
          <w:rFonts w:eastAsia="仿宋_GB2312"/>
          <w:spacing w:val="-4"/>
          <w:sz w:val="28"/>
          <w:szCs w:val="28"/>
        </w:rPr>
      </w:pPr>
      <w:r>
        <w:rPr>
          <w:rFonts w:hint="eastAsia" w:eastAsia="仿宋_GB2312"/>
          <w:spacing w:val="-4"/>
          <w:sz w:val="28"/>
          <w:szCs w:val="28"/>
        </w:rPr>
        <w:t>表2.</w:t>
      </w:r>
      <w:r>
        <w:rPr>
          <w:rFonts w:hint="eastAsia" w:eastAsia="仿宋_GB2312"/>
          <w:spacing w:val="-4"/>
          <w:sz w:val="28"/>
          <w:szCs w:val="28"/>
          <w:lang w:val="en-US" w:eastAsia="zh-CN"/>
        </w:rPr>
        <w:t>2</w:t>
      </w:r>
      <w:r>
        <w:rPr>
          <w:rFonts w:eastAsia="仿宋_GB2312"/>
          <w:spacing w:val="-4"/>
          <w:sz w:val="28"/>
          <w:szCs w:val="28"/>
        </w:rPr>
        <w:t>不同处理间养分平衡状况</w:t>
      </w:r>
    </w:p>
    <w:tbl>
      <w:tblPr>
        <w:tblStyle w:val="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7"/>
        <w:gridCol w:w="1221"/>
        <w:gridCol w:w="1223"/>
        <w:gridCol w:w="1223"/>
        <w:gridCol w:w="1221"/>
        <w:gridCol w:w="1224"/>
        <w:gridCol w:w="1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53" w:type="pct"/>
            <w:vMerge w:val="restart"/>
            <w:vAlign w:val="center"/>
          </w:tcPr>
          <w:p>
            <w:pPr>
              <w:widowControl/>
              <w:jc w:val="center"/>
              <w:rPr>
                <w:rFonts w:eastAsia="仿宋"/>
                <w:kern w:val="0"/>
                <w:sz w:val="28"/>
                <w:szCs w:val="28"/>
              </w:rPr>
            </w:pPr>
            <w:r>
              <w:rPr>
                <w:rFonts w:eastAsia="仿宋"/>
                <w:kern w:val="0"/>
                <w:sz w:val="28"/>
                <w:szCs w:val="28"/>
              </w:rPr>
              <w:t>小区</w:t>
            </w:r>
          </w:p>
        </w:tc>
        <w:tc>
          <w:tcPr>
            <w:tcW w:w="2024" w:type="pct"/>
            <w:gridSpan w:val="3"/>
            <w:shd w:val="clear" w:color="auto" w:fill="auto"/>
            <w:noWrap/>
            <w:vAlign w:val="center"/>
          </w:tcPr>
          <w:p>
            <w:pPr>
              <w:widowControl/>
              <w:jc w:val="center"/>
              <w:rPr>
                <w:rFonts w:eastAsia="仿宋"/>
                <w:kern w:val="0"/>
                <w:sz w:val="28"/>
                <w:szCs w:val="28"/>
              </w:rPr>
            </w:pPr>
            <w:r>
              <w:rPr>
                <w:rFonts w:eastAsia="仿宋"/>
                <w:kern w:val="0"/>
                <w:sz w:val="28"/>
                <w:szCs w:val="28"/>
              </w:rPr>
              <w:t>表现盈亏（kg/亩）</w:t>
            </w:r>
          </w:p>
        </w:tc>
        <w:tc>
          <w:tcPr>
            <w:tcW w:w="2023" w:type="pct"/>
            <w:gridSpan w:val="3"/>
            <w:shd w:val="clear" w:color="auto" w:fill="auto"/>
            <w:noWrap/>
            <w:vAlign w:val="center"/>
          </w:tcPr>
          <w:p>
            <w:pPr>
              <w:widowControl/>
              <w:jc w:val="center"/>
              <w:rPr>
                <w:rFonts w:eastAsia="仿宋"/>
                <w:kern w:val="0"/>
                <w:sz w:val="28"/>
                <w:szCs w:val="28"/>
              </w:rPr>
            </w:pPr>
            <w:r>
              <w:rPr>
                <w:rFonts w:eastAsia="仿宋"/>
                <w:kern w:val="0"/>
                <w:sz w:val="28"/>
                <w:szCs w:val="28"/>
              </w:rPr>
              <w:t>实际盈亏（%）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53" w:type="pct"/>
            <w:vMerge w:val="continue"/>
            <w:vAlign w:val="center"/>
          </w:tcPr>
          <w:p>
            <w:pPr>
              <w:widowControl/>
              <w:jc w:val="center"/>
              <w:rPr>
                <w:rFonts w:eastAsia="仿宋"/>
                <w:kern w:val="0"/>
                <w:sz w:val="28"/>
                <w:szCs w:val="28"/>
              </w:rPr>
            </w:pPr>
          </w:p>
        </w:tc>
        <w:tc>
          <w:tcPr>
            <w:tcW w:w="674" w:type="pct"/>
            <w:shd w:val="clear" w:color="auto" w:fill="auto"/>
            <w:noWrap/>
            <w:vAlign w:val="center"/>
          </w:tcPr>
          <w:p>
            <w:pPr>
              <w:jc w:val="center"/>
              <w:rPr>
                <w:rFonts w:eastAsia="仿宋"/>
                <w:sz w:val="28"/>
              </w:rPr>
            </w:pPr>
            <w:r>
              <w:rPr>
                <w:rFonts w:eastAsia="仿宋"/>
                <w:sz w:val="28"/>
              </w:rPr>
              <w:t>氮素</w:t>
            </w:r>
          </w:p>
        </w:tc>
        <w:tc>
          <w:tcPr>
            <w:tcW w:w="675" w:type="pct"/>
            <w:shd w:val="clear" w:color="auto" w:fill="auto"/>
            <w:noWrap/>
            <w:vAlign w:val="center"/>
          </w:tcPr>
          <w:p>
            <w:pPr>
              <w:jc w:val="center"/>
              <w:rPr>
                <w:rFonts w:eastAsia="仿宋"/>
                <w:sz w:val="28"/>
              </w:rPr>
            </w:pPr>
            <w:r>
              <w:rPr>
                <w:rFonts w:eastAsia="仿宋"/>
                <w:sz w:val="28"/>
              </w:rPr>
              <w:t>磷素</w:t>
            </w:r>
          </w:p>
        </w:tc>
        <w:tc>
          <w:tcPr>
            <w:tcW w:w="675" w:type="pct"/>
            <w:shd w:val="clear" w:color="auto" w:fill="auto"/>
            <w:noWrap/>
            <w:vAlign w:val="center"/>
          </w:tcPr>
          <w:p>
            <w:pPr>
              <w:jc w:val="center"/>
              <w:rPr>
                <w:rFonts w:eastAsia="仿宋"/>
                <w:sz w:val="28"/>
              </w:rPr>
            </w:pPr>
            <w:r>
              <w:rPr>
                <w:rFonts w:eastAsia="仿宋"/>
                <w:sz w:val="28"/>
              </w:rPr>
              <w:t>钾素</w:t>
            </w:r>
          </w:p>
        </w:tc>
        <w:tc>
          <w:tcPr>
            <w:tcW w:w="674" w:type="pct"/>
            <w:shd w:val="clear" w:color="auto" w:fill="auto"/>
            <w:noWrap/>
            <w:vAlign w:val="center"/>
          </w:tcPr>
          <w:p>
            <w:pPr>
              <w:jc w:val="center"/>
              <w:rPr>
                <w:sz w:val="28"/>
              </w:rPr>
            </w:pPr>
            <w:r>
              <w:rPr>
                <w:rFonts w:eastAsia="仿宋"/>
                <w:sz w:val="28"/>
              </w:rPr>
              <w:t>氮素</w:t>
            </w:r>
          </w:p>
        </w:tc>
        <w:tc>
          <w:tcPr>
            <w:tcW w:w="675" w:type="pct"/>
            <w:shd w:val="clear" w:color="auto" w:fill="auto"/>
            <w:noWrap/>
            <w:vAlign w:val="center"/>
          </w:tcPr>
          <w:p>
            <w:pPr>
              <w:jc w:val="center"/>
              <w:rPr>
                <w:sz w:val="28"/>
              </w:rPr>
            </w:pPr>
            <w:r>
              <w:rPr>
                <w:rFonts w:eastAsia="仿宋"/>
                <w:sz w:val="28"/>
              </w:rPr>
              <w:t>磷素</w:t>
            </w:r>
          </w:p>
        </w:tc>
        <w:tc>
          <w:tcPr>
            <w:tcW w:w="674" w:type="pct"/>
            <w:shd w:val="clear" w:color="auto" w:fill="auto"/>
            <w:noWrap/>
            <w:vAlign w:val="center"/>
          </w:tcPr>
          <w:p>
            <w:pPr>
              <w:jc w:val="center"/>
              <w:rPr>
                <w:sz w:val="28"/>
              </w:rPr>
            </w:pPr>
            <w:r>
              <w:rPr>
                <w:rFonts w:eastAsia="仿宋"/>
                <w:sz w:val="28"/>
              </w:rPr>
              <w:t>钾素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53" w:type="pct"/>
            <w:vAlign w:val="center"/>
          </w:tcPr>
          <w:p>
            <w:pPr>
              <w:widowControl/>
              <w:jc w:val="center"/>
              <w:rPr>
                <w:rFonts w:eastAsia="仿宋"/>
                <w:kern w:val="0"/>
                <w:sz w:val="28"/>
                <w:szCs w:val="28"/>
              </w:rPr>
            </w:pPr>
            <w:r>
              <w:rPr>
                <w:rFonts w:eastAsia="仿宋"/>
                <w:kern w:val="0"/>
                <w:sz w:val="28"/>
                <w:szCs w:val="28"/>
              </w:rPr>
              <w:t>常规</w:t>
            </w:r>
          </w:p>
        </w:tc>
        <w:tc>
          <w:tcPr>
            <w:tcW w:w="674" w:type="pct"/>
            <w:shd w:val="clear" w:color="auto" w:fill="auto"/>
            <w:noWrap/>
            <w:vAlign w:val="center"/>
          </w:tcPr>
          <w:p>
            <w:pPr>
              <w:jc w:val="center"/>
              <w:rPr>
                <w:sz w:val="28"/>
              </w:rPr>
            </w:pPr>
            <w:r>
              <w:rPr>
                <w:sz w:val="28"/>
              </w:rPr>
              <w:t>3.10</w:t>
            </w:r>
          </w:p>
        </w:tc>
        <w:tc>
          <w:tcPr>
            <w:tcW w:w="675" w:type="pct"/>
            <w:shd w:val="clear" w:color="auto" w:fill="auto"/>
            <w:noWrap/>
            <w:vAlign w:val="center"/>
          </w:tcPr>
          <w:p>
            <w:pPr>
              <w:jc w:val="center"/>
              <w:rPr>
                <w:sz w:val="28"/>
              </w:rPr>
            </w:pPr>
            <w:r>
              <w:rPr>
                <w:sz w:val="28"/>
              </w:rPr>
              <w:t>1.46</w:t>
            </w:r>
          </w:p>
        </w:tc>
        <w:tc>
          <w:tcPr>
            <w:tcW w:w="675" w:type="pct"/>
            <w:shd w:val="clear" w:color="auto" w:fill="auto"/>
            <w:noWrap/>
            <w:vAlign w:val="center"/>
          </w:tcPr>
          <w:p>
            <w:pPr>
              <w:jc w:val="center"/>
              <w:rPr>
                <w:sz w:val="28"/>
              </w:rPr>
            </w:pPr>
            <w:r>
              <w:rPr>
                <w:sz w:val="28"/>
              </w:rPr>
              <w:t>-0.55</w:t>
            </w:r>
          </w:p>
        </w:tc>
        <w:tc>
          <w:tcPr>
            <w:tcW w:w="674" w:type="pct"/>
            <w:shd w:val="clear" w:color="auto" w:fill="auto"/>
            <w:noWrap/>
            <w:vAlign w:val="center"/>
          </w:tcPr>
          <w:p>
            <w:pPr>
              <w:jc w:val="center"/>
              <w:rPr>
                <w:sz w:val="28"/>
              </w:rPr>
            </w:pPr>
            <w:r>
              <w:rPr>
                <w:sz w:val="28"/>
              </w:rPr>
              <w:t>25.54</w:t>
            </w:r>
          </w:p>
        </w:tc>
        <w:tc>
          <w:tcPr>
            <w:tcW w:w="675" w:type="pct"/>
            <w:shd w:val="clear" w:color="auto" w:fill="auto"/>
            <w:noWrap/>
            <w:vAlign w:val="center"/>
          </w:tcPr>
          <w:p>
            <w:pPr>
              <w:jc w:val="center"/>
              <w:rPr>
                <w:sz w:val="28"/>
              </w:rPr>
            </w:pPr>
            <w:r>
              <w:rPr>
                <w:sz w:val="28"/>
              </w:rPr>
              <w:t>46.67</w:t>
            </w:r>
          </w:p>
        </w:tc>
        <w:tc>
          <w:tcPr>
            <w:tcW w:w="674" w:type="pct"/>
            <w:shd w:val="clear" w:color="auto" w:fill="auto"/>
            <w:noWrap/>
            <w:vAlign w:val="center"/>
          </w:tcPr>
          <w:p>
            <w:pPr>
              <w:jc w:val="center"/>
              <w:rPr>
                <w:sz w:val="28"/>
              </w:rPr>
            </w:pPr>
            <w:r>
              <w:rPr>
                <w:sz w:val="28"/>
              </w:rPr>
              <w:t>-7.12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53" w:type="pct"/>
          </w:tcPr>
          <w:p>
            <w:pPr>
              <w:widowControl/>
              <w:jc w:val="center"/>
              <w:rPr>
                <w:rFonts w:eastAsia="仿宋"/>
                <w:kern w:val="0"/>
                <w:sz w:val="28"/>
                <w:szCs w:val="28"/>
              </w:rPr>
            </w:pPr>
            <w:r>
              <w:rPr>
                <w:rFonts w:eastAsia="仿宋"/>
                <w:kern w:val="0"/>
                <w:sz w:val="28"/>
                <w:szCs w:val="28"/>
              </w:rPr>
              <w:t>配方</w:t>
            </w:r>
          </w:p>
        </w:tc>
        <w:tc>
          <w:tcPr>
            <w:tcW w:w="674" w:type="pct"/>
            <w:shd w:val="clear" w:color="auto" w:fill="auto"/>
            <w:noWrap/>
            <w:vAlign w:val="center"/>
          </w:tcPr>
          <w:p>
            <w:pPr>
              <w:jc w:val="center"/>
              <w:rPr>
                <w:sz w:val="28"/>
              </w:rPr>
            </w:pPr>
            <w:r>
              <w:rPr>
                <w:sz w:val="28"/>
              </w:rPr>
              <w:t>1.72</w:t>
            </w:r>
          </w:p>
        </w:tc>
        <w:tc>
          <w:tcPr>
            <w:tcW w:w="675" w:type="pct"/>
            <w:shd w:val="clear" w:color="auto" w:fill="auto"/>
            <w:noWrap/>
            <w:vAlign w:val="center"/>
          </w:tcPr>
          <w:p>
            <w:pPr>
              <w:jc w:val="center"/>
              <w:rPr>
                <w:sz w:val="28"/>
              </w:rPr>
            </w:pPr>
            <w:r>
              <w:rPr>
                <w:sz w:val="28"/>
              </w:rPr>
              <w:t>1.29</w:t>
            </w:r>
          </w:p>
        </w:tc>
        <w:tc>
          <w:tcPr>
            <w:tcW w:w="675" w:type="pct"/>
            <w:shd w:val="clear" w:color="auto" w:fill="auto"/>
            <w:noWrap/>
            <w:vAlign w:val="center"/>
          </w:tcPr>
          <w:p>
            <w:pPr>
              <w:jc w:val="center"/>
              <w:rPr>
                <w:sz w:val="28"/>
              </w:rPr>
            </w:pPr>
            <w:r>
              <w:rPr>
                <w:sz w:val="28"/>
              </w:rPr>
              <w:t>-1.00</w:t>
            </w:r>
          </w:p>
        </w:tc>
        <w:tc>
          <w:tcPr>
            <w:tcW w:w="674" w:type="pct"/>
            <w:shd w:val="clear" w:color="auto" w:fill="auto"/>
            <w:noWrap/>
            <w:vAlign w:val="center"/>
          </w:tcPr>
          <w:p>
            <w:pPr>
              <w:jc w:val="center"/>
              <w:rPr>
                <w:sz w:val="28"/>
              </w:rPr>
            </w:pPr>
            <w:r>
              <w:rPr>
                <w:sz w:val="28"/>
              </w:rPr>
              <w:t>14.31</w:t>
            </w:r>
          </w:p>
        </w:tc>
        <w:tc>
          <w:tcPr>
            <w:tcW w:w="675" w:type="pct"/>
            <w:shd w:val="clear" w:color="auto" w:fill="auto"/>
            <w:noWrap/>
            <w:vAlign w:val="center"/>
          </w:tcPr>
          <w:p>
            <w:pPr>
              <w:jc w:val="center"/>
              <w:rPr>
                <w:sz w:val="28"/>
              </w:rPr>
            </w:pPr>
            <w:r>
              <w:rPr>
                <w:sz w:val="28"/>
              </w:rPr>
              <w:t>40.97</w:t>
            </w:r>
          </w:p>
        </w:tc>
        <w:tc>
          <w:tcPr>
            <w:tcW w:w="674" w:type="pct"/>
            <w:shd w:val="clear" w:color="auto" w:fill="auto"/>
            <w:noWrap/>
            <w:vAlign w:val="center"/>
          </w:tcPr>
          <w:p>
            <w:pPr>
              <w:jc w:val="center"/>
              <w:rPr>
                <w:sz w:val="28"/>
              </w:rPr>
            </w:pPr>
            <w:r>
              <w:rPr>
                <w:sz w:val="28"/>
              </w:rPr>
              <w:t>-11.91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53" w:type="pct"/>
          </w:tcPr>
          <w:p>
            <w:pPr>
              <w:widowControl/>
              <w:jc w:val="center"/>
              <w:rPr>
                <w:rFonts w:eastAsia="仿宋"/>
                <w:kern w:val="0"/>
                <w:sz w:val="28"/>
                <w:szCs w:val="28"/>
              </w:rPr>
            </w:pPr>
            <w:r>
              <w:rPr>
                <w:rFonts w:eastAsia="仿宋"/>
                <w:kern w:val="0"/>
                <w:sz w:val="28"/>
                <w:szCs w:val="28"/>
              </w:rPr>
              <w:t>有机</w:t>
            </w:r>
          </w:p>
        </w:tc>
        <w:tc>
          <w:tcPr>
            <w:tcW w:w="674" w:type="pct"/>
            <w:shd w:val="clear" w:color="auto" w:fill="auto"/>
            <w:noWrap/>
            <w:vAlign w:val="center"/>
          </w:tcPr>
          <w:p>
            <w:pPr>
              <w:jc w:val="center"/>
              <w:rPr>
                <w:sz w:val="28"/>
              </w:rPr>
            </w:pPr>
            <w:r>
              <w:rPr>
                <w:sz w:val="28"/>
              </w:rPr>
              <w:t>4.20</w:t>
            </w:r>
          </w:p>
        </w:tc>
        <w:tc>
          <w:tcPr>
            <w:tcW w:w="675" w:type="pct"/>
            <w:shd w:val="clear" w:color="auto" w:fill="auto"/>
            <w:noWrap/>
            <w:vAlign w:val="center"/>
          </w:tcPr>
          <w:p>
            <w:pPr>
              <w:jc w:val="center"/>
              <w:rPr>
                <w:sz w:val="28"/>
              </w:rPr>
            </w:pPr>
            <w:r>
              <w:rPr>
                <w:sz w:val="28"/>
              </w:rPr>
              <w:t>2.61</w:t>
            </w:r>
          </w:p>
        </w:tc>
        <w:tc>
          <w:tcPr>
            <w:tcW w:w="675" w:type="pct"/>
            <w:shd w:val="clear" w:color="auto" w:fill="auto"/>
            <w:noWrap/>
            <w:vAlign w:val="center"/>
          </w:tcPr>
          <w:p>
            <w:pPr>
              <w:jc w:val="center"/>
              <w:rPr>
                <w:sz w:val="28"/>
              </w:rPr>
            </w:pPr>
            <w:r>
              <w:rPr>
                <w:sz w:val="28"/>
              </w:rPr>
              <w:t>2.23</w:t>
            </w:r>
          </w:p>
        </w:tc>
        <w:tc>
          <w:tcPr>
            <w:tcW w:w="674" w:type="pct"/>
            <w:shd w:val="clear" w:color="auto" w:fill="auto"/>
            <w:noWrap/>
            <w:vAlign w:val="center"/>
          </w:tcPr>
          <w:p>
            <w:pPr>
              <w:jc w:val="center"/>
              <w:rPr>
                <w:sz w:val="28"/>
              </w:rPr>
            </w:pPr>
            <w:r>
              <w:rPr>
                <w:sz w:val="28"/>
              </w:rPr>
              <w:t>30.44</w:t>
            </w:r>
          </w:p>
        </w:tc>
        <w:tc>
          <w:tcPr>
            <w:tcW w:w="675" w:type="pct"/>
            <w:shd w:val="clear" w:color="auto" w:fill="auto"/>
            <w:noWrap/>
            <w:vAlign w:val="center"/>
          </w:tcPr>
          <w:p>
            <w:pPr>
              <w:jc w:val="center"/>
              <w:rPr>
                <w:sz w:val="28"/>
              </w:rPr>
            </w:pPr>
            <w:r>
              <w:rPr>
                <w:sz w:val="28"/>
              </w:rPr>
              <w:t>56.03</w:t>
            </w:r>
          </w:p>
        </w:tc>
        <w:tc>
          <w:tcPr>
            <w:tcW w:w="674" w:type="pct"/>
            <w:shd w:val="clear" w:color="auto" w:fill="auto"/>
            <w:noWrap/>
            <w:vAlign w:val="center"/>
          </w:tcPr>
          <w:p>
            <w:pPr>
              <w:jc w:val="center"/>
              <w:rPr>
                <w:sz w:val="28"/>
              </w:rPr>
            </w:pPr>
            <w:r>
              <w:rPr>
                <w:sz w:val="28"/>
              </w:rPr>
              <w:t>26.31</w:t>
            </w:r>
          </w:p>
        </w:tc>
      </w:tr>
    </w:tbl>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不同处理中氮素（N）略有盈余，磷素（P</w:t>
      </w:r>
      <w:r>
        <w:rPr>
          <w:rFonts w:hint="eastAsia" w:ascii="仿宋_GB2312" w:hAnsi="仿宋_GB2312" w:eastAsia="仿宋_GB2312" w:cs="仿宋_GB2312"/>
          <w:kern w:val="0"/>
          <w:sz w:val="32"/>
          <w:szCs w:val="32"/>
          <w:vertAlign w:val="subscript"/>
        </w:rPr>
        <w:t>2</w:t>
      </w:r>
      <w:r>
        <w:rPr>
          <w:rFonts w:hint="eastAsia" w:ascii="仿宋_GB2312" w:hAnsi="仿宋_GB2312" w:eastAsia="仿宋_GB2312" w:cs="仿宋_GB2312"/>
          <w:kern w:val="0"/>
          <w:sz w:val="32"/>
          <w:szCs w:val="32"/>
        </w:rPr>
        <w:t>O</w:t>
      </w:r>
      <w:r>
        <w:rPr>
          <w:rFonts w:hint="eastAsia" w:ascii="仿宋_GB2312" w:hAnsi="仿宋_GB2312" w:eastAsia="仿宋_GB2312" w:cs="仿宋_GB2312"/>
          <w:kern w:val="0"/>
          <w:sz w:val="32"/>
          <w:szCs w:val="32"/>
          <w:vertAlign w:val="subscript"/>
        </w:rPr>
        <w:t>5</w:t>
      </w:r>
      <w:r>
        <w:rPr>
          <w:rFonts w:hint="eastAsia" w:ascii="仿宋_GB2312" w:hAnsi="仿宋_GB2312" w:eastAsia="仿宋_GB2312" w:cs="仿宋_GB2312"/>
          <w:kern w:val="0"/>
          <w:sz w:val="32"/>
          <w:szCs w:val="32"/>
        </w:rPr>
        <w:t>）表现为一定的盈余，钾素（K</w:t>
      </w:r>
      <w:r>
        <w:rPr>
          <w:rFonts w:hint="eastAsia" w:ascii="仿宋_GB2312" w:hAnsi="仿宋_GB2312" w:eastAsia="仿宋_GB2312" w:cs="仿宋_GB2312"/>
          <w:kern w:val="0"/>
          <w:sz w:val="32"/>
          <w:szCs w:val="32"/>
          <w:vertAlign w:val="subscript"/>
        </w:rPr>
        <w:t>2</w:t>
      </w:r>
      <w:r>
        <w:rPr>
          <w:rFonts w:hint="eastAsia" w:ascii="仿宋_GB2312" w:hAnsi="仿宋_GB2312" w:eastAsia="仿宋_GB2312" w:cs="仿宋_GB2312"/>
          <w:kern w:val="0"/>
          <w:sz w:val="32"/>
          <w:szCs w:val="32"/>
        </w:rPr>
        <w:t>O）在常规施肥区和测土配方施肥区表现为亏损，在测土配方+有机施肥区表现为盈余。年度间养分动态变化如图2.4、2.7、2.10所示。氮素近几年呈现下降趋势；磷素波动较大，近三年有上升趋势，2019年、2021年下降比较明显，2022年度比2021年度有所上升，该现象与2021-2022年度土壤磷素盈余结果相一致；钾素处于中等水平，近几年总体呈上升趋势。</w:t>
      </w:r>
    </w:p>
    <w:p>
      <w:pPr>
        <w:keepNext w:val="0"/>
        <w:keepLines w:val="0"/>
        <w:pageBreakBefore w:val="0"/>
        <w:widowControl/>
        <w:kinsoku/>
        <w:wordWrap/>
        <w:overflowPunct/>
        <w:topLinePunct w:val="0"/>
        <w:autoSpaceDE/>
        <w:autoSpaceDN/>
        <w:bidi w:val="0"/>
        <w:adjustRightInd/>
        <w:snapToGrid/>
        <w:spacing w:line="560" w:lineRule="exact"/>
        <w:ind w:firstLine="642" w:firstLineChars="200"/>
        <w:jc w:val="left"/>
        <w:textAlignment w:val="auto"/>
        <w:rPr>
          <w:rFonts w:hint="eastAsia" w:ascii="楷体_GB2312" w:hAnsi="楷体_GB2312" w:eastAsia="楷体_GB2312" w:cs="楷体_GB2312"/>
          <w:b/>
          <w:bCs/>
          <w:kern w:val="0"/>
          <w:sz w:val="32"/>
          <w:szCs w:val="32"/>
        </w:rPr>
      </w:pPr>
      <w:r>
        <w:rPr>
          <w:rFonts w:hint="eastAsia" w:ascii="楷体_GB2312" w:hAnsi="楷体_GB2312" w:eastAsia="楷体_GB2312" w:cs="楷体_GB2312"/>
          <w:b/>
          <w:bCs/>
          <w:kern w:val="0"/>
          <w:sz w:val="32"/>
          <w:szCs w:val="32"/>
        </w:rPr>
        <w:t>（三）耕地基础地力与作物产量</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肥料的施用对于农作物高产、优质、高效，以及改善土壤理化性状、提高土壤肥力水平等具有重要作用。定点监测肥料投入运量和投入结构为掌握农田施肥状况及存在的问题，指导合理施用肥料提供依据。</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耕地基础地力量化指标采用在常规的生产水平下不施肥区的产量与常规施肥区作物产量之比，又称地力贡献率。它是农田土壤养分供给力的一种相对评价方式。土壤地力贡献率低，则表明土壤肥力差，作物对肥料依赖性强，反之亦然。根据定位监测点的无肥区和常规施肥区产量得到土壤基础地力贡献率。</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贡献率%=无肥区产量/常规区产量*100</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2022年湖州市水田监测点土壤基础地力贡献率为79.24%，较2021年略有下降，说明我市土壤基础地力较强，但因为无肥区常年无养分投入，土壤养分供给能力下降。往年地力贡献率变动见图2.19：在2012年之前地力贡献率保持在0.75以上，说明我市土壤基础地力较强，在不施肥前几年养分供给力基本上可以满足水稻生长，但从2014年之后，由于常年无养分投入，土壤养分供给能力显著下降。在2019-2021年，由于新建和调整了几个监测点，土壤基础地力贡献率又有所回升。</w:t>
      </w:r>
    </w:p>
    <w:p>
      <w:pPr>
        <w:jc w:val="center"/>
        <w:rPr>
          <w:rFonts w:eastAsia="仿宋_GB2312"/>
          <w:spacing w:val="-4"/>
          <w:sz w:val="28"/>
          <w:szCs w:val="28"/>
        </w:rPr>
      </w:pPr>
      <w:r>
        <w:rPr>
          <w:rFonts w:eastAsia="仿宋_GB2312"/>
          <w:spacing w:val="-4"/>
          <w:sz w:val="28"/>
          <w:szCs w:val="28"/>
        </w:rPr>
        <w:drawing>
          <wp:inline distT="0" distB="0" distL="0" distR="0">
            <wp:extent cx="5274310" cy="2169160"/>
            <wp:effectExtent l="0" t="0" r="2540" b="2540"/>
            <wp:docPr id="1044" name="图片 33" descr="E:\其他\耕地质量监测报告\2022\湖州2022\图\水田\Graph6.tif"/>
            <wp:cNvGraphicFramePr/>
            <a:graphic xmlns:a="http://schemas.openxmlformats.org/drawingml/2006/main">
              <a:graphicData uri="http://schemas.openxmlformats.org/drawingml/2006/picture">
                <pic:pic xmlns:pic="http://schemas.openxmlformats.org/drawingml/2006/picture">
                  <pic:nvPicPr>
                    <pic:cNvPr id="1044" name="图片 33" descr="E:\其他\耕地质量监测报告\2022\湖州2022\图\水田\Graph6.tif"/>
                    <pic:cNvPicPr/>
                  </pic:nvPicPr>
                  <pic:blipFill>
                    <a:blip r:embed="rId24" cstate="print"/>
                    <a:srcRect/>
                    <a:stretch>
                      <a:fillRect/>
                    </a:stretch>
                  </pic:blipFill>
                  <pic:spPr>
                    <a:xfrm>
                      <a:off x="0" y="0"/>
                      <a:ext cx="5274310" cy="2169160"/>
                    </a:xfrm>
                    <a:prstGeom prst="rect">
                      <a:avLst/>
                    </a:prstGeom>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eastAsia="仿宋_GB2312"/>
          <w:kern w:val="0"/>
          <w:sz w:val="28"/>
        </w:rPr>
      </w:pPr>
      <w:r>
        <w:rPr>
          <w:rFonts w:eastAsia="仿宋_GB2312"/>
          <w:sz w:val="28"/>
          <w:szCs w:val="28"/>
        </w:rPr>
        <w:t>图2.19 2012年-2022年</w:t>
      </w:r>
      <w:r>
        <w:rPr>
          <w:rFonts w:hint="eastAsia" w:eastAsia="仿宋_GB2312"/>
          <w:sz w:val="28"/>
          <w:szCs w:val="28"/>
        </w:rPr>
        <w:t>湖州市水田</w:t>
      </w:r>
      <w:r>
        <w:rPr>
          <w:rFonts w:eastAsia="仿宋_GB2312"/>
          <w:sz w:val="28"/>
          <w:szCs w:val="28"/>
        </w:rPr>
        <w:t>土壤基础地力贡献率</w:t>
      </w:r>
    </w:p>
    <w:p>
      <w:pPr>
        <w:keepNext w:val="0"/>
        <w:keepLines w:val="0"/>
        <w:pageBreakBefore w:val="0"/>
        <w:widowControl/>
        <w:kinsoku/>
        <w:wordWrap/>
        <w:overflowPunct/>
        <w:topLinePunct w:val="0"/>
        <w:autoSpaceDE/>
        <w:autoSpaceDN/>
        <w:bidi w:val="0"/>
        <w:adjustRightInd/>
        <w:snapToGrid/>
        <w:spacing w:line="540" w:lineRule="exact"/>
        <w:ind w:firstLine="642" w:firstLineChars="200"/>
        <w:jc w:val="left"/>
        <w:textAlignment w:val="auto"/>
        <w:rPr>
          <w:rFonts w:hint="eastAsia" w:ascii="楷体_GB2312" w:hAnsi="楷体_GB2312" w:eastAsia="楷体_GB2312" w:cs="楷体_GB2312"/>
          <w:b/>
          <w:bCs/>
          <w:kern w:val="0"/>
          <w:sz w:val="32"/>
          <w:szCs w:val="32"/>
        </w:rPr>
      </w:pPr>
      <w:r>
        <w:rPr>
          <w:rFonts w:hint="eastAsia" w:ascii="楷体_GB2312" w:hAnsi="楷体_GB2312" w:eastAsia="楷体_GB2312" w:cs="楷体_GB2312"/>
          <w:b/>
          <w:bCs/>
          <w:kern w:val="0"/>
          <w:sz w:val="32"/>
          <w:szCs w:val="32"/>
        </w:rPr>
        <w:t>（四）肥料投入与作物产量</w:t>
      </w:r>
    </w:p>
    <w:p>
      <w:pPr>
        <w:keepNext w:val="0"/>
        <w:keepLines w:val="0"/>
        <w:pageBreakBefore w:val="0"/>
        <w:widowControl/>
        <w:kinsoku/>
        <w:wordWrap/>
        <w:overflowPunct/>
        <w:topLinePunct w:val="0"/>
        <w:autoSpaceDE/>
        <w:autoSpaceDN/>
        <w:bidi w:val="0"/>
        <w:adjustRightInd/>
        <w:snapToGrid/>
        <w:spacing w:line="540" w:lineRule="exact"/>
        <w:ind w:firstLine="640" w:firstLineChars="20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图2.20-2.23显示了湖州市监测点各类作物（水稻、小麦、番薯和白茶）在不同施肥处理下的产量。在水田中，测土配方施肥试验区和测土配方有机肥施肥试验区的水稻产量要明显高于常规施肥区，说明通过测土配方施肥和增施有机肥，可以降低不合理化肥施用，显著提高作物产量。在旱地中，常规施肥区和测土配方有机肥施肥试验区的白茶产量相差不大，测土配方+有机施肥区番薯产量略高于常规施肥区。</w:t>
      </w:r>
    </w:p>
    <w:p>
      <w:pPr>
        <w:jc w:val="center"/>
        <w:rPr>
          <w:rFonts w:eastAsia="仿宋_GB2312"/>
          <w:kern w:val="0"/>
          <w:sz w:val="28"/>
        </w:rPr>
      </w:pPr>
      <w:r>
        <w:rPr>
          <w:rFonts w:eastAsia="仿宋_GB2312"/>
          <w:kern w:val="0"/>
          <w:sz w:val="28"/>
        </w:rPr>
        <w:drawing>
          <wp:inline distT="0" distB="0" distL="0" distR="0">
            <wp:extent cx="5274310" cy="2386330"/>
            <wp:effectExtent l="0" t="0" r="2540" b="13970"/>
            <wp:docPr id="1045" name="图片 7" descr="E:\其他\帮工\耕地质量监测报告\2022\湖州2022\图\新建文件夹\Graph10.tif"/>
            <wp:cNvGraphicFramePr/>
            <a:graphic xmlns:a="http://schemas.openxmlformats.org/drawingml/2006/main">
              <a:graphicData uri="http://schemas.openxmlformats.org/drawingml/2006/picture">
                <pic:pic xmlns:pic="http://schemas.openxmlformats.org/drawingml/2006/picture">
                  <pic:nvPicPr>
                    <pic:cNvPr id="1045" name="图片 7" descr="E:\其他\帮工\耕地质量监测报告\2022\湖州2022\图\新建文件夹\Graph10.tif"/>
                    <pic:cNvPicPr/>
                  </pic:nvPicPr>
                  <pic:blipFill>
                    <a:blip r:embed="rId25" cstate="print"/>
                    <a:srcRect/>
                    <a:stretch>
                      <a:fillRect/>
                    </a:stretch>
                  </pic:blipFill>
                  <pic:spPr>
                    <a:xfrm>
                      <a:off x="0" y="0"/>
                      <a:ext cx="5274310" cy="2386330"/>
                    </a:xfrm>
                    <a:prstGeom prst="rect">
                      <a:avLst/>
                    </a:prstGeom>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eastAsia="仿宋_GB2312"/>
          <w:sz w:val="28"/>
          <w:szCs w:val="28"/>
        </w:rPr>
      </w:pPr>
      <w:r>
        <w:rPr>
          <w:rFonts w:eastAsia="仿宋_GB2312"/>
          <w:sz w:val="28"/>
          <w:szCs w:val="28"/>
        </w:rPr>
        <w:t>图2.20 201</w:t>
      </w:r>
      <w:r>
        <w:rPr>
          <w:rFonts w:hint="eastAsia" w:eastAsia="仿宋_GB2312"/>
          <w:sz w:val="28"/>
          <w:szCs w:val="28"/>
        </w:rPr>
        <w:t>1</w:t>
      </w:r>
      <w:r>
        <w:rPr>
          <w:rFonts w:eastAsia="仿宋_GB2312"/>
          <w:sz w:val="28"/>
          <w:szCs w:val="28"/>
        </w:rPr>
        <w:t>-2022年不同处理间对水稻产量的影响</w:t>
      </w:r>
      <w:r>
        <w:rPr>
          <w:rFonts w:hint="eastAsia" w:eastAsia="仿宋_GB2312"/>
          <w:kern w:val="0"/>
          <w:sz w:val="28"/>
        </w:rPr>
        <w:t>纵坐标单位</w:t>
      </w:r>
    </w:p>
    <w:p>
      <w:pPr>
        <w:jc w:val="center"/>
        <w:rPr>
          <w:rFonts w:eastAsia="仿宋_GB2312"/>
          <w:sz w:val="28"/>
          <w:szCs w:val="28"/>
        </w:rPr>
        <w:sectPr>
          <w:pgSz w:w="11906" w:h="16838"/>
          <w:pgMar w:top="1871" w:right="1474" w:bottom="1814" w:left="1587" w:header="851" w:footer="992" w:gutter="0"/>
          <w:pgNumType w:fmt="decimal"/>
          <w:cols w:space="0" w:num="1"/>
          <w:rtlGutter w:val="0"/>
          <w:docGrid w:type="lines" w:linePitch="312" w:charSpace="0"/>
        </w:sectPr>
      </w:pPr>
    </w:p>
    <w:p>
      <w:pPr>
        <w:jc w:val="center"/>
        <w:rPr>
          <w:rFonts w:eastAsia="仿宋_GB2312"/>
          <w:sz w:val="28"/>
          <w:szCs w:val="28"/>
        </w:rPr>
      </w:pPr>
      <w:r>
        <w:rPr>
          <w:rFonts w:eastAsia="仿宋_GB2312"/>
          <w:sz w:val="28"/>
          <w:szCs w:val="28"/>
        </w:rPr>
        <w:drawing>
          <wp:inline distT="0" distB="0" distL="0" distR="0">
            <wp:extent cx="5274310" cy="2414905"/>
            <wp:effectExtent l="0" t="0" r="2540" b="4445"/>
            <wp:docPr id="1046" name="图片 8" descr="E:\其他\帮工\耕地质量监测报告\2022\湖州2022\图\新建文件夹\Graph9.tif"/>
            <wp:cNvGraphicFramePr/>
            <a:graphic xmlns:a="http://schemas.openxmlformats.org/drawingml/2006/main">
              <a:graphicData uri="http://schemas.openxmlformats.org/drawingml/2006/picture">
                <pic:pic xmlns:pic="http://schemas.openxmlformats.org/drawingml/2006/picture">
                  <pic:nvPicPr>
                    <pic:cNvPr id="1046" name="图片 8" descr="E:\其他\帮工\耕地质量监测报告\2022\湖州2022\图\新建文件夹\Graph9.tif"/>
                    <pic:cNvPicPr/>
                  </pic:nvPicPr>
                  <pic:blipFill>
                    <a:blip r:embed="rId26" cstate="print"/>
                    <a:srcRect/>
                    <a:stretch>
                      <a:fillRect/>
                    </a:stretch>
                  </pic:blipFill>
                  <pic:spPr>
                    <a:xfrm>
                      <a:off x="0" y="0"/>
                      <a:ext cx="5274310" cy="2414905"/>
                    </a:xfrm>
                    <a:prstGeom prst="rect">
                      <a:avLst/>
                    </a:prstGeom>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eastAsia="仿宋_GB2312"/>
          <w:sz w:val="28"/>
          <w:szCs w:val="28"/>
        </w:rPr>
      </w:pPr>
      <w:r>
        <w:rPr>
          <w:rFonts w:hint="eastAsia" w:eastAsia="仿宋_GB2312"/>
          <w:sz w:val="28"/>
          <w:szCs w:val="28"/>
          <w:lang w:eastAsia="zh-CN"/>
        </w:rPr>
        <w:t>图</w:t>
      </w:r>
      <w:r>
        <w:rPr>
          <w:rFonts w:eastAsia="仿宋_GB2312"/>
          <w:sz w:val="28"/>
          <w:szCs w:val="28"/>
        </w:rPr>
        <w:t>2.21 201</w:t>
      </w:r>
      <w:r>
        <w:rPr>
          <w:rFonts w:hint="eastAsia" w:eastAsia="仿宋_GB2312"/>
          <w:sz w:val="28"/>
          <w:szCs w:val="28"/>
        </w:rPr>
        <w:t>3</w:t>
      </w:r>
      <w:r>
        <w:rPr>
          <w:rFonts w:eastAsia="仿宋_GB2312"/>
          <w:sz w:val="28"/>
          <w:szCs w:val="28"/>
        </w:rPr>
        <w:t>-2022年不同处理间对</w:t>
      </w:r>
      <w:r>
        <w:rPr>
          <w:rFonts w:hint="eastAsia" w:eastAsia="仿宋_GB2312"/>
          <w:sz w:val="28"/>
          <w:szCs w:val="28"/>
        </w:rPr>
        <w:t>小麦</w:t>
      </w:r>
      <w:r>
        <w:rPr>
          <w:rFonts w:eastAsia="仿宋_GB2312"/>
          <w:sz w:val="28"/>
          <w:szCs w:val="28"/>
        </w:rPr>
        <w:t>产量的影响</w:t>
      </w:r>
    </w:p>
    <w:p>
      <w:pPr>
        <w:jc w:val="center"/>
        <w:rPr>
          <w:rFonts w:eastAsia="仿宋_GB2312"/>
          <w:sz w:val="28"/>
          <w:szCs w:val="28"/>
        </w:rPr>
      </w:pPr>
      <w:r>
        <w:rPr>
          <w:rFonts w:eastAsia="仿宋_GB2312"/>
          <w:sz w:val="28"/>
          <w:szCs w:val="28"/>
        </w:rPr>
        <w:drawing>
          <wp:inline distT="0" distB="0" distL="0" distR="0">
            <wp:extent cx="5274310" cy="2314575"/>
            <wp:effectExtent l="0" t="0" r="2540" b="9525"/>
            <wp:docPr id="1047" name="图片 9" descr="E:\其他\帮工\耕地质量监测报告\2022\湖州2022\图\新建文件夹\Graph7.tif"/>
            <wp:cNvGraphicFramePr/>
            <a:graphic xmlns:a="http://schemas.openxmlformats.org/drawingml/2006/main">
              <a:graphicData uri="http://schemas.openxmlformats.org/drawingml/2006/picture">
                <pic:pic xmlns:pic="http://schemas.openxmlformats.org/drawingml/2006/picture">
                  <pic:nvPicPr>
                    <pic:cNvPr id="1047" name="图片 9" descr="E:\其他\帮工\耕地质量监测报告\2022\湖州2022\图\新建文件夹\Graph7.tif"/>
                    <pic:cNvPicPr/>
                  </pic:nvPicPr>
                  <pic:blipFill>
                    <a:blip r:embed="rId27" cstate="print"/>
                    <a:srcRect/>
                    <a:stretch>
                      <a:fillRect/>
                    </a:stretch>
                  </pic:blipFill>
                  <pic:spPr>
                    <a:xfrm>
                      <a:off x="0" y="0"/>
                      <a:ext cx="5274310" cy="2314575"/>
                    </a:xfrm>
                    <a:prstGeom prst="rect">
                      <a:avLst/>
                    </a:prstGeom>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eastAsia="仿宋_GB2312"/>
          <w:sz w:val="28"/>
          <w:szCs w:val="28"/>
        </w:rPr>
      </w:pPr>
      <w:r>
        <w:rPr>
          <w:rFonts w:eastAsia="仿宋_GB2312"/>
          <w:sz w:val="28"/>
          <w:szCs w:val="28"/>
        </w:rPr>
        <w:t>图2.22 201</w:t>
      </w:r>
      <w:r>
        <w:rPr>
          <w:rFonts w:hint="eastAsia" w:eastAsia="仿宋_GB2312"/>
          <w:sz w:val="28"/>
          <w:szCs w:val="28"/>
        </w:rPr>
        <w:t>1</w:t>
      </w:r>
      <w:r>
        <w:rPr>
          <w:rFonts w:eastAsia="仿宋_GB2312"/>
          <w:sz w:val="28"/>
          <w:szCs w:val="28"/>
        </w:rPr>
        <w:t>-2022年不同处理间对</w:t>
      </w:r>
      <w:r>
        <w:rPr>
          <w:rFonts w:hint="eastAsia" w:eastAsia="仿宋_GB2312"/>
          <w:sz w:val="28"/>
          <w:szCs w:val="28"/>
        </w:rPr>
        <w:t>白茶</w:t>
      </w:r>
      <w:r>
        <w:rPr>
          <w:rFonts w:eastAsia="仿宋_GB2312"/>
          <w:sz w:val="28"/>
          <w:szCs w:val="28"/>
        </w:rPr>
        <w:t>产量的影响</w:t>
      </w:r>
    </w:p>
    <w:p>
      <w:pPr>
        <w:jc w:val="center"/>
        <w:rPr>
          <w:rFonts w:eastAsia="仿宋_GB2312"/>
          <w:sz w:val="28"/>
          <w:szCs w:val="28"/>
        </w:rPr>
      </w:pPr>
      <w:r>
        <w:rPr>
          <w:rFonts w:eastAsia="仿宋_GB2312"/>
          <w:sz w:val="28"/>
          <w:szCs w:val="28"/>
        </w:rPr>
        <w:drawing>
          <wp:inline distT="0" distB="0" distL="0" distR="0">
            <wp:extent cx="4925695" cy="2372360"/>
            <wp:effectExtent l="0" t="0" r="1905" b="2540"/>
            <wp:docPr id="1048" name="图片 10" descr="E:\其他\帮工\耕地质量监测报告\2022\湖州2022\图\新建文件夹\Graph6.tif"/>
            <wp:cNvGraphicFramePr/>
            <a:graphic xmlns:a="http://schemas.openxmlformats.org/drawingml/2006/main">
              <a:graphicData uri="http://schemas.openxmlformats.org/drawingml/2006/picture">
                <pic:pic xmlns:pic="http://schemas.openxmlformats.org/drawingml/2006/picture">
                  <pic:nvPicPr>
                    <pic:cNvPr id="1048" name="图片 10" descr="E:\其他\帮工\耕地质量监测报告\2022\湖州2022\图\新建文件夹\Graph6.tif"/>
                    <pic:cNvPicPr/>
                  </pic:nvPicPr>
                  <pic:blipFill>
                    <a:blip r:embed="rId28" cstate="print"/>
                    <a:srcRect/>
                    <a:stretch>
                      <a:fillRect/>
                    </a:stretch>
                  </pic:blipFill>
                  <pic:spPr>
                    <a:xfrm>
                      <a:off x="0" y="0"/>
                      <a:ext cx="4925695" cy="2372360"/>
                    </a:xfrm>
                    <a:prstGeom prst="rect">
                      <a:avLst/>
                    </a:prstGeom>
                    <a:ln>
                      <a:noFill/>
                    </a:ln>
                  </pic:spPr>
                </pic:pic>
              </a:graphicData>
            </a:graphic>
          </wp:inline>
        </w:drawing>
      </w:r>
    </w:p>
    <w:p>
      <w:pPr>
        <w:jc w:val="center"/>
        <w:rPr>
          <w:rFonts w:eastAsia="仿宋_GB2312"/>
          <w:sz w:val="28"/>
          <w:szCs w:val="28"/>
        </w:rPr>
      </w:pPr>
      <w:r>
        <w:rPr>
          <w:rFonts w:eastAsia="仿宋_GB2312"/>
          <w:sz w:val="28"/>
          <w:szCs w:val="28"/>
        </w:rPr>
        <w:t>图2.23 20</w:t>
      </w:r>
      <w:r>
        <w:rPr>
          <w:rFonts w:hint="eastAsia" w:eastAsia="仿宋_GB2312"/>
          <w:sz w:val="28"/>
          <w:szCs w:val="28"/>
        </w:rPr>
        <w:t>20</w:t>
      </w:r>
      <w:r>
        <w:rPr>
          <w:rFonts w:eastAsia="仿宋_GB2312"/>
          <w:sz w:val="28"/>
          <w:szCs w:val="28"/>
        </w:rPr>
        <w:t>-2022年不同处理间对</w:t>
      </w:r>
      <w:r>
        <w:rPr>
          <w:rFonts w:hint="eastAsia" w:eastAsia="仿宋_GB2312"/>
          <w:sz w:val="28"/>
          <w:szCs w:val="28"/>
        </w:rPr>
        <w:t>番薯</w:t>
      </w:r>
      <w:r>
        <w:rPr>
          <w:rFonts w:eastAsia="仿宋_GB2312"/>
          <w:sz w:val="28"/>
          <w:szCs w:val="28"/>
        </w:rPr>
        <w:t>产量的影响</w:t>
      </w:r>
    </w:p>
    <w:p>
      <w:pPr>
        <w:pStyle w:val="16"/>
        <w:numPr>
          <w:ilvl w:val="0"/>
          <w:numId w:val="0"/>
        </w:numPr>
        <w:spacing w:line="300" w:lineRule="auto"/>
        <w:ind w:firstLine="640" w:firstLineChars="200"/>
        <w:rPr>
          <w:rFonts w:hint="eastAsia" w:ascii="黑体" w:hAnsi="黑体" w:eastAsia="黑体" w:cs="黑体"/>
          <w:kern w:val="0"/>
          <w:sz w:val="32"/>
          <w:szCs w:val="32"/>
          <w:lang w:val="en-US" w:eastAsia="zh-CN" w:bidi="ar-SA"/>
        </w:rPr>
      </w:pPr>
      <w:r>
        <w:rPr>
          <w:rFonts w:hint="eastAsia" w:ascii="黑体" w:hAnsi="黑体" w:eastAsia="黑体" w:cs="黑体"/>
          <w:kern w:val="0"/>
          <w:sz w:val="32"/>
          <w:szCs w:val="32"/>
          <w:lang w:val="en-US" w:eastAsia="zh-CN" w:bidi="ar-SA"/>
        </w:rPr>
        <w:t>三、主要结论</w:t>
      </w:r>
    </w:p>
    <w:p>
      <w:pPr>
        <w:keepNext w:val="0"/>
        <w:keepLines w:val="0"/>
        <w:pageBreakBefore w:val="0"/>
        <w:widowControl/>
        <w:shd w:val="clear" w:color="auto" w:fill="FFFFFF"/>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bidi="ar-SA"/>
        </w:rPr>
      </w:pPr>
      <w:r>
        <w:rPr>
          <w:rFonts w:hint="eastAsia" w:ascii="仿宋_GB2312" w:hAnsi="仿宋_GB2312" w:eastAsia="仿宋_GB2312" w:cs="仿宋_GB2312"/>
          <w:kern w:val="0"/>
          <w:sz w:val="32"/>
          <w:szCs w:val="32"/>
          <w:lang w:val="en-US" w:eastAsia="zh-CN" w:bidi="ar-SA"/>
        </w:rPr>
        <w:t>（一）2022年，湖州市水田土壤有机质平均含量29.69g/kg，全氮含量1.52g/kg，有效磷含量19.17mg/kg，速效钾含量99.46mg/kg，缓效钾含量272.13 mg/kg；土壤pH值变幅在5.00-8.46之间。旱地土壤有机质平均含量38.26g/kg，全氮含量1.92g/kg，有效磷含量156.64mg/kg，速效钾含量260.60mg/kg，缓效钾含量411.41mg/kg；土壤pH值在3.98-7.82之间。</w:t>
      </w:r>
    </w:p>
    <w:p>
      <w:pPr>
        <w:keepNext w:val="0"/>
        <w:keepLines w:val="0"/>
        <w:pageBreakBefore w:val="0"/>
        <w:widowControl/>
        <w:shd w:val="clear" w:color="auto" w:fill="FFFFFF"/>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bidi="ar-SA"/>
        </w:rPr>
      </w:pPr>
      <w:r>
        <w:rPr>
          <w:rFonts w:hint="eastAsia" w:ascii="仿宋_GB2312" w:hAnsi="仿宋_GB2312" w:eastAsia="仿宋_GB2312" w:cs="仿宋_GB2312"/>
          <w:kern w:val="0"/>
          <w:sz w:val="32"/>
          <w:szCs w:val="32"/>
          <w:lang w:val="en-US" w:eastAsia="zh-CN" w:bidi="ar-SA"/>
        </w:rPr>
        <w:t>（二）水田耕层土壤氮素（N）、磷素（</w:t>
      </w:r>
      <w:r>
        <w:rPr>
          <w:rFonts w:hint="eastAsia" w:ascii="仿宋_GB2312" w:hAnsi="仿宋_GB2312" w:eastAsia="仿宋_GB2312" w:cs="仿宋_GB2312"/>
          <w:kern w:val="0"/>
          <w:sz w:val="32"/>
          <w:szCs w:val="32"/>
        </w:rPr>
        <w:t>P</w:t>
      </w:r>
      <w:r>
        <w:rPr>
          <w:rFonts w:hint="eastAsia" w:ascii="仿宋_GB2312" w:hAnsi="仿宋_GB2312" w:eastAsia="仿宋_GB2312" w:cs="仿宋_GB2312"/>
          <w:kern w:val="0"/>
          <w:sz w:val="32"/>
          <w:szCs w:val="32"/>
          <w:vertAlign w:val="subscript"/>
        </w:rPr>
        <w:t>2</w:t>
      </w:r>
      <w:r>
        <w:rPr>
          <w:rFonts w:hint="eastAsia" w:ascii="仿宋_GB2312" w:hAnsi="仿宋_GB2312" w:eastAsia="仿宋_GB2312" w:cs="仿宋_GB2312"/>
          <w:kern w:val="0"/>
          <w:sz w:val="32"/>
          <w:szCs w:val="32"/>
        </w:rPr>
        <w:t>O</w:t>
      </w:r>
      <w:r>
        <w:rPr>
          <w:rFonts w:hint="eastAsia" w:ascii="仿宋_GB2312" w:hAnsi="仿宋_GB2312" w:eastAsia="仿宋_GB2312" w:cs="仿宋_GB2312"/>
          <w:kern w:val="0"/>
          <w:sz w:val="32"/>
          <w:szCs w:val="32"/>
          <w:vertAlign w:val="subscript"/>
        </w:rPr>
        <w:t>5</w:t>
      </w:r>
      <w:r>
        <w:rPr>
          <w:rFonts w:hint="eastAsia" w:ascii="仿宋_GB2312" w:hAnsi="仿宋_GB2312" w:eastAsia="仿宋_GB2312" w:cs="仿宋_GB2312"/>
          <w:kern w:val="0"/>
          <w:sz w:val="32"/>
          <w:szCs w:val="32"/>
          <w:lang w:val="en-US" w:eastAsia="zh-CN" w:bidi="ar-SA"/>
        </w:rPr>
        <w:t>）在不同处理中均表现为盈余，钾素（K</w:t>
      </w:r>
      <w:r>
        <w:rPr>
          <w:rFonts w:hint="eastAsia" w:ascii="仿宋_GB2312" w:hAnsi="仿宋_GB2312" w:eastAsia="仿宋_GB2312" w:cs="仿宋_GB2312"/>
          <w:kern w:val="0"/>
          <w:sz w:val="32"/>
          <w:szCs w:val="32"/>
          <w:vertAlign w:val="subscript"/>
          <w:lang w:val="en-US" w:eastAsia="zh-CN" w:bidi="ar-SA"/>
        </w:rPr>
        <w:t>2</w:t>
      </w:r>
      <w:r>
        <w:rPr>
          <w:rFonts w:hint="eastAsia" w:ascii="仿宋_GB2312" w:hAnsi="仿宋_GB2312" w:eastAsia="仿宋_GB2312" w:cs="仿宋_GB2312"/>
          <w:kern w:val="0"/>
          <w:sz w:val="32"/>
          <w:szCs w:val="32"/>
          <w:lang w:val="en-US" w:eastAsia="zh-CN" w:bidi="ar-SA"/>
        </w:rPr>
        <w:t>O）在常规施肥区和测土配方施肥区表现为亏损，在测土配方+有机施肥区表现为盈余。平均氮素（N）盈余3.01kg/亩，磷素（</w:t>
      </w:r>
      <w:r>
        <w:rPr>
          <w:rFonts w:hint="eastAsia" w:ascii="仿宋_GB2312" w:hAnsi="仿宋_GB2312" w:eastAsia="仿宋_GB2312" w:cs="仿宋_GB2312"/>
          <w:kern w:val="0"/>
          <w:sz w:val="32"/>
          <w:szCs w:val="32"/>
        </w:rPr>
        <w:t>P</w:t>
      </w:r>
      <w:r>
        <w:rPr>
          <w:rFonts w:hint="eastAsia" w:ascii="仿宋_GB2312" w:hAnsi="仿宋_GB2312" w:eastAsia="仿宋_GB2312" w:cs="仿宋_GB2312"/>
          <w:kern w:val="0"/>
          <w:sz w:val="32"/>
          <w:szCs w:val="32"/>
          <w:vertAlign w:val="subscript"/>
        </w:rPr>
        <w:t>2</w:t>
      </w:r>
      <w:r>
        <w:rPr>
          <w:rFonts w:hint="eastAsia" w:ascii="仿宋_GB2312" w:hAnsi="仿宋_GB2312" w:eastAsia="仿宋_GB2312" w:cs="仿宋_GB2312"/>
          <w:kern w:val="0"/>
          <w:sz w:val="32"/>
          <w:szCs w:val="32"/>
        </w:rPr>
        <w:t>O</w:t>
      </w:r>
      <w:r>
        <w:rPr>
          <w:rFonts w:hint="eastAsia" w:ascii="仿宋_GB2312" w:hAnsi="仿宋_GB2312" w:eastAsia="仿宋_GB2312" w:cs="仿宋_GB2312"/>
          <w:kern w:val="0"/>
          <w:sz w:val="32"/>
          <w:szCs w:val="32"/>
          <w:vertAlign w:val="subscript"/>
        </w:rPr>
        <w:t>5</w:t>
      </w:r>
      <w:r>
        <w:rPr>
          <w:rFonts w:hint="eastAsia" w:ascii="仿宋_GB2312" w:hAnsi="仿宋_GB2312" w:eastAsia="仿宋_GB2312" w:cs="仿宋_GB2312"/>
          <w:kern w:val="0"/>
          <w:sz w:val="32"/>
          <w:szCs w:val="32"/>
          <w:lang w:val="en-US" w:eastAsia="zh-CN" w:bidi="ar-SA"/>
        </w:rPr>
        <w:t>）盈余1.79kg/亩，（K</w:t>
      </w:r>
      <w:r>
        <w:rPr>
          <w:rFonts w:hint="eastAsia" w:ascii="仿宋_GB2312" w:hAnsi="仿宋_GB2312" w:eastAsia="仿宋_GB2312" w:cs="仿宋_GB2312"/>
          <w:kern w:val="0"/>
          <w:sz w:val="32"/>
          <w:szCs w:val="32"/>
          <w:vertAlign w:val="subscript"/>
          <w:lang w:val="en-US" w:eastAsia="zh-CN" w:bidi="ar-SA"/>
        </w:rPr>
        <w:t>2</w:t>
      </w:r>
      <w:r>
        <w:rPr>
          <w:rFonts w:hint="eastAsia" w:ascii="仿宋_GB2312" w:hAnsi="仿宋_GB2312" w:eastAsia="仿宋_GB2312" w:cs="仿宋_GB2312"/>
          <w:kern w:val="0"/>
          <w:sz w:val="32"/>
          <w:szCs w:val="32"/>
          <w:lang w:val="en-US" w:eastAsia="zh-CN" w:bidi="ar-SA"/>
        </w:rPr>
        <w:t>O）盈余0.22kg/亩。</w:t>
      </w:r>
    </w:p>
    <w:p>
      <w:pPr>
        <w:keepNext w:val="0"/>
        <w:keepLines w:val="0"/>
        <w:pageBreakBefore w:val="0"/>
        <w:widowControl/>
        <w:shd w:val="clear" w:color="auto" w:fill="FFFFFF"/>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bidi="ar-SA"/>
        </w:rPr>
      </w:pPr>
      <w:r>
        <w:rPr>
          <w:rFonts w:hint="eastAsia" w:ascii="仿宋_GB2312" w:hAnsi="仿宋_GB2312" w:eastAsia="仿宋_GB2312" w:cs="仿宋_GB2312"/>
          <w:kern w:val="0"/>
          <w:sz w:val="32"/>
          <w:szCs w:val="32"/>
          <w:lang w:val="en-US" w:eastAsia="zh-CN" w:bidi="ar-SA"/>
        </w:rPr>
        <w:t>（三）从监测结果来看，现阶段合理施肥仍是提高作物产量的关键农艺措施之一，全市土壤基础地力贡献率为79.24%。水田施肥区产量要明显高于不施肥区，测土配方施肥试验区和测土配方有机肥施肥试验区的产量要明显高于常规施肥区。</w:t>
      </w:r>
    </w:p>
    <w:p>
      <w:pPr>
        <w:keepNext w:val="0"/>
        <w:keepLines w:val="0"/>
        <w:pageBreakBefore w:val="0"/>
        <w:widowControl/>
        <w:shd w:val="clear" w:color="auto" w:fill="FFFFFF"/>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val="en-US" w:eastAsia="zh-CN" w:bidi="ar-SA"/>
        </w:rPr>
      </w:pPr>
      <w:r>
        <w:rPr>
          <w:rFonts w:hint="eastAsia" w:ascii="仿宋_GB2312" w:hAnsi="仿宋_GB2312" w:eastAsia="仿宋_GB2312" w:cs="仿宋_GB2312"/>
          <w:kern w:val="0"/>
          <w:sz w:val="32"/>
          <w:szCs w:val="32"/>
          <w:lang w:val="en-US" w:eastAsia="zh-CN" w:bidi="ar-SA"/>
        </w:rPr>
        <w:t>（四）各监测点虽然采用了测土配方施肥技术，但肥料投入水平、施肥比例仍不尽合理，养分平衡结果显示测土配方施肥下钾素表现为明显的亏损，考虑到湖州市土壤有效钾普遍较低的情况，应合理增加测土配方施肥中钾肥的投入比例。测土配方施肥可以有效降低不合理肥料投入，但是盲目的大量减肥虽然短时期内减产效应不明显，但是经过周年种植也可能会导致土壤贫瘠，因此化肥减量工作应配合科学的检测依据和分析才能促进我市农业可持续发展。</w:t>
      </w:r>
    </w:p>
    <w:p>
      <w:pPr>
        <w:spacing w:line="300" w:lineRule="auto"/>
        <w:ind w:firstLine="640" w:firstLineChars="200"/>
        <w:rPr>
          <w:rFonts w:hint="eastAsia" w:ascii="黑体" w:hAnsi="黑体" w:eastAsia="黑体" w:cs="黑体"/>
          <w:kern w:val="0"/>
          <w:sz w:val="32"/>
          <w:szCs w:val="32"/>
          <w:lang w:val="en-US" w:eastAsia="zh-CN" w:bidi="ar-SA"/>
        </w:rPr>
      </w:pPr>
      <w:r>
        <w:rPr>
          <w:rFonts w:hint="eastAsia" w:ascii="黑体" w:hAnsi="黑体" w:eastAsia="黑体" w:cs="黑体"/>
          <w:kern w:val="0"/>
          <w:sz w:val="32"/>
          <w:szCs w:val="32"/>
          <w:lang w:val="en-US" w:eastAsia="zh-CN" w:bidi="ar-SA"/>
        </w:rPr>
        <w:t>四、问题与建议</w:t>
      </w:r>
    </w:p>
    <w:p>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0"/>
          <w:sz w:val="32"/>
          <w:szCs w:val="32"/>
          <w:lang w:val="en-US" w:eastAsia="zh-CN" w:bidi="ar-SA"/>
        </w:rPr>
      </w:pPr>
      <w:r>
        <w:rPr>
          <w:rFonts w:hint="eastAsia" w:ascii="仿宋_GB2312" w:hAnsi="仿宋_GB2312" w:eastAsia="仿宋_GB2312" w:cs="仿宋_GB2312"/>
          <w:kern w:val="0"/>
          <w:sz w:val="32"/>
          <w:szCs w:val="32"/>
          <w:lang w:val="en-US" w:eastAsia="zh-CN" w:bidi="ar-SA"/>
        </w:rPr>
        <w:t>（一）根据土壤养分平衡和耕地地力情况，调整氮肥施用。湖州市水田土壤全氮含量总体处于较高水平，土壤氮素总体表现为略有盈余，但仍有部分检测点呈现为一定的亏损，应根据各检测点土壤地力情况合理调整肥料的施用。</w:t>
      </w:r>
    </w:p>
    <w:p>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0"/>
          <w:sz w:val="32"/>
          <w:szCs w:val="32"/>
          <w:lang w:val="en-US" w:eastAsia="zh-CN" w:bidi="ar-SA"/>
        </w:rPr>
      </w:pPr>
      <w:r>
        <w:rPr>
          <w:rFonts w:hint="eastAsia" w:ascii="仿宋_GB2312" w:hAnsi="仿宋_GB2312" w:eastAsia="仿宋_GB2312" w:cs="仿宋_GB2312"/>
          <w:kern w:val="0"/>
          <w:sz w:val="32"/>
          <w:szCs w:val="32"/>
          <w:lang w:val="en-US" w:eastAsia="zh-CN" w:bidi="ar-SA"/>
        </w:rPr>
        <w:t>（二）针对不同监测点耕地地力情况，调整磷肥、钾肥施用。针对湖州市水田有效磷、速效钾、缓效钾含量普遍不高，部分监测点处于缺磷、缺钾状态的情况，以及部分监测点磷素、钾素土壤养分平衡呈现一定亏损的情况，应根据监测点情况，合理加大磷肥、钾肥的投入，针对不同作物合理调整磷肥、钾肥的施用频率及施用比例。</w:t>
      </w:r>
    </w:p>
    <w:p>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0"/>
          <w:sz w:val="32"/>
          <w:szCs w:val="32"/>
          <w:lang w:val="en-US" w:eastAsia="zh-CN" w:bidi="ar-SA"/>
        </w:rPr>
      </w:pPr>
      <w:r>
        <w:rPr>
          <w:rFonts w:hint="eastAsia" w:ascii="仿宋_GB2312" w:hAnsi="仿宋_GB2312" w:eastAsia="仿宋_GB2312" w:cs="仿宋_GB2312"/>
          <w:kern w:val="0"/>
          <w:sz w:val="32"/>
          <w:szCs w:val="32"/>
          <w:lang w:val="en-US" w:eastAsia="zh-CN" w:bidi="ar-SA"/>
        </w:rPr>
        <w:t>（三）坚持土壤培肥和有机肥施用。坚持土壤培肥，大力推广秸秆还田和有机肥的施用，充分发挥有机肥对耕地的持续培肥作用。提高农产品品质，增强市场竞争力，促进农业的可持续发展。</w:t>
      </w:r>
    </w:p>
    <w:p>
      <w:pPr>
        <w:pStyle w:val="5"/>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widowControl/>
        <w:spacing w:line="440" w:lineRule="exact"/>
        <w:rPr>
          <w:rFonts w:hint="eastAsia" w:ascii="仿宋_GB2312" w:hAnsi="仿宋_GB2312" w:eastAsia="仿宋_GB2312"/>
          <w:sz w:val="28"/>
          <w:szCs w:val="28"/>
        </w:rPr>
      </w:pPr>
      <w:r>
        <w:rPr>
          <w:rFonts w:hint="eastAsia" w:ascii="仿宋_GB2312" w:eastAsia="仿宋_GB2312"/>
          <w:sz w:val="18"/>
          <w:szCs w:val="18"/>
          <w:lang w:val="zh-CN"/>
        </w:rPr>
        <mc:AlternateContent>
          <mc:Choice Requires="wps">
            <w:drawing>
              <wp:anchor distT="0" distB="0" distL="114300" distR="114300" simplePos="0" relativeHeight="251664384" behindDoc="0" locked="0" layoutInCell="1" allowOverlap="1">
                <wp:simplePos x="0" y="0"/>
                <wp:positionH relativeFrom="column">
                  <wp:posOffset>-60325</wp:posOffset>
                </wp:positionH>
                <wp:positionV relativeFrom="paragraph">
                  <wp:posOffset>269240</wp:posOffset>
                </wp:positionV>
                <wp:extent cx="5752465" cy="635"/>
                <wp:effectExtent l="0" t="0" r="0" b="0"/>
                <wp:wrapNone/>
                <wp:docPr id="4" name="直接连接符 15"/>
                <wp:cNvGraphicFramePr/>
                <a:graphic xmlns:a="http://schemas.openxmlformats.org/drawingml/2006/main">
                  <a:graphicData uri="http://schemas.microsoft.com/office/word/2010/wordprocessingShape">
                    <wps:wsp>
                      <wps:cNvCnPr/>
                      <wps:spPr>
                        <a:xfrm>
                          <a:off x="0" y="0"/>
                          <a:ext cx="5752465" cy="635"/>
                        </a:xfrm>
                        <a:prstGeom prst="line">
                          <a:avLst/>
                        </a:prstGeom>
                        <a:ln w="12573" cap="flat" cmpd="sng">
                          <a:solidFill>
                            <a:srgbClr val="000000"/>
                          </a:solidFill>
                          <a:prstDash val="solid"/>
                          <a:headEnd type="none" w="med" len="med"/>
                          <a:tailEnd type="none" w="med" len="med"/>
                        </a:ln>
                        <a:effectLst/>
                      </wps:spPr>
                      <wps:bodyPr upright="true"/>
                    </wps:wsp>
                  </a:graphicData>
                </a:graphic>
              </wp:anchor>
            </w:drawing>
          </mc:Choice>
          <mc:Fallback>
            <w:pict>
              <v:line id="直接连接符 15" o:spid="_x0000_s1026" o:spt="20" style="position:absolute;left:0pt;margin-left:-4.75pt;margin-top:21.2pt;height:0.05pt;width:452.95pt;z-index:251664384;mso-width-relative:page;mso-height-relative:page;" filled="f" stroked="t" coordsize="21600,21600" o:gfxdata="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FgAAAGRycy9QSwEC&#10;FAAUAAAACACHTuJABy7Pe9QAAAAIAQAADwAAAAAAAAABACAAAAA4AAAAZHJzL2Rvd25yZXYueG1s&#10;UEsBAhQAFAAAAAgAh07iQN1Rp9nmAQAAqwMAAA4AAAAAAAAAAQAgAAAAOQEAAGRycy9lMm9Eb2Mu&#10;eG1sUEsFBgAAAAAGAAYAWQEAAJEFAAAAAA==&#10;">
                <v:fill on="f" focussize="0,0"/>
                <v:stroke weight="0.99pt" color="#000000" joinstyle="round"/>
                <v:imagedata o:title=""/>
                <o:lock v:ext="edit" aspectratio="f"/>
              </v:line>
            </w:pict>
          </mc:Fallback>
        </mc:AlternateContent>
      </w:r>
    </w:p>
    <w:p>
      <w:pPr>
        <w:keepNext w:val="0"/>
        <w:keepLines w:val="0"/>
        <w:pageBreakBefore w:val="0"/>
        <w:widowControl w:val="0"/>
        <w:tabs>
          <w:tab w:val="left" w:pos="630"/>
        </w:tabs>
        <w:kinsoku/>
        <w:wordWrap/>
        <w:overflowPunct/>
        <w:topLinePunct w:val="0"/>
        <w:autoSpaceDE/>
        <w:autoSpaceDN/>
        <w:bidi w:val="0"/>
        <w:adjustRightInd/>
        <w:snapToGrid/>
        <w:spacing w:line="560" w:lineRule="exact"/>
        <w:ind w:left="-84" w:leftChars="-40" w:right="23" w:rightChars="11"/>
        <w:textAlignment w:val="auto"/>
        <w:outlineLvl w:val="9"/>
        <w:rPr>
          <w:rFonts w:hint="eastAsia" w:ascii="仿宋_GB2312" w:hAnsi="仿宋_GB2312" w:eastAsia="仿宋_GB2312" w:cs="仿宋_GB2312"/>
          <w:bCs/>
          <w:sz w:val="30"/>
          <w:szCs w:val="30"/>
          <w:lang w:val="en-US" w:eastAsia="zh-CN"/>
        </w:rPr>
      </w:pPr>
      <w:r>
        <w:rPr>
          <w:rFonts w:hint="eastAsia" w:ascii="仿宋_GB2312" w:eastAsia="仿宋_GB2312"/>
          <w:sz w:val="18"/>
          <w:szCs w:val="18"/>
        </w:rPr>
        <w:t xml:space="preserve"> </w:t>
      </w:r>
      <w:r>
        <w:rPr>
          <w:rFonts w:hint="eastAsia" w:ascii="仿宋_GB2312" w:eastAsia="仿宋_GB2312"/>
          <w:sz w:val="18"/>
          <w:szCs w:val="18"/>
          <w:lang w:val="en-US" w:eastAsia="zh-CN"/>
        </w:rPr>
        <w:t xml:space="preserve">  </w:t>
      </w:r>
      <w:r>
        <w:rPr>
          <w:rFonts w:hint="eastAsia" w:eastAsia="仿宋_GB2312"/>
          <w:sz w:val="28"/>
          <w:szCs w:val="28"/>
        </w:rPr>
        <w:t>湖州市农业</w:t>
      </w:r>
      <w:r>
        <w:rPr>
          <w:rFonts w:hint="eastAsia" w:eastAsia="仿宋_GB2312"/>
          <w:sz w:val="28"/>
          <w:szCs w:val="28"/>
          <w:lang w:eastAsia="zh-CN"/>
        </w:rPr>
        <w:t>农村</w:t>
      </w:r>
      <w:r>
        <w:rPr>
          <w:rFonts w:hint="eastAsia" w:eastAsia="仿宋_GB2312"/>
          <w:sz w:val="28"/>
          <w:szCs w:val="28"/>
        </w:rPr>
        <w:t>局办公室</w:t>
      </w:r>
      <w:r>
        <w:rPr>
          <w:rFonts w:eastAsia="仿宋_GB2312"/>
          <w:sz w:val="28"/>
          <w:szCs w:val="28"/>
        </w:rPr>
        <w:t xml:space="preserve">       </w:t>
      </w:r>
      <w:r>
        <w:rPr>
          <w:rFonts w:hint="eastAsia" w:eastAsia="仿宋_GB2312"/>
          <w:sz w:val="28"/>
          <w:szCs w:val="28"/>
        </w:rPr>
        <w:t xml:space="preserve">  </w:t>
      </w:r>
      <w:r>
        <w:rPr>
          <w:rFonts w:hint="eastAsia" w:eastAsia="仿宋_GB2312"/>
          <w:sz w:val="28"/>
          <w:szCs w:val="28"/>
          <w:lang w:val="en-US" w:eastAsia="zh-CN"/>
        </w:rPr>
        <w:t xml:space="preserve">  </w:t>
      </w:r>
      <w:r>
        <w:rPr>
          <w:rFonts w:hint="eastAsia" w:eastAsia="仿宋_GB2312"/>
          <w:sz w:val="28"/>
          <w:szCs w:val="28"/>
        </w:rPr>
        <w:t xml:space="preserve">  </w:t>
      </w:r>
      <w:r>
        <w:rPr>
          <w:rFonts w:hint="eastAsia" w:eastAsia="仿宋_GB2312"/>
          <w:sz w:val="28"/>
          <w:szCs w:val="28"/>
          <w:lang w:val="en-US" w:eastAsia="zh-CN"/>
        </w:rPr>
        <w:t xml:space="preserve"> </w:t>
      </w:r>
      <w:r>
        <w:rPr>
          <w:rFonts w:hint="eastAsia" w:eastAsia="仿宋_GB2312"/>
          <w:sz w:val="28"/>
          <w:szCs w:val="28"/>
        </w:rPr>
        <w:t xml:space="preserve"> </w:t>
      </w:r>
      <w:r>
        <w:rPr>
          <w:rFonts w:hint="eastAsia" w:eastAsia="仿宋_GB2312"/>
          <w:sz w:val="28"/>
          <w:szCs w:val="28"/>
          <w:lang w:val="en-US" w:eastAsia="zh-CN"/>
        </w:rPr>
        <w:t xml:space="preserve">   </w:t>
      </w:r>
      <w:r>
        <w:rPr>
          <w:rFonts w:hint="eastAsia" w:ascii="仿宋_GB2312" w:hAnsi="仿宋_GB2312" w:eastAsia="仿宋_GB2312" w:cs="仿宋_GB2312"/>
          <w:sz w:val="28"/>
          <w:szCs w:val="28"/>
          <w:lang w:val="en-US" w:eastAsia="zh-CN"/>
        </w:rPr>
        <w:t xml:space="preserve"> 2023</w:t>
      </w:r>
      <w:r>
        <w:rPr>
          <w:rFonts w:hint="eastAsia" w:ascii="仿宋_GB2312" w:hAnsi="仿宋_GB2312" w:eastAsia="仿宋_GB2312" w:cs="仿宋_GB2312"/>
          <w:sz w:val="28"/>
          <w:szCs w:val="28"/>
        </w:rPr>
        <w:t>年</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月</w:t>
      </w:r>
      <w:r>
        <w:rPr>
          <w:rFonts w:hint="eastAsia" w:ascii="仿宋_GB2312" w:hAnsi="仿宋_GB2312" w:eastAsia="仿宋_GB2312" w:cs="仿宋_GB2312"/>
          <w:sz w:val="28"/>
          <w:szCs w:val="28"/>
          <w:lang w:val="en-US" w:eastAsia="zh-CN"/>
        </w:rPr>
        <w:t>10</w:t>
      </w:r>
      <w:r>
        <w:rPr>
          <w:rFonts w:hint="eastAsia" w:ascii="仿宋_GB2312" w:hAnsi="仿宋_GB2312" w:eastAsia="仿宋_GB2312" w:cs="仿宋_GB2312"/>
          <w:sz w:val="28"/>
          <w:szCs w:val="28"/>
        </w:rPr>
        <w:t xml:space="preserve">日印发  </w:t>
      </w:r>
    </w:p>
    <w:p>
      <w:pPr>
        <w:tabs>
          <w:tab w:val="left" w:pos="630"/>
        </w:tabs>
        <w:spacing w:line="560" w:lineRule="exact"/>
        <w:ind w:left="-63" w:leftChars="-30" w:right="23" w:rightChars="11"/>
        <w:outlineLvl w:val="9"/>
      </w:pPr>
      <w:r>
        <w:rPr>
          <w:rFonts w:hint="eastAsia" w:ascii="仿宋_GB2312" w:eastAsia="仿宋_GB2312"/>
          <w:sz w:val="18"/>
          <w:szCs w:val="18"/>
          <w:lang w:val="zh-CN"/>
        </w:rPr>
        <mc:AlternateContent>
          <mc:Choice Requires="wps">
            <w:drawing>
              <wp:anchor distT="0" distB="0" distL="114300" distR="114300" simplePos="0" relativeHeight="251660288" behindDoc="0" locked="0" layoutInCell="1" allowOverlap="1">
                <wp:simplePos x="0" y="0"/>
                <wp:positionH relativeFrom="column">
                  <wp:posOffset>-85725</wp:posOffset>
                </wp:positionH>
                <wp:positionV relativeFrom="paragraph">
                  <wp:posOffset>45085</wp:posOffset>
                </wp:positionV>
                <wp:extent cx="5752465" cy="635"/>
                <wp:effectExtent l="0" t="0" r="0" b="0"/>
                <wp:wrapNone/>
                <wp:docPr id="16" name="直接连接符 16"/>
                <wp:cNvGraphicFramePr/>
                <a:graphic xmlns:a="http://schemas.openxmlformats.org/drawingml/2006/main">
                  <a:graphicData uri="http://schemas.microsoft.com/office/word/2010/wordprocessingShape">
                    <wps:wsp>
                      <wps:cNvCnPr/>
                      <wps:spPr>
                        <a:xfrm>
                          <a:off x="0" y="0"/>
                          <a:ext cx="5752465" cy="635"/>
                        </a:xfrm>
                        <a:prstGeom prst="line">
                          <a:avLst/>
                        </a:prstGeom>
                        <a:ln w="12573" cap="flat" cmpd="sng">
                          <a:solidFill>
                            <a:srgbClr val="000000"/>
                          </a:solidFill>
                          <a:prstDash val="solid"/>
                          <a:headEnd type="none" w="med" len="med"/>
                          <a:tailEnd type="none" w="med" len="med"/>
                        </a:ln>
                        <a:effectLst/>
                      </wps:spPr>
                      <wps:bodyPr upright="true"/>
                    </wps:wsp>
                  </a:graphicData>
                </a:graphic>
              </wp:anchor>
            </w:drawing>
          </mc:Choice>
          <mc:Fallback>
            <w:pict>
              <v:line id="_x0000_s1026" o:spid="_x0000_s1026" o:spt="20" style="position:absolute;left:0pt;margin-left:-6.75pt;margin-top:3.55pt;height:0.05pt;width:452.95pt;z-index:251660288;mso-width-relative:page;mso-height-relative:page;" filled="f" stroked="t" coordsize="21600,21600" o:gfxdata="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BYAAABkcnMvUEsBAhQAFAAA&#10;AAgAh07iQPmPbEbSAAAABwEAAA8AAAAAAAAAAQAgAAAAOAAAAGRycy9kb3ducmV2LnhtbFBLAQIU&#10;ABQAAAAIAIdO4kCqOXcy4wEAAKwDAAAOAAAAAAAAAAEAIAAAADcBAABkcnMvZTJvRG9jLnhtbFBL&#10;BQYAAAAABgAGAFkBAACMBQAAAAA=&#10;">
                <v:fill on="f" focussize="0,0"/>
                <v:stroke weight="0.99pt" color="#000000" joinstyle="round"/>
                <v:imagedata o:title=""/>
                <o:lock v:ext="edit" aspectratio="f"/>
              </v:line>
            </w:pict>
          </mc:Fallback>
        </mc:AlternateContent>
      </w:r>
    </w:p>
    <w:sectPr>
      <w:pgSz w:w="11906" w:h="16838"/>
      <w:pgMar w:top="1701" w:right="1474" w:bottom="1701" w:left="1587" w:header="851" w:footer="992" w:gutter="0"/>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方正小标宋简体">
    <w:panose1 w:val="02000000000000000000"/>
    <w:charset w:val="86"/>
    <w:family w:val="script"/>
    <w:pitch w:val="default"/>
    <w:sig w:usb0="A00002BF" w:usb1="184F6CFA" w:usb2="00000012" w:usb3="00000000" w:csb0="00040001" w:csb1="00000000"/>
  </w:font>
  <w:font w:name="仿宋_GB2312">
    <w:panose1 w:val="02010609030101010101"/>
    <w:charset w:val="86"/>
    <w:family w:val="modern"/>
    <w:pitch w:val="default"/>
    <w:sig w:usb0="00000001" w:usb1="080E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仿宋">
    <w:altName w:val="宋体"/>
    <w:panose1 w:val="02010609060101010101"/>
    <w:charset w:val="86"/>
    <w:family w:val="modern"/>
    <w:pitch w:val="default"/>
    <w:sig w:usb0="00000000" w:usb1="00000000" w:usb2="00000016" w:usb3="00000000" w:csb0="00040001" w:csb1="00000000"/>
  </w:font>
  <w:font w:name="DejaVu Sans">
    <w:panose1 w:val="020B0603030804020204"/>
    <w:charset w:val="00"/>
    <w:family w:val="auto"/>
    <w:pitch w:val="default"/>
    <w:sig w:usb0="E7006EFF" w:usb1="D200FDFF" w:usb2="0A246029" w:usb3="0400200C" w:csb0="600001FF" w:csb1="DFFF0000"/>
  </w:font>
  <w:font w:name="Cambria">
    <w:altName w:val="汉仪仿宋S"/>
    <w:panose1 w:val="00000000000000000000"/>
    <w:charset w:val="00"/>
    <w:family w:val="auto"/>
    <w:pitch w:val="default"/>
    <w:sig w:usb0="00000000" w:usb1="00000000" w:usb2="00000000" w:usb3="00000000" w:csb0="00000000" w:csb1="00000000"/>
  </w:font>
  <w:font w:name="汉仪仿宋S">
    <w:panose1 w:val="00020600040101000101"/>
    <w:charset w:val="86"/>
    <w:family w:val="auto"/>
    <w:pitch w:val="default"/>
    <w:sig w:usb0="A00002BF" w:usb1="38CF7CFA" w:usb2="00000016" w:usb3="00000000" w:csb0="0004009F" w:csb1="00000000"/>
  </w:font>
  <w:font w:name="方正仿宋简体">
    <w:altName w:val="方正仿宋_GBK"/>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58240" behindDoc="0" locked="0" layoutInCell="1" allowOverlap="1">
              <wp:simplePos x="0" y="0"/>
              <wp:positionH relativeFrom="margin">
                <wp:posOffset>4778375</wp:posOffset>
              </wp:positionH>
              <wp:positionV relativeFrom="paragraph">
                <wp:posOffset>-371475</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7"/>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left:376.25pt;margin-top:-29.25pt;height:144pt;width:144pt;mso-position-horizontal-relative:margin;mso-wrap-style:none;z-index:251658240;mso-width-relative:page;mso-height-relative:page;" filled="f" stroked="f" coordsize="21600,21600" o:gfxdata="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">
              <v:fill on="f" focussize="0,0"/>
              <v:stroke on="f" weight="0.5pt"/>
              <v:imagedata o:title=""/>
              <o:lock v:ext="edit" aspectratio="f"/>
              <v:textbox inset="0mm,0mm,0mm,0mm" style="mso-fit-shape-to-text:t;">
                <w:txbxContent>
                  <w:p>
                    <w:pPr>
                      <w:pStyle w:val="7"/>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59264" behindDoc="0" locked="0" layoutInCell="1" allowOverlap="1">
              <wp:simplePos x="0" y="0"/>
              <wp:positionH relativeFrom="margin">
                <wp:posOffset>171450</wp:posOffset>
              </wp:positionH>
              <wp:positionV relativeFrom="paragraph">
                <wp:posOffset>-428625</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7"/>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left:13.5pt;margin-top:-33.75pt;height:144pt;width:144pt;mso-position-horizontal-relative:margin;mso-wrap-style:none;z-index:251659264;mso-width-relative:page;mso-height-relative:page;" filled="f" stroked="f" coordsize="21600,21600" o:gfxdata="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">
              <v:fill on="f" focussize="0,0"/>
              <v:stroke on="f" weight="0.5pt"/>
              <v:imagedata o:title=""/>
              <o:lock v:ext="edit" aspectratio="f"/>
              <v:textbox inset="0mm,0mm,0mm,0mm" style="mso-fit-shape-to-text:t;">
                <w:txbxContent>
                  <w:p>
                    <w:pPr>
                      <w:pStyle w:val="7"/>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true"/>
  <w:bordersDoNotSurroundFooter w:val="true"/>
  <w:documentProtection w:enforcement="0"/>
  <w:defaultTabStop w:val="420"/>
  <w:evenAndOddHeaders w:val="true"/>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VhNGJiMWVmZTg4ZjFhYWZhYWFiMzBkODkwYWRkZmUifQ=="/>
  </w:docVars>
  <w:rsids>
    <w:rsidRoot w:val="00000000"/>
    <w:rsid w:val="055C549A"/>
    <w:rsid w:val="1FD92AFC"/>
    <w:rsid w:val="2617194A"/>
    <w:rsid w:val="56F2BD63"/>
    <w:rsid w:val="6FD9C9E0"/>
    <w:rsid w:val="7DFD99DB"/>
    <w:rsid w:val="7F5E02E6"/>
    <w:rsid w:val="CEBEEFC4"/>
    <w:rsid w:val="DB3EF6ED"/>
    <w:rsid w:val="F5EF68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宋体"/>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99"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character" w:default="1" w:styleId="12">
    <w:name w:val="Default Paragraph Font"/>
    <w:qFormat/>
    <w:uiPriority w:val="1"/>
  </w:style>
  <w:style w:type="table" w:default="1" w:styleId="10">
    <w:name w:val="Normal Table"/>
    <w:qFormat/>
    <w:uiPriority w:val="99"/>
    <w:tblPr>
      <w:tblCellMar>
        <w:top w:w="0" w:type="dxa"/>
        <w:left w:w="108" w:type="dxa"/>
        <w:bottom w:w="0" w:type="dxa"/>
        <w:right w:w="108" w:type="dxa"/>
      </w:tblCellMar>
    </w:tblPr>
  </w:style>
  <w:style w:type="paragraph" w:styleId="3">
    <w:name w:val="annotation text"/>
    <w:basedOn w:val="1"/>
    <w:link w:val="18"/>
    <w:qFormat/>
    <w:uiPriority w:val="99"/>
    <w:pPr>
      <w:jc w:val="left"/>
    </w:pPr>
  </w:style>
  <w:style w:type="paragraph" w:styleId="4">
    <w:name w:val="Body Text"/>
    <w:basedOn w:val="1"/>
    <w:next w:val="5"/>
    <w:qFormat/>
    <w:uiPriority w:val="0"/>
    <w:pPr>
      <w:spacing w:before="0" w:after="140" w:line="276" w:lineRule="auto"/>
    </w:pPr>
  </w:style>
  <w:style w:type="paragraph" w:styleId="5">
    <w:name w:val="Body Text First Indent"/>
    <w:basedOn w:val="4"/>
    <w:next w:val="1"/>
    <w:semiHidden/>
    <w:unhideWhenUsed/>
    <w:qFormat/>
    <w:uiPriority w:val="99"/>
    <w:pPr>
      <w:keepNext w:val="0"/>
      <w:keepLines w:val="0"/>
      <w:widowControl w:val="0"/>
      <w:suppressLineNumbers w:val="0"/>
      <w:adjustRightInd w:val="0"/>
      <w:snapToGrid w:val="0"/>
      <w:spacing w:after="120" w:afterAutospacing="0" w:line="360" w:lineRule="auto"/>
      <w:ind w:firstLine="420" w:firstLineChars="100"/>
      <w:jc w:val="both"/>
    </w:pPr>
    <w:rPr>
      <w:rFonts w:hint="default" w:ascii="Times New Roman" w:hAnsi="Times New Roman" w:eastAsia="方正仿宋简体" w:cs="Times New Roman"/>
      <w:kern w:val="32"/>
      <w:sz w:val="32"/>
      <w:szCs w:val="32"/>
      <w:lang w:val="en-US" w:eastAsia="zh-CN" w:bidi="ar"/>
    </w:rPr>
  </w:style>
  <w:style w:type="paragraph" w:styleId="6">
    <w:name w:val="Balloon Text"/>
    <w:basedOn w:val="1"/>
    <w:link w:val="17"/>
    <w:qFormat/>
    <w:uiPriority w:val="99"/>
    <w:rPr>
      <w:sz w:val="18"/>
      <w:szCs w:val="18"/>
    </w:rPr>
  </w:style>
  <w:style w:type="paragraph" w:styleId="7">
    <w:name w:val="footer"/>
    <w:basedOn w:val="1"/>
    <w:link w:val="15"/>
    <w:qFormat/>
    <w:uiPriority w:val="99"/>
    <w:pPr>
      <w:tabs>
        <w:tab w:val="center" w:pos="4153"/>
        <w:tab w:val="right" w:pos="8306"/>
      </w:tabs>
      <w:snapToGrid w:val="0"/>
      <w:jc w:val="left"/>
    </w:pPr>
    <w:rPr>
      <w:rFonts w:ascii="Calibri" w:hAnsi="Calibri" w:eastAsia="宋体" w:cs="宋体"/>
      <w:sz w:val="18"/>
      <w:szCs w:val="18"/>
    </w:rPr>
  </w:style>
  <w:style w:type="paragraph" w:styleId="8">
    <w:name w:val="header"/>
    <w:basedOn w:val="1"/>
    <w:link w:val="14"/>
    <w:qFormat/>
    <w:uiPriority w:val="99"/>
    <w:pPr>
      <w:pBdr>
        <w:bottom w:val="single" w:color="auto" w:sz="6" w:space="1"/>
      </w:pBdr>
      <w:tabs>
        <w:tab w:val="center" w:pos="4153"/>
        <w:tab w:val="right" w:pos="8306"/>
      </w:tabs>
      <w:snapToGrid w:val="0"/>
      <w:jc w:val="center"/>
    </w:pPr>
    <w:rPr>
      <w:rFonts w:ascii="Calibri" w:hAnsi="Calibri" w:eastAsia="宋体" w:cs="宋体"/>
      <w:sz w:val="18"/>
      <w:szCs w:val="18"/>
    </w:rPr>
  </w:style>
  <w:style w:type="paragraph" w:styleId="9">
    <w:name w:val="annotation subject"/>
    <w:basedOn w:val="3"/>
    <w:next w:val="3"/>
    <w:link w:val="19"/>
    <w:qFormat/>
    <w:uiPriority w:val="99"/>
    <w:rPr>
      <w:b/>
      <w:bCs/>
    </w:rPr>
  </w:style>
  <w:style w:type="table" w:styleId="11">
    <w:name w:val="Table Grid"/>
    <w:basedOn w:val="1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annotation reference"/>
    <w:basedOn w:val="12"/>
    <w:qFormat/>
    <w:uiPriority w:val="99"/>
    <w:rPr>
      <w:sz w:val="21"/>
      <w:szCs w:val="21"/>
    </w:rPr>
  </w:style>
  <w:style w:type="character" w:customStyle="1" w:styleId="14">
    <w:name w:val="页眉 Char"/>
    <w:basedOn w:val="12"/>
    <w:link w:val="8"/>
    <w:qFormat/>
    <w:uiPriority w:val="99"/>
    <w:rPr>
      <w:sz w:val="18"/>
      <w:szCs w:val="18"/>
    </w:rPr>
  </w:style>
  <w:style w:type="character" w:customStyle="1" w:styleId="15">
    <w:name w:val="页脚 Char"/>
    <w:basedOn w:val="12"/>
    <w:link w:val="7"/>
    <w:qFormat/>
    <w:uiPriority w:val="99"/>
    <w:rPr>
      <w:sz w:val="18"/>
      <w:szCs w:val="18"/>
    </w:rPr>
  </w:style>
  <w:style w:type="paragraph" w:styleId="16">
    <w:name w:val="List Paragraph"/>
    <w:basedOn w:val="1"/>
    <w:qFormat/>
    <w:uiPriority w:val="34"/>
    <w:pPr>
      <w:ind w:firstLine="420" w:firstLineChars="200"/>
    </w:pPr>
  </w:style>
  <w:style w:type="character" w:customStyle="1" w:styleId="17">
    <w:name w:val="批注框文本 Char"/>
    <w:basedOn w:val="12"/>
    <w:link w:val="6"/>
    <w:qFormat/>
    <w:uiPriority w:val="99"/>
    <w:rPr>
      <w:rFonts w:ascii="Times New Roman" w:hAnsi="Times New Roman" w:eastAsia="宋体" w:cs="Times New Roman"/>
      <w:sz w:val="18"/>
      <w:szCs w:val="18"/>
    </w:rPr>
  </w:style>
  <w:style w:type="character" w:customStyle="1" w:styleId="18">
    <w:name w:val="批注文字 Char"/>
    <w:basedOn w:val="12"/>
    <w:link w:val="3"/>
    <w:qFormat/>
    <w:uiPriority w:val="99"/>
    <w:rPr>
      <w:rFonts w:ascii="Times New Roman" w:hAnsi="Times New Roman" w:eastAsia="宋体" w:cs="Times New Roman"/>
      <w:szCs w:val="24"/>
    </w:rPr>
  </w:style>
  <w:style w:type="character" w:customStyle="1" w:styleId="19">
    <w:name w:val="批注主题 Char"/>
    <w:basedOn w:val="18"/>
    <w:link w:val="9"/>
    <w:qFormat/>
    <w:uiPriority w:val="99"/>
    <w:rPr>
      <w:rFonts w:ascii="Times New Roman" w:hAnsi="Times New Roman" w:eastAsia="宋体" w:cs="Times New Roman"/>
      <w:b/>
      <w:bCs/>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tiff"/><Relationship Id="rId8" Type="http://schemas.openxmlformats.org/officeDocument/2006/relationships/image" Target="media/image3.tiff"/><Relationship Id="rId7" Type="http://schemas.openxmlformats.org/officeDocument/2006/relationships/image" Target="media/image2.tiff"/><Relationship Id="rId6" Type="http://schemas.openxmlformats.org/officeDocument/2006/relationships/image" Target="media/image1.tiff"/><Relationship Id="rId5" Type="http://schemas.openxmlformats.org/officeDocument/2006/relationships/theme" Target="theme/theme1.xml"/><Relationship Id="rId4" Type="http://schemas.openxmlformats.org/officeDocument/2006/relationships/footer" Target="footer2.xml"/><Relationship Id="rId30" Type="http://schemas.openxmlformats.org/officeDocument/2006/relationships/fontTable" Target="fontTable.xml"/><Relationship Id="rId3" Type="http://schemas.openxmlformats.org/officeDocument/2006/relationships/footer" Target="footer1.xml"/><Relationship Id="rId29" Type="http://schemas.openxmlformats.org/officeDocument/2006/relationships/customXml" Target="../customXml/item1.xml"/><Relationship Id="rId28" Type="http://schemas.openxmlformats.org/officeDocument/2006/relationships/image" Target="media/image23.tiff"/><Relationship Id="rId27" Type="http://schemas.openxmlformats.org/officeDocument/2006/relationships/image" Target="media/image22.tiff"/><Relationship Id="rId26" Type="http://schemas.openxmlformats.org/officeDocument/2006/relationships/image" Target="media/image21.tiff"/><Relationship Id="rId25" Type="http://schemas.openxmlformats.org/officeDocument/2006/relationships/image" Target="media/image20.tiff"/><Relationship Id="rId24" Type="http://schemas.openxmlformats.org/officeDocument/2006/relationships/image" Target="media/image19.tiff"/><Relationship Id="rId23" Type="http://schemas.openxmlformats.org/officeDocument/2006/relationships/image" Target="media/image18.tiff"/><Relationship Id="rId22" Type="http://schemas.openxmlformats.org/officeDocument/2006/relationships/image" Target="media/image17.tiff"/><Relationship Id="rId21" Type="http://schemas.openxmlformats.org/officeDocument/2006/relationships/image" Target="media/image16.tiff"/><Relationship Id="rId20" Type="http://schemas.openxmlformats.org/officeDocument/2006/relationships/image" Target="media/image15.tiff"/><Relationship Id="rId2" Type="http://schemas.openxmlformats.org/officeDocument/2006/relationships/settings" Target="settings.xml"/><Relationship Id="rId19" Type="http://schemas.openxmlformats.org/officeDocument/2006/relationships/image" Target="media/image14.tiff"/><Relationship Id="rId18" Type="http://schemas.openxmlformats.org/officeDocument/2006/relationships/image" Target="media/image13.tiff"/><Relationship Id="rId17" Type="http://schemas.openxmlformats.org/officeDocument/2006/relationships/image" Target="media/image12.tiff"/><Relationship Id="rId16" Type="http://schemas.openxmlformats.org/officeDocument/2006/relationships/image" Target="media/image11.tiff"/><Relationship Id="rId15" Type="http://schemas.openxmlformats.org/officeDocument/2006/relationships/image" Target="media/image10.tiff"/><Relationship Id="rId14" Type="http://schemas.openxmlformats.org/officeDocument/2006/relationships/image" Target="media/image9.tiff"/><Relationship Id="rId13" Type="http://schemas.openxmlformats.org/officeDocument/2006/relationships/image" Target="media/image8.tiff"/><Relationship Id="rId12" Type="http://schemas.openxmlformats.org/officeDocument/2006/relationships/image" Target="media/image7.tiff"/><Relationship Id="rId11" Type="http://schemas.openxmlformats.org/officeDocument/2006/relationships/image" Target="media/image6.tiff"/><Relationship Id="rId10" Type="http://schemas.openxmlformats.org/officeDocument/2006/relationships/image" Target="media/image5.tiff"/><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25</Pages>
  <Words>7420</Words>
  <Characters>9000</Characters>
  <Paragraphs>270</Paragraphs>
  <TotalTime>4</TotalTime>
  <ScaleCrop>false</ScaleCrop>
  <LinksUpToDate>false</LinksUpToDate>
  <CharactersWithSpaces>9052</CharactersWithSpaces>
  <Application>WPS Office_11.8.2.10290_F1E327BC-269C-435d-A152-05C5408002CA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2018-09-10T17:54:00Z</dcterms:created>
  <dc:creator>系统管理员</dc:creator>
  <cp:lastModifiedBy>Huzhou</cp:lastModifiedBy>
  <cp:lastPrinted>2023-02-20T22:25:00Z</cp:lastPrinted>
  <dcterms:modified xsi:type="dcterms:W3CDTF">2023-03-10T14:47:18Z</dcterms:modified>
  <cp:revision>286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2052-11.8.2.10290</vt:lpwstr>
  </property>
  <property fmtid="{D5CDD505-2E9C-101B-9397-08002B2CF9AE}" pid="3" name="ICV">
    <vt:lpwstr>735E8248BDC64FA59F0A3EA366C16A50</vt:lpwstr>
  </property>
</Properties>
</file>