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DCD39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附件4</w:t>
      </w:r>
    </w:p>
    <w:p w14:paraId="3556FF7D">
      <w:pPr>
        <w:spacing w:line="360" w:lineRule="exact"/>
        <w:jc w:val="center"/>
        <w:rPr>
          <w:rFonts w:hint="eastAsia" w:ascii="仿宋" w:hAnsi="仿宋" w:eastAsia="仿宋" w:cs="仿宋"/>
          <w:b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 w:eastAsia="zh-CN"/>
        </w:rPr>
        <w:t>投标函</w:t>
      </w:r>
    </w:p>
    <w:p w14:paraId="65943AF2">
      <w:pPr>
        <w:pStyle w:val="5"/>
        <w:spacing w:before="120" w:after="120" w:line="470" w:lineRule="exact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致：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（招标采购单位名称）：</w:t>
      </w:r>
    </w:p>
    <w:p w14:paraId="02A63C45">
      <w:pPr>
        <w:spacing w:line="480" w:lineRule="exact"/>
        <w:ind w:firstLine="590" w:firstLineChars="245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  <w:lang w:val="zh-CN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zh-CN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（供应商全称）授权</w:t>
      </w:r>
      <w:r>
        <w:rPr>
          <w:rFonts w:hint="eastAsia" w:ascii="仿宋" w:hAnsi="仿宋" w:eastAsia="仿宋" w:cs="仿宋"/>
          <w:sz w:val="24"/>
          <w:szCs w:val="24"/>
          <w:u w:val="single"/>
          <w:lang w:val="zh-CN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 xml:space="preserve"> （授权代表名称）</w:t>
      </w:r>
      <w:r>
        <w:rPr>
          <w:rFonts w:hint="eastAsia" w:ascii="仿宋" w:hAnsi="仿宋" w:eastAsia="仿宋" w:cs="仿宋"/>
          <w:sz w:val="24"/>
          <w:szCs w:val="24"/>
          <w:u w:val="single"/>
          <w:lang w:val="zh-CN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（职务、职称）为授权代表，参加贵方组织的</w:t>
      </w:r>
      <w:r>
        <w:rPr>
          <w:rFonts w:hint="eastAsia" w:ascii="仿宋" w:hAnsi="仿宋" w:eastAsia="仿宋" w:cs="仿宋"/>
          <w:sz w:val="24"/>
          <w:szCs w:val="24"/>
          <w:u w:val="single"/>
          <w:lang w:val="zh-CN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zh-CN" w:eastAsia="zh-CN"/>
        </w:rPr>
        <w:t>（采购</w:t>
      </w:r>
      <w:r>
        <w:rPr>
          <w:rFonts w:hint="eastAsia" w:ascii="仿宋" w:hAnsi="仿宋" w:eastAsia="仿宋" w:cs="仿宋"/>
          <w:sz w:val="24"/>
          <w:lang w:val="zh-CN" w:eastAsia="zh-CN"/>
        </w:rPr>
        <w:t>项目名称）（括号内填项目编号）采购的有关活动，并对</w:t>
      </w:r>
      <w:r>
        <w:rPr>
          <w:rFonts w:hint="eastAsia" w:ascii="仿宋" w:hAnsi="仿宋" w:eastAsia="仿宋" w:cs="仿宋"/>
          <w:sz w:val="24"/>
          <w:u w:val="single"/>
          <w:lang w:val="zh-CN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lang w:val="zh-CN" w:eastAsia="zh-CN"/>
        </w:rPr>
        <w:t xml:space="preserve">项目（采购项目名称）进行投标。为此：    </w:t>
      </w:r>
    </w:p>
    <w:p w14:paraId="3E62DB30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1、供应商须提供须知规定的全部投标文件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717F9C26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2、保证遵守</w:t>
      </w:r>
      <w:r>
        <w:rPr>
          <w:rFonts w:hint="eastAsia" w:ascii="仿宋" w:hAnsi="仿宋" w:eastAsia="仿宋" w:cs="仿宋"/>
          <w:sz w:val="24"/>
          <w:lang w:eastAsia="zh-CN"/>
        </w:rPr>
        <w:t>询价</w:t>
      </w:r>
      <w:r>
        <w:rPr>
          <w:rFonts w:hint="eastAsia" w:ascii="仿宋" w:hAnsi="仿宋" w:eastAsia="仿宋" w:cs="仿宋"/>
          <w:sz w:val="24"/>
          <w:lang w:val="zh-CN" w:eastAsia="zh-CN"/>
        </w:rPr>
        <w:t>文件中的有关规定和收费标准。</w:t>
      </w:r>
    </w:p>
    <w:p w14:paraId="47965B3C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3、保证诚信地执行采购人、供应商双方所签的合同，并承担合同规定的责任义务。</w:t>
      </w:r>
    </w:p>
    <w:p w14:paraId="6E36E955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4、供应商已详细审查全部招标文件，包括招标文件补充文件（如果有的话）。我方完全理解并同意放弃对这方面有不明及误解的权力。如果招标文件有相互矛盾之处，我方同意按采购人的理解处理。</w:t>
      </w:r>
    </w:p>
    <w:p w14:paraId="4BA2483B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5、利益冲突：近三年内直至目前，我公司与本项目的采购人、采购机构没有任何的隶属关系。</w:t>
      </w:r>
    </w:p>
    <w:p w14:paraId="2BB9DE12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6、我公司没有被本项目所在地的政府采购管理部门限制参加报价。</w:t>
      </w:r>
    </w:p>
    <w:p w14:paraId="14891BD4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7、愿意向贵方提供任何与该项报价有关的数据、情况和技术资料，完全理解贵方不一定接受最低价的报价或收到的任何报价。</w:t>
      </w:r>
    </w:p>
    <w:p w14:paraId="6AFD4BD6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8、本报价文件自报价之日起</w:t>
      </w:r>
      <w:r>
        <w:rPr>
          <w:rFonts w:hint="eastAsia" w:ascii="仿宋" w:hAnsi="仿宋" w:eastAsia="仿宋" w:cs="仿宋"/>
          <w:sz w:val="24"/>
          <w:lang w:eastAsia="zh-CN"/>
        </w:rPr>
        <w:t>9</w:t>
      </w:r>
      <w:r>
        <w:rPr>
          <w:rFonts w:hint="eastAsia" w:ascii="仿宋" w:hAnsi="仿宋" w:eastAsia="仿宋" w:cs="仿宋"/>
          <w:sz w:val="24"/>
          <w:lang w:val="zh-CN" w:eastAsia="zh-CN"/>
        </w:rPr>
        <w:t>0天内有效。</w:t>
      </w:r>
    </w:p>
    <w:p w14:paraId="125336F3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9、兹证明上述声明是真实的、正确的，并提供了全部能提供的资料和数据，我们同意遵照贵方要求出示有关证明文件。</w:t>
      </w:r>
    </w:p>
    <w:p w14:paraId="1D6FB277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以上事项如有虚假或隐瞒，我方愿意承担一切后果，并不再寻求任何旨在减轻或免除法律责任的辩解。</w:t>
      </w:r>
    </w:p>
    <w:p w14:paraId="611E3CD2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供应商全称（盖章）：</w:t>
      </w:r>
    </w:p>
    <w:p w14:paraId="601029F7">
      <w:pPr>
        <w:spacing w:line="480" w:lineRule="exact"/>
        <w:ind w:firstLine="482" w:firstLineChars="20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 xml:space="preserve">法定代表人（签字或盖章）：         </w:t>
      </w:r>
    </w:p>
    <w:p w14:paraId="6726D539">
      <w:pPr>
        <w:spacing w:line="480" w:lineRule="exact"/>
        <w:ind w:firstLine="482" w:firstLineChars="201"/>
        <w:rPr>
          <w:rFonts w:hint="eastAsia"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sz w:val="24"/>
          <w:lang w:val="zh-CN"/>
        </w:rPr>
        <w:t>日   期：</w:t>
      </w:r>
    </w:p>
    <w:p w14:paraId="57CEEC82">
      <w:pPr>
        <w:pStyle w:val="4"/>
        <w:spacing w:line="560" w:lineRule="exact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lang w:eastAsia="zh-CN"/>
        </w:rPr>
      </w:pPr>
    </w:p>
    <w:p w14:paraId="38541A48">
      <w:pPr>
        <w:pStyle w:val="4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spacing w:val="8"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8"/>
          <w:sz w:val="40"/>
          <w:szCs w:val="40"/>
          <w:lang w:eastAsia="zh-CN"/>
        </w:rPr>
        <w:t>报价明细表</w:t>
      </w:r>
    </w:p>
    <w:tbl>
      <w:tblPr>
        <w:tblStyle w:val="7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111"/>
        <w:gridCol w:w="1559"/>
        <w:gridCol w:w="1038"/>
      </w:tblGrid>
      <w:tr w14:paraId="7368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D811AF2">
            <w:pPr>
              <w:pStyle w:val="4"/>
              <w:widowControl/>
              <w:spacing w:line="560" w:lineRule="exact"/>
              <w:jc w:val="both"/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项目</w:t>
            </w:r>
            <w:r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111" w:type="dxa"/>
            <w:vAlign w:val="center"/>
          </w:tcPr>
          <w:p w14:paraId="2CF360C6">
            <w:pPr>
              <w:pStyle w:val="4"/>
              <w:widowControl/>
              <w:spacing w:line="560" w:lineRule="exact"/>
              <w:jc w:val="center"/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建设</w:t>
            </w:r>
            <w:r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559" w:type="dxa"/>
            <w:vAlign w:val="center"/>
          </w:tcPr>
          <w:p w14:paraId="0FD461E0">
            <w:pPr>
              <w:pStyle w:val="4"/>
              <w:widowControl/>
              <w:spacing w:line="560" w:lineRule="exact"/>
              <w:jc w:val="center"/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报价</w:t>
            </w:r>
            <w:r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038" w:type="dxa"/>
            <w:vAlign w:val="center"/>
          </w:tcPr>
          <w:p w14:paraId="61BB8EF6">
            <w:pPr>
              <w:pStyle w:val="4"/>
              <w:widowControl/>
              <w:spacing w:line="560" w:lineRule="exact"/>
              <w:jc w:val="center"/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color w:val="auto"/>
                <w:spacing w:val="8"/>
                <w:sz w:val="24"/>
                <w:szCs w:val="24"/>
                <w:lang w:eastAsia="zh-CN"/>
              </w:rPr>
              <w:t>备注</w:t>
            </w:r>
          </w:p>
        </w:tc>
      </w:tr>
      <w:tr w14:paraId="6215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6B3D5E8">
            <w:pPr>
              <w:pStyle w:val="4"/>
              <w:widowControl/>
              <w:spacing w:line="560" w:lineRule="exact"/>
              <w:jc w:val="center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eastAsia="zh-CN"/>
              </w:rPr>
              <w:t>南浔区全民健康信息平台双向转诊系统迭代升级项目</w:t>
            </w:r>
          </w:p>
        </w:tc>
        <w:tc>
          <w:tcPr>
            <w:tcW w:w="4111" w:type="dxa"/>
          </w:tcPr>
          <w:p w14:paraId="4B7BC169">
            <w:pPr>
              <w:pStyle w:val="4"/>
              <w:widowControl w:val="0"/>
              <w:spacing w:line="560" w:lineRule="exact"/>
              <w:jc w:val="both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  <w:t>1</w:t>
            </w: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）转诊系统升级改造，包括：转诊发起参数改造、转诊患者信息推送接口、转诊审核结果接收接口、转诊系统自动履约、新增家床转诊、转诊流程适应性改造、转诊医院科室及医生维护。</w:t>
            </w:r>
          </w:p>
          <w:p w14:paraId="65B7B9E0">
            <w:pPr>
              <w:pStyle w:val="4"/>
              <w:widowControl w:val="0"/>
              <w:spacing w:line="560" w:lineRule="exact"/>
              <w:jc w:val="both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）与省转诊系统对接，按照《浙江省级转诊平台医院客户端嵌入式对接技术方案》要求，对接接入浙江省转诊系统。</w:t>
            </w:r>
          </w:p>
          <w:p w14:paraId="5462B352">
            <w:pPr>
              <w:pStyle w:val="4"/>
              <w:widowControl w:val="0"/>
              <w:spacing w:line="560" w:lineRule="exact"/>
              <w:jc w:val="both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  <w:t>3</w:t>
            </w: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）基层业务系统对接，包括：转诊发起调整、床位信息查询、接收转诊患者信息接口、转诊审核结果接收接口、</w:t>
            </w:r>
            <w:r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  <w:t>HIS</w:t>
            </w: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与调度中心对接、调度中心调整。</w:t>
            </w:r>
          </w:p>
          <w:p w14:paraId="69862EAC">
            <w:pPr>
              <w:pStyle w:val="4"/>
              <w:widowControl w:val="0"/>
              <w:spacing w:line="560" w:lineRule="exact"/>
              <w:jc w:val="both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  <w:t>4</w:t>
            </w: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）数据上传数据高铁，包括：调整入院记录数据集、调整出院记录数据集、新增出院随访数据集、新增家庭病房建床数据集、门诊转诊记录上传、住院转诊记录上传。</w:t>
            </w:r>
          </w:p>
          <w:p w14:paraId="3C21E858">
            <w:pPr>
              <w:pStyle w:val="4"/>
              <w:widowControl/>
              <w:spacing w:line="560" w:lineRule="exact"/>
              <w:jc w:val="both"/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  <w:t>5</w:t>
            </w:r>
            <w:r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  <w:t>）统计分析，包括统计分析适应性修改。</w:t>
            </w:r>
          </w:p>
          <w:p w14:paraId="53F12304">
            <w:pPr>
              <w:pStyle w:val="4"/>
              <w:widowControl/>
              <w:spacing w:line="560" w:lineRule="exact"/>
              <w:jc w:val="both"/>
              <w:rPr>
                <w:rFonts w:hint="eastAsia" w:cs="Times New Roman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FF0000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color w:val="FF0000"/>
                <w:spacing w:val="8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/>
                <w:color w:val="FF0000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/>
                <w:color w:val="FF0000"/>
                <w:spacing w:val="8"/>
                <w:sz w:val="24"/>
                <w:szCs w:val="24"/>
                <w:lang w:val="en-US" w:eastAsia="zh-CN"/>
              </w:rPr>
              <w:t>在建设单位具备信创部署的基础条件后，本项目建</w:t>
            </w:r>
            <w:bookmarkStart w:id="0" w:name="_GoBack"/>
            <w:bookmarkEnd w:id="0"/>
            <w:r>
              <w:rPr>
                <w:rFonts w:hint="eastAsia" w:cs="Times New Roman"/>
                <w:color w:val="FF0000"/>
                <w:spacing w:val="8"/>
                <w:sz w:val="24"/>
                <w:szCs w:val="24"/>
                <w:lang w:val="en-US" w:eastAsia="zh-CN"/>
              </w:rPr>
              <w:t>设内容免费开展信创改造。</w:t>
            </w:r>
          </w:p>
        </w:tc>
        <w:tc>
          <w:tcPr>
            <w:tcW w:w="1559" w:type="dxa"/>
          </w:tcPr>
          <w:p w14:paraId="7BDB413F">
            <w:pPr>
              <w:pStyle w:val="4"/>
              <w:widowControl/>
              <w:spacing w:line="560" w:lineRule="exact"/>
              <w:jc w:val="both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</w:tcPr>
          <w:p w14:paraId="25630074">
            <w:pPr>
              <w:pStyle w:val="4"/>
              <w:widowControl/>
              <w:spacing w:line="560" w:lineRule="exact"/>
              <w:jc w:val="both"/>
              <w:rPr>
                <w:rFonts w:cs="Times New Roman"/>
                <w:color w:val="auto"/>
                <w:spacing w:val="8"/>
                <w:sz w:val="24"/>
                <w:szCs w:val="24"/>
                <w:lang w:eastAsia="zh-CN"/>
              </w:rPr>
            </w:pPr>
          </w:p>
        </w:tc>
      </w:tr>
    </w:tbl>
    <w:p w14:paraId="621E2FB3">
      <w:pPr>
        <w:pStyle w:val="4"/>
        <w:spacing w:line="560" w:lineRule="exact"/>
        <w:ind w:firstLine="592" w:firstLineChars="200"/>
        <w:jc w:val="both"/>
        <w:rPr>
          <w:rFonts w:ascii="Times New Roman" w:hAnsi="Times New Roman" w:eastAsia="黑体" w:cs="Times New Roman"/>
          <w:color w:val="auto"/>
          <w:spacing w:val="8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auto"/>
          <w:spacing w:val="8"/>
          <w:sz w:val="28"/>
          <w:szCs w:val="28"/>
          <w:lang w:eastAsia="zh-CN"/>
        </w:rPr>
        <w:t>评价办法</w:t>
      </w:r>
    </w:p>
    <w:p w14:paraId="3B18DF0A">
      <w:pPr>
        <w:pStyle w:val="4"/>
        <w:spacing w:line="560" w:lineRule="exact"/>
        <w:ind w:firstLine="592" w:firstLineChars="200"/>
        <w:jc w:val="both"/>
        <w:rPr>
          <w:rFonts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  <w:t>1.</w:t>
      </w:r>
      <w:r>
        <w:rPr>
          <w:rFonts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  <w:t>投标人需按上述表格格式填写，不得自行更改；</w:t>
      </w:r>
    </w:p>
    <w:p w14:paraId="44314385">
      <w:pPr>
        <w:pStyle w:val="4"/>
        <w:spacing w:line="560" w:lineRule="exact"/>
        <w:ind w:firstLine="592" w:firstLineChars="200"/>
        <w:jc w:val="both"/>
        <w:rPr>
          <w:rFonts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  <w:t>2.</w:t>
      </w:r>
      <w:r>
        <w:rPr>
          <w:rFonts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  <w:t>有关本项目实施涉及的人员工资、利润、税金等一些费用均计入报价；</w:t>
      </w:r>
    </w:p>
    <w:p w14:paraId="30F82AB2">
      <w:pPr>
        <w:pStyle w:val="4"/>
        <w:spacing w:line="560" w:lineRule="exact"/>
        <w:ind w:firstLine="592" w:firstLineChars="200"/>
        <w:jc w:val="both"/>
        <w:rPr>
          <w:rFonts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  <w:t>3.</w:t>
      </w:r>
      <w:r>
        <w:rPr>
          <w:rFonts w:ascii="Times New Roman" w:hAnsi="Times New Roman" w:eastAsia="仿宋_GB2312" w:cs="Times New Roman"/>
          <w:color w:val="auto"/>
          <w:spacing w:val="8"/>
          <w:sz w:val="28"/>
          <w:szCs w:val="28"/>
          <w:lang w:eastAsia="zh-CN"/>
        </w:rPr>
        <w:t>本次投标最低价为中标公司。</w:t>
      </w:r>
    </w:p>
    <w:p w14:paraId="3B8ABF4A">
      <w:pPr>
        <w:pStyle w:val="4"/>
        <w:spacing w:line="560" w:lineRule="exact"/>
        <w:jc w:val="both"/>
        <w:rPr>
          <w:rFonts w:hint="eastAsia" w:ascii="黑体" w:hAnsi="黑体" w:eastAsia="黑体" w:cs="黑体"/>
          <w:color w:val="auto"/>
          <w:spacing w:val="8"/>
          <w:sz w:val="32"/>
          <w:szCs w:val="32"/>
          <w:lang w:eastAsia="zh-CN"/>
        </w:rPr>
      </w:pPr>
    </w:p>
    <w:p w14:paraId="54D93E71">
      <w:pPr>
        <w:rPr>
          <w:lang w:eastAsia="zh-CN"/>
        </w:rPr>
      </w:pPr>
    </w:p>
    <w:sectPr>
      <w:pgSz w:w="11907" w:h="16839"/>
      <w:pgMar w:top="1440" w:right="1803" w:bottom="1440" w:left="1803" w:header="0" w:footer="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2E4FB5-DFE5-4051-AD64-61C3C2034B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D53B925-653F-422A-9830-AF42DFFFC08B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5EAA25F-62CA-4EC1-882F-B88C2660D9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0C1B2B9-4C57-4223-BDE8-9B2391F41E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GUyYWNhOTRhOTYwODczOWRmZDJlNGJhODQ5NmQifQ=="/>
    <w:docVar w:name="KSO_WPS_MARK_KEY" w:val="ebb8d947-35cc-43e5-bb35-32f92820566c"/>
  </w:docVars>
  <w:rsids>
    <w:rsidRoot w:val="00495F83"/>
    <w:rsid w:val="004477F2"/>
    <w:rsid w:val="00495F83"/>
    <w:rsid w:val="006E66C0"/>
    <w:rsid w:val="007E0D35"/>
    <w:rsid w:val="009179AB"/>
    <w:rsid w:val="00D35DD0"/>
    <w:rsid w:val="0D98582D"/>
    <w:rsid w:val="619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Plain Text"/>
    <w:basedOn w:val="1"/>
    <w:next w:val="1"/>
    <w:qFormat/>
    <w:uiPriority w:val="0"/>
    <w:rPr>
      <w:rFonts w:ascii="宋体" w:hAnsi="Courier New" w:cs="Courier New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955</Words>
  <Characters>961</Characters>
  <Lines>7</Lines>
  <Paragraphs>2</Paragraphs>
  <TotalTime>0</TotalTime>
  <ScaleCrop>false</ScaleCrop>
  <LinksUpToDate>false</LinksUpToDate>
  <CharactersWithSpaces>1060</CharactersWithSpaces>
  <Application>WPS Office_12.1.0.21541_F1E327BC-269C-435d-A152-05C5408002CA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2025-04-16T02:03:00Z</dcterms:created>
  <dc:creator>Administrator.User-2023DAGQIB</dc:creator>
  <lastModifiedBy>上古的神话</lastModifiedBy>
  <dcterms:modified xsi:type="dcterms:W3CDTF">2025-06-18T12:52:38Z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703ED3337D0541368FA753A9B9C2D0AA</vt:lpwstr>
  </property>
  <property fmtid="{D5CDD505-2E9C-101B-9397-08002B2CF9AE}" pid="4" name="KSOTemplateDocerSaveRecord">
    <vt:lpwstr>eyJoZGlkIjoiMTA5MDFmZWUwMDNlMjEwNTIyNjA3ODNiYTY1NGIwYTkiLCJ1c2VySWQiOiIzMDc5NDAyNDAifQ==</vt:lpwstr>
  </property>
</Properties>
</file>