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1C0B9">
      <w:pPr>
        <w:adjustRightInd w:val="0"/>
        <w:snapToGrid w:val="0"/>
        <w:spacing w:line="440" w:lineRule="exact"/>
        <w:jc w:val="center"/>
        <w:rPr>
          <w:rFonts w:hint="eastAsia" w:ascii="方正小标宋简体" w:hAnsi="方正小标宋简体" w:eastAsia="方正小标宋简体" w:cs="方正小标宋简体"/>
          <w:b w:val="0"/>
          <w:bCs w:val="0"/>
          <w:sz w:val="32"/>
          <w:szCs w:val="32"/>
        </w:rPr>
      </w:pPr>
      <w:bookmarkStart w:id="0" w:name="_GoBack"/>
      <w:r>
        <w:rPr>
          <w:rFonts w:hint="eastAsia" w:ascii="方正小标宋简体" w:hAnsi="方正小标宋简体" w:eastAsia="方正小标宋简体" w:cs="方正小标宋简体"/>
          <w:b w:val="0"/>
          <w:bCs w:val="0"/>
          <w:sz w:val="32"/>
          <w:szCs w:val="32"/>
        </w:rPr>
        <w:t>2025年德清县商用食品加工设备产品质量监督抽查实施细则</w:t>
      </w:r>
    </w:p>
    <w:bookmarkEnd w:id="0"/>
    <w:p w14:paraId="22B4EBBF">
      <w:pPr>
        <w:adjustRightInd w:val="0"/>
        <w:snapToGrid w:val="0"/>
        <w:spacing w:line="440" w:lineRule="exact"/>
        <w:rPr>
          <w:rFonts w:ascii="宋体" w:hAnsi="宋体" w:cs="宋体"/>
          <w:sz w:val="24"/>
          <w:szCs w:val="24"/>
        </w:rPr>
      </w:pPr>
    </w:p>
    <w:p w14:paraId="4BCA4E14">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13068A3F">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45CE61AF">
      <w:pPr>
        <w:adjustRightInd w:val="0"/>
        <w:snapToGrid w:val="0"/>
        <w:spacing w:line="440" w:lineRule="exact"/>
        <w:ind w:firstLine="420" w:firstLineChars="200"/>
        <w:rPr>
          <w:rFonts w:ascii="Times New Roman" w:hAnsi="Times New Roman" w:eastAsia="黑体"/>
          <w:color w:val="000000"/>
        </w:rPr>
      </w:pPr>
      <w:r>
        <w:rPr>
          <w:rFonts w:ascii="Times New Roman" w:hAnsi="Times New Roman"/>
        </w:rPr>
        <w:t>随机数一般可使用随机数表等方法产生。</w:t>
      </w:r>
    </w:p>
    <w:p w14:paraId="738B107A">
      <w:pPr>
        <w:adjustRightInd w:val="0"/>
        <w:snapToGrid w:val="0"/>
        <w:spacing w:line="440" w:lineRule="exact"/>
        <w:ind w:firstLine="420" w:firstLineChars="200"/>
        <w:rPr>
          <w:rFonts w:ascii="Times New Roman" w:hAnsi="Times New Roman"/>
        </w:rPr>
      </w:pPr>
      <w:r>
        <w:rPr>
          <w:rFonts w:hint="eastAsia" w:ascii="Times New Roman" w:hAnsi="Times New Roman"/>
        </w:rPr>
        <w:t>抽取同一生产者、同一标准生产的同一商标、同一规格型号的产品2台，其中1台为检验样品，另1台为备用样品。</w:t>
      </w:r>
    </w:p>
    <w:p w14:paraId="3AD1895C">
      <w:pPr>
        <w:adjustRightInd w:val="0"/>
        <w:snapToGrid w:val="0"/>
        <w:spacing w:line="440" w:lineRule="exact"/>
        <w:rPr>
          <w:rFonts w:ascii="Times New Roman" w:hAnsi="Times New Roman" w:cs="Times New Roman"/>
        </w:rPr>
      </w:pPr>
    </w:p>
    <w:p w14:paraId="2E98A52C">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66BDCDCB">
      <w:pPr>
        <w:jc w:val="center"/>
      </w:pPr>
      <w:r>
        <w:rPr>
          <w:rFonts w:hint="eastAsia"/>
        </w:rPr>
        <w:t>表1</w:t>
      </w:r>
      <w:r>
        <w:t>检验项目表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gridCol w:w="2541"/>
      </w:tblGrid>
      <w:tr w14:paraId="4834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0" w:type="dxa"/>
            <w:noWrap/>
            <w:vAlign w:val="center"/>
          </w:tcPr>
          <w:p w14:paraId="1D2262C7">
            <w:pPr>
              <w:jc w:val="center"/>
            </w:pPr>
            <w:r>
              <w:t>序号</w:t>
            </w:r>
          </w:p>
        </w:tc>
        <w:tc>
          <w:tcPr>
            <w:tcW w:w="2896" w:type="dxa"/>
            <w:noWrap/>
            <w:vAlign w:val="center"/>
          </w:tcPr>
          <w:p w14:paraId="1668709F">
            <w:pPr>
              <w:jc w:val="center"/>
            </w:pPr>
            <w:r>
              <w:t>检验项目</w:t>
            </w:r>
          </w:p>
        </w:tc>
        <w:tc>
          <w:tcPr>
            <w:tcW w:w="2541" w:type="dxa"/>
            <w:noWrap/>
            <w:vAlign w:val="center"/>
          </w:tcPr>
          <w:p w14:paraId="08B57E98">
            <w:pPr>
              <w:jc w:val="center"/>
            </w:pPr>
            <w:r>
              <w:rPr>
                <w:rFonts w:hint="eastAsia"/>
              </w:rPr>
              <w:t>检验依据</w:t>
            </w:r>
          </w:p>
        </w:tc>
        <w:tc>
          <w:tcPr>
            <w:tcW w:w="2541" w:type="dxa"/>
            <w:noWrap/>
            <w:vAlign w:val="center"/>
          </w:tcPr>
          <w:p w14:paraId="6C2C6ADF">
            <w:pPr>
              <w:jc w:val="center"/>
            </w:pPr>
            <w:r>
              <w:t>检验方法</w:t>
            </w:r>
          </w:p>
        </w:tc>
      </w:tr>
      <w:tr w14:paraId="3203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0C57CB87">
            <w:pPr>
              <w:jc w:val="center"/>
              <w:rPr>
                <w:rFonts w:eastAsia="仿宋_GB2312"/>
              </w:rPr>
            </w:pPr>
            <w:r>
              <w:rPr>
                <w:rFonts w:eastAsia="仿宋_GB2312"/>
              </w:rPr>
              <w:t>1</w:t>
            </w:r>
          </w:p>
        </w:tc>
        <w:tc>
          <w:tcPr>
            <w:tcW w:w="2896" w:type="dxa"/>
            <w:noWrap/>
            <w:vAlign w:val="center"/>
          </w:tcPr>
          <w:p w14:paraId="6B17153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对触及带电部件的防护</w:t>
            </w:r>
          </w:p>
        </w:tc>
        <w:tc>
          <w:tcPr>
            <w:tcW w:w="2541" w:type="dxa"/>
            <w:noWrap/>
            <w:vAlign w:val="center"/>
          </w:tcPr>
          <w:p w14:paraId="1F0112B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220CD77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C156C3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DF5D37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85562C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61F26EE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E1EDC8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39CB16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415E3B7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2EE9FF8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上述标准第8章</w:t>
            </w:r>
          </w:p>
        </w:tc>
        <w:tc>
          <w:tcPr>
            <w:tcW w:w="2541" w:type="dxa"/>
            <w:noWrap/>
            <w:vAlign w:val="center"/>
          </w:tcPr>
          <w:p w14:paraId="5A229F8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33EFFFC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A590BE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26B579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A534D8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1D58711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4423191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B5283D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3AF3EFF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1FAB0DE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上述标准第8章</w:t>
            </w:r>
          </w:p>
        </w:tc>
      </w:tr>
      <w:tr w14:paraId="2A6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53A38285">
            <w:pPr>
              <w:jc w:val="center"/>
              <w:rPr>
                <w:rFonts w:eastAsia="仿宋_GB2312"/>
              </w:rPr>
            </w:pPr>
            <w:r>
              <w:rPr>
                <w:rFonts w:hint="eastAsia" w:eastAsia="仿宋_GB2312"/>
              </w:rPr>
              <w:t>2</w:t>
            </w:r>
          </w:p>
        </w:tc>
        <w:tc>
          <w:tcPr>
            <w:tcW w:w="2896" w:type="dxa"/>
            <w:noWrap/>
            <w:vAlign w:val="center"/>
          </w:tcPr>
          <w:p w14:paraId="3436BFD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输入功率和电流</w:t>
            </w:r>
          </w:p>
        </w:tc>
        <w:tc>
          <w:tcPr>
            <w:tcW w:w="2541" w:type="dxa"/>
            <w:noWrap/>
            <w:vAlign w:val="center"/>
          </w:tcPr>
          <w:p w14:paraId="17E4EA7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22E4585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73E963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63EBDF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9965C0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7268131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B32660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823BE8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1F794EB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72F896B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上述标准第1</w:t>
            </w:r>
            <w:r>
              <w:rPr>
                <w:rFonts w:ascii="Times New Roman" w:hAnsi="Times New Roman" w:eastAsia="宋体" w:cs="仿宋"/>
                <w:sz w:val="21"/>
                <w:szCs w:val="21"/>
              </w:rPr>
              <w:t>0</w:t>
            </w:r>
            <w:r>
              <w:rPr>
                <w:rFonts w:hint="eastAsia" w:ascii="Times New Roman" w:hAnsi="Times New Roman" w:eastAsia="宋体" w:cs="仿宋"/>
                <w:sz w:val="21"/>
                <w:szCs w:val="21"/>
              </w:rPr>
              <w:t>章</w:t>
            </w:r>
          </w:p>
        </w:tc>
        <w:tc>
          <w:tcPr>
            <w:tcW w:w="2541" w:type="dxa"/>
            <w:noWrap/>
            <w:vAlign w:val="center"/>
          </w:tcPr>
          <w:p w14:paraId="019CD66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08C748A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A47C81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6B915D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EBFDD4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23F382C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82158D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A0A66E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59E2007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473B2F1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上述标准第1</w:t>
            </w:r>
            <w:r>
              <w:rPr>
                <w:rFonts w:ascii="Times New Roman" w:hAnsi="Times New Roman" w:eastAsia="宋体" w:cs="仿宋"/>
                <w:sz w:val="21"/>
                <w:szCs w:val="21"/>
              </w:rPr>
              <w:t>0</w:t>
            </w:r>
            <w:r>
              <w:rPr>
                <w:rFonts w:hint="eastAsia" w:ascii="Times New Roman" w:hAnsi="Times New Roman" w:eastAsia="宋体" w:cs="仿宋"/>
                <w:sz w:val="21"/>
                <w:szCs w:val="21"/>
              </w:rPr>
              <w:t>章</w:t>
            </w:r>
          </w:p>
        </w:tc>
      </w:tr>
      <w:tr w14:paraId="3D7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0C3BB1B1">
            <w:pPr>
              <w:jc w:val="center"/>
              <w:rPr>
                <w:rFonts w:eastAsia="仿宋_GB2312"/>
              </w:rPr>
            </w:pPr>
            <w:r>
              <w:rPr>
                <w:rFonts w:hint="eastAsia" w:eastAsia="仿宋_GB2312"/>
              </w:rPr>
              <w:t>3</w:t>
            </w:r>
          </w:p>
        </w:tc>
        <w:tc>
          <w:tcPr>
            <w:tcW w:w="2896" w:type="dxa"/>
            <w:noWrap/>
            <w:vAlign w:val="center"/>
          </w:tcPr>
          <w:p w14:paraId="7E02A29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工作温度下的泄漏电流和电气强度</w:t>
            </w:r>
          </w:p>
        </w:tc>
        <w:tc>
          <w:tcPr>
            <w:tcW w:w="2541" w:type="dxa"/>
            <w:noWrap/>
            <w:vAlign w:val="center"/>
          </w:tcPr>
          <w:p w14:paraId="1557825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2EBD17B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389F37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5478E8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054978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767CEB8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55F78E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4CEA31E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2DBFF46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7A95F7D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上述标准第13章</w:t>
            </w:r>
          </w:p>
        </w:tc>
        <w:tc>
          <w:tcPr>
            <w:tcW w:w="2541" w:type="dxa"/>
            <w:noWrap/>
            <w:vAlign w:val="center"/>
          </w:tcPr>
          <w:p w14:paraId="38B7140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724A888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D135B8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8FB42C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99B634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533F6DC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AF1AFD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1DE5CF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3AEBC4B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4A1D6B0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上述标准第13章</w:t>
            </w:r>
          </w:p>
        </w:tc>
      </w:tr>
      <w:tr w14:paraId="747A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7254400E">
            <w:pPr>
              <w:jc w:val="center"/>
              <w:rPr>
                <w:rFonts w:eastAsia="仿宋_GB2312"/>
              </w:rPr>
            </w:pPr>
            <w:r>
              <w:rPr>
                <w:rFonts w:hint="eastAsia" w:eastAsia="仿宋_GB2312"/>
              </w:rPr>
              <w:t>4</w:t>
            </w:r>
          </w:p>
        </w:tc>
        <w:tc>
          <w:tcPr>
            <w:tcW w:w="2896" w:type="dxa"/>
            <w:noWrap/>
            <w:vAlign w:val="center"/>
          </w:tcPr>
          <w:p w14:paraId="369B3F5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泄漏电流和电气强度</w:t>
            </w:r>
          </w:p>
        </w:tc>
        <w:tc>
          <w:tcPr>
            <w:tcW w:w="2541" w:type="dxa"/>
            <w:noWrap/>
            <w:vAlign w:val="center"/>
          </w:tcPr>
          <w:p w14:paraId="68BAF08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7C1943B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7D5853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7A1A8B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355368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5E7F049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E30F1A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AB5F9E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067F8E0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21497B7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上述标准第16章</w:t>
            </w:r>
          </w:p>
        </w:tc>
        <w:tc>
          <w:tcPr>
            <w:tcW w:w="2541" w:type="dxa"/>
            <w:noWrap/>
            <w:vAlign w:val="center"/>
          </w:tcPr>
          <w:p w14:paraId="0B096D8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1917266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EB6672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BA16D3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53E4C6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7F42B61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DBAA89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6AA17C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420F74E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540A8DC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上述标准第16章</w:t>
            </w:r>
          </w:p>
        </w:tc>
      </w:tr>
      <w:tr w14:paraId="194D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39684FC1">
            <w:pPr>
              <w:jc w:val="center"/>
              <w:rPr>
                <w:rFonts w:eastAsia="仿宋_GB2312"/>
              </w:rPr>
            </w:pPr>
            <w:r>
              <w:rPr>
                <w:rFonts w:hint="eastAsia" w:eastAsia="仿宋_GB2312"/>
              </w:rPr>
              <w:t>5</w:t>
            </w:r>
          </w:p>
        </w:tc>
        <w:tc>
          <w:tcPr>
            <w:tcW w:w="2896" w:type="dxa"/>
            <w:noWrap/>
            <w:vAlign w:val="center"/>
          </w:tcPr>
          <w:p w14:paraId="745A166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稳定性和机械危险</w:t>
            </w:r>
          </w:p>
        </w:tc>
        <w:tc>
          <w:tcPr>
            <w:tcW w:w="2541" w:type="dxa"/>
            <w:noWrap/>
            <w:vAlign w:val="center"/>
          </w:tcPr>
          <w:p w14:paraId="396638B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34949C4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F99B74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C66278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E0D8C5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073D611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B1D38B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497FC5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405A310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58D21C7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0</w:t>
            </w:r>
            <w:r>
              <w:rPr>
                <w:rFonts w:hint="eastAsia" w:ascii="Times New Roman" w:hAnsi="Times New Roman" w:eastAsia="宋体" w:cs="仿宋"/>
                <w:sz w:val="21"/>
                <w:szCs w:val="21"/>
              </w:rPr>
              <w:t>章</w:t>
            </w:r>
          </w:p>
        </w:tc>
        <w:tc>
          <w:tcPr>
            <w:tcW w:w="2541" w:type="dxa"/>
            <w:noWrap/>
            <w:vAlign w:val="center"/>
          </w:tcPr>
          <w:p w14:paraId="5DEC6C8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15E273D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0A8E70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43ADD87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C10BD8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4C69F9A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5B7D98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168965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43EA86A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5C45155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0</w:t>
            </w:r>
            <w:r>
              <w:rPr>
                <w:rFonts w:hint="eastAsia" w:ascii="Times New Roman" w:hAnsi="Times New Roman" w:eastAsia="宋体" w:cs="仿宋"/>
                <w:sz w:val="21"/>
                <w:szCs w:val="21"/>
              </w:rPr>
              <w:t>章</w:t>
            </w:r>
          </w:p>
        </w:tc>
      </w:tr>
      <w:tr w14:paraId="45BD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0CA5F1E8">
            <w:pPr>
              <w:jc w:val="center"/>
              <w:rPr>
                <w:rFonts w:eastAsia="仿宋_GB2312"/>
              </w:rPr>
            </w:pPr>
            <w:r>
              <w:rPr>
                <w:rFonts w:hint="eastAsia" w:eastAsia="仿宋_GB2312"/>
              </w:rPr>
              <w:t>6</w:t>
            </w:r>
          </w:p>
        </w:tc>
        <w:tc>
          <w:tcPr>
            <w:tcW w:w="2896" w:type="dxa"/>
            <w:noWrap/>
            <w:vAlign w:val="center"/>
          </w:tcPr>
          <w:p w14:paraId="6BBDE18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机械强度</w:t>
            </w:r>
          </w:p>
        </w:tc>
        <w:tc>
          <w:tcPr>
            <w:tcW w:w="2541" w:type="dxa"/>
            <w:noWrap/>
            <w:vAlign w:val="center"/>
          </w:tcPr>
          <w:p w14:paraId="77B6088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747CDFF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27B7A5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A31719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E7BCB6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6D1B37E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8F862C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892516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551256E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2A71A75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1</w:t>
            </w:r>
            <w:r>
              <w:rPr>
                <w:rFonts w:hint="eastAsia" w:ascii="Times New Roman" w:hAnsi="Times New Roman" w:eastAsia="宋体" w:cs="仿宋"/>
                <w:sz w:val="21"/>
                <w:szCs w:val="21"/>
              </w:rPr>
              <w:t>章</w:t>
            </w:r>
          </w:p>
        </w:tc>
        <w:tc>
          <w:tcPr>
            <w:tcW w:w="2541" w:type="dxa"/>
            <w:noWrap/>
            <w:vAlign w:val="center"/>
          </w:tcPr>
          <w:p w14:paraId="67C8387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183D6A2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AD704E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C61E6B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B0548A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2298D57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ACB3DC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CD44EB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18F048C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03EBC3E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1</w:t>
            </w:r>
            <w:r>
              <w:rPr>
                <w:rFonts w:hint="eastAsia" w:ascii="Times New Roman" w:hAnsi="Times New Roman" w:eastAsia="宋体" w:cs="仿宋"/>
                <w:sz w:val="21"/>
                <w:szCs w:val="21"/>
              </w:rPr>
              <w:t>章</w:t>
            </w:r>
          </w:p>
        </w:tc>
      </w:tr>
      <w:tr w14:paraId="1930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563AE79D">
            <w:pPr>
              <w:jc w:val="center"/>
              <w:rPr>
                <w:rFonts w:eastAsia="仿宋_GB2312"/>
              </w:rPr>
            </w:pPr>
            <w:r>
              <w:rPr>
                <w:rFonts w:hint="eastAsia" w:eastAsia="仿宋_GB2312"/>
              </w:rPr>
              <w:t>7</w:t>
            </w:r>
          </w:p>
        </w:tc>
        <w:tc>
          <w:tcPr>
            <w:tcW w:w="2896" w:type="dxa"/>
            <w:noWrap/>
            <w:vAlign w:val="center"/>
          </w:tcPr>
          <w:p w14:paraId="7143BCB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结构（不包括第 22.46 条的试验）</w:t>
            </w:r>
          </w:p>
        </w:tc>
        <w:tc>
          <w:tcPr>
            <w:tcW w:w="2541" w:type="dxa"/>
            <w:noWrap/>
            <w:vAlign w:val="center"/>
          </w:tcPr>
          <w:p w14:paraId="4284EE5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21E800D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B3251B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2FBC9B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931C32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14FFDC2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0B4852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56A1FA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34A5EBF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030D8E6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上述标准第22章</w:t>
            </w:r>
          </w:p>
        </w:tc>
        <w:tc>
          <w:tcPr>
            <w:tcW w:w="2541" w:type="dxa"/>
            <w:noWrap/>
            <w:vAlign w:val="center"/>
          </w:tcPr>
          <w:p w14:paraId="1951618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5B1ACE3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08A869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E3CE9E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C44EA3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43BC1B8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465394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B03397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61BCF08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45071FE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上述标准第22章</w:t>
            </w:r>
          </w:p>
        </w:tc>
      </w:tr>
      <w:tr w14:paraId="10FE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459A3C55">
            <w:pPr>
              <w:jc w:val="center"/>
              <w:rPr>
                <w:rFonts w:eastAsia="仿宋_GB2312"/>
              </w:rPr>
            </w:pPr>
            <w:r>
              <w:rPr>
                <w:rFonts w:hint="eastAsia" w:eastAsia="仿宋_GB2312"/>
              </w:rPr>
              <w:t>8</w:t>
            </w:r>
          </w:p>
        </w:tc>
        <w:tc>
          <w:tcPr>
            <w:tcW w:w="2896" w:type="dxa"/>
            <w:noWrap/>
            <w:vAlign w:val="center"/>
          </w:tcPr>
          <w:p w14:paraId="60C00E8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内部布线</w:t>
            </w:r>
          </w:p>
        </w:tc>
        <w:tc>
          <w:tcPr>
            <w:tcW w:w="2541" w:type="dxa"/>
            <w:noWrap/>
            <w:vAlign w:val="center"/>
          </w:tcPr>
          <w:p w14:paraId="7CBBC85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133CB7D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89717C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4F78B0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296B9E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0E82E24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196CEF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4A97DC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1B9CEE1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1714766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3</w:t>
            </w:r>
            <w:r>
              <w:rPr>
                <w:rFonts w:hint="eastAsia" w:ascii="Times New Roman" w:hAnsi="Times New Roman" w:eastAsia="宋体" w:cs="仿宋"/>
                <w:sz w:val="21"/>
                <w:szCs w:val="21"/>
              </w:rPr>
              <w:t>章</w:t>
            </w:r>
          </w:p>
        </w:tc>
        <w:tc>
          <w:tcPr>
            <w:tcW w:w="2541" w:type="dxa"/>
            <w:noWrap/>
            <w:vAlign w:val="center"/>
          </w:tcPr>
          <w:p w14:paraId="71C0133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49283D9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C23274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542650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ACFEF3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2845866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6479C1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BB7597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18684F2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4250038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3</w:t>
            </w:r>
            <w:r>
              <w:rPr>
                <w:rFonts w:hint="eastAsia" w:ascii="Times New Roman" w:hAnsi="Times New Roman" w:eastAsia="宋体" w:cs="仿宋"/>
                <w:sz w:val="21"/>
                <w:szCs w:val="21"/>
              </w:rPr>
              <w:t>章</w:t>
            </w:r>
          </w:p>
        </w:tc>
      </w:tr>
      <w:tr w14:paraId="7DB1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5A6166E6">
            <w:pPr>
              <w:jc w:val="center"/>
              <w:rPr>
                <w:rFonts w:eastAsia="仿宋_GB2312"/>
              </w:rPr>
            </w:pPr>
            <w:r>
              <w:rPr>
                <w:rFonts w:hint="eastAsia" w:eastAsia="仿宋_GB2312"/>
              </w:rPr>
              <w:t>9</w:t>
            </w:r>
          </w:p>
        </w:tc>
        <w:tc>
          <w:tcPr>
            <w:tcW w:w="2896" w:type="dxa"/>
            <w:noWrap/>
            <w:vAlign w:val="center"/>
          </w:tcPr>
          <w:p w14:paraId="5067C36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电源连接和外部软线</w:t>
            </w:r>
          </w:p>
        </w:tc>
        <w:tc>
          <w:tcPr>
            <w:tcW w:w="2541" w:type="dxa"/>
            <w:noWrap/>
            <w:vAlign w:val="center"/>
          </w:tcPr>
          <w:p w14:paraId="176C0E2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3205337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454CA7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85A3F4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49C142C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6058135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B987D44">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F74D5E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08A6B8D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789CDCD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5</w:t>
            </w:r>
            <w:r>
              <w:rPr>
                <w:rFonts w:hint="eastAsia" w:ascii="Times New Roman" w:hAnsi="Times New Roman" w:eastAsia="宋体" w:cs="仿宋"/>
                <w:sz w:val="21"/>
                <w:szCs w:val="21"/>
              </w:rPr>
              <w:t>章</w:t>
            </w:r>
          </w:p>
        </w:tc>
        <w:tc>
          <w:tcPr>
            <w:tcW w:w="2541" w:type="dxa"/>
            <w:noWrap/>
            <w:vAlign w:val="center"/>
          </w:tcPr>
          <w:p w14:paraId="0AD4C7A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1F8AACE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AFAE0C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64ED41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18AA60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08936B7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5897DA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44521C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0BFB6A8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6FEDA7F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w:t>
            </w:r>
            <w:r>
              <w:rPr>
                <w:rFonts w:ascii="Times New Roman" w:hAnsi="Times New Roman" w:eastAsia="宋体" w:cs="仿宋"/>
                <w:sz w:val="21"/>
                <w:szCs w:val="21"/>
              </w:rPr>
              <w:t>5</w:t>
            </w:r>
            <w:r>
              <w:rPr>
                <w:rFonts w:hint="eastAsia" w:ascii="Times New Roman" w:hAnsi="Times New Roman" w:eastAsia="宋体" w:cs="仿宋"/>
                <w:sz w:val="21"/>
                <w:szCs w:val="21"/>
              </w:rPr>
              <w:t>章</w:t>
            </w:r>
          </w:p>
        </w:tc>
      </w:tr>
      <w:tr w14:paraId="7AB5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6B739F19">
            <w:pPr>
              <w:jc w:val="center"/>
              <w:rPr>
                <w:rFonts w:eastAsia="仿宋_GB2312"/>
              </w:rPr>
            </w:pPr>
            <w:r>
              <w:rPr>
                <w:rFonts w:hint="eastAsia" w:eastAsia="仿宋_GB2312"/>
              </w:rPr>
              <w:t>10</w:t>
            </w:r>
          </w:p>
        </w:tc>
        <w:tc>
          <w:tcPr>
            <w:tcW w:w="2896" w:type="dxa"/>
            <w:noWrap/>
            <w:vAlign w:val="center"/>
          </w:tcPr>
          <w:p w14:paraId="5BEDA2F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外部导线用接线端子</w:t>
            </w:r>
          </w:p>
        </w:tc>
        <w:tc>
          <w:tcPr>
            <w:tcW w:w="2541" w:type="dxa"/>
            <w:noWrap/>
            <w:vAlign w:val="center"/>
          </w:tcPr>
          <w:p w14:paraId="64135DD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07FA4FE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ACEDC2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3CA834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CF69D9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154A2AD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77F909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70E53E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7A866A3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0496AB5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上述标准第26章</w:t>
            </w:r>
          </w:p>
        </w:tc>
        <w:tc>
          <w:tcPr>
            <w:tcW w:w="2541" w:type="dxa"/>
            <w:noWrap/>
            <w:vAlign w:val="center"/>
          </w:tcPr>
          <w:p w14:paraId="05BCFDBC">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40A9EED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B1D8F1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65A22B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3972C7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660CEAA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6E683E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0A66847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1CDBE0A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0C6D9A7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上述标准第26章</w:t>
            </w:r>
          </w:p>
        </w:tc>
      </w:tr>
      <w:tr w14:paraId="0AB3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63D92EED">
            <w:pPr>
              <w:jc w:val="center"/>
              <w:rPr>
                <w:rFonts w:eastAsia="仿宋_GB2312"/>
              </w:rPr>
            </w:pPr>
            <w:r>
              <w:rPr>
                <w:rFonts w:hint="eastAsia" w:eastAsia="仿宋_GB2312"/>
              </w:rPr>
              <w:t>11</w:t>
            </w:r>
          </w:p>
        </w:tc>
        <w:tc>
          <w:tcPr>
            <w:tcW w:w="2896" w:type="dxa"/>
            <w:noWrap/>
            <w:vAlign w:val="center"/>
          </w:tcPr>
          <w:p w14:paraId="05FD57B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接地措施</w:t>
            </w:r>
          </w:p>
        </w:tc>
        <w:tc>
          <w:tcPr>
            <w:tcW w:w="2541" w:type="dxa"/>
            <w:noWrap/>
            <w:vAlign w:val="center"/>
          </w:tcPr>
          <w:p w14:paraId="59EEB5D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768E002A">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2215E0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1FE62E3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AA78B0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007725A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1DAB69E">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44A7AFB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6EFAE30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556CD77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上述标准第27章</w:t>
            </w:r>
          </w:p>
        </w:tc>
        <w:tc>
          <w:tcPr>
            <w:tcW w:w="2541" w:type="dxa"/>
            <w:noWrap/>
            <w:vAlign w:val="center"/>
          </w:tcPr>
          <w:p w14:paraId="494492D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5BF9D3E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4963A79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EB6E87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AE39AE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646722B6">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7D2C78F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B774F79">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0742BF0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1C398F5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上述标准第27章</w:t>
            </w:r>
          </w:p>
        </w:tc>
      </w:tr>
      <w:tr w14:paraId="2D5C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6D0EC02C">
            <w:pPr>
              <w:jc w:val="center"/>
              <w:rPr>
                <w:rFonts w:eastAsia="仿宋_GB2312"/>
              </w:rPr>
            </w:pPr>
            <w:r>
              <w:rPr>
                <w:rFonts w:hint="eastAsia" w:eastAsia="仿宋_GB2312"/>
              </w:rPr>
              <w:t>12</w:t>
            </w:r>
          </w:p>
        </w:tc>
        <w:tc>
          <w:tcPr>
            <w:tcW w:w="2896" w:type="dxa"/>
            <w:noWrap/>
            <w:vAlign w:val="center"/>
          </w:tcPr>
          <w:p w14:paraId="7CA5783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螺钉和连接</w:t>
            </w:r>
          </w:p>
        </w:tc>
        <w:tc>
          <w:tcPr>
            <w:tcW w:w="2541" w:type="dxa"/>
            <w:noWrap/>
            <w:vAlign w:val="center"/>
          </w:tcPr>
          <w:p w14:paraId="55226B4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74BC306D">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86D362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465B09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C3E153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3E650BB1">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88D688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0514A7F">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7B93DCA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3850B6D2">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上述标准第28章</w:t>
            </w:r>
          </w:p>
        </w:tc>
        <w:tc>
          <w:tcPr>
            <w:tcW w:w="2541" w:type="dxa"/>
            <w:noWrap/>
            <w:vAlign w:val="center"/>
          </w:tcPr>
          <w:p w14:paraId="67977FE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w:t>
            </w:r>
            <w:r>
              <w:rPr>
                <w:rFonts w:hint="eastAsia" w:ascii="Times New Roman" w:hAnsi="Times New Roman" w:eastAsia="宋体" w:cs="仿宋"/>
                <w:sz w:val="21"/>
                <w:szCs w:val="21"/>
              </w:rPr>
              <w:t>1</w:t>
            </w:r>
            <w:r>
              <w:rPr>
                <w:rFonts w:ascii="Times New Roman" w:hAnsi="Times New Roman" w:eastAsia="宋体" w:cs="仿宋"/>
                <w:sz w:val="21"/>
                <w:szCs w:val="21"/>
              </w:rPr>
              <w:t>-2005</w:t>
            </w:r>
            <w:r>
              <w:rPr>
                <w:rFonts w:hint="eastAsia" w:ascii="Times New Roman" w:hAnsi="Times New Roman" w:eastAsia="宋体" w:cs="仿宋"/>
                <w:sz w:val="21"/>
                <w:szCs w:val="21"/>
              </w:rPr>
              <w:t>、</w:t>
            </w:r>
          </w:p>
          <w:p w14:paraId="3582746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3</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54F060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4</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28D659E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5</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3D8EE70B">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6</w:t>
            </w:r>
            <w:r>
              <w:rPr>
                <w:rFonts w:ascii="Times New Roman" w:hAnsi="Times New Roman" w:eastAsia="宋体" w:cs="仿宋"/>
                <w:sz w:val="21"/>
                <w:szCs w:val="21"/>
              </w:rPr>
              <w:t>-2014</w:t>
            </w:r>
            <w:r>
              <w:rPr>
                <w:rFonts w:hint="eastAsia" w:ascii="Times New Roman" w:hAnsi="Times New Roman" w:eastAsia="宋体" w:cs="仿宋"/>
                <w:sz w:val="21"/>
                <w:szCs w:val="21"/>
              </w:rPr>
              <w:t>、</w:t>
            </w:r>
          </w:p>
          <w:p w14:paraId="4FE62973">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7</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62F49BD5">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706.3</w:t>
            </w:r>
            <w:r>
              <w:rPr>
                <w:rFonts w:hint="eastAsia" w:ascii="Times New Roman" w:hAnsi="Times New Roman" w:eastAsia="宋体" w:cs="仿宋"/>
                <w:sz w:val="21"/>
                <w:szCs w:val="21"/>
              </w:rPr>
              <w:t>9</w:t>
            </w:r>
            <w:r>
              <w:rPr>
                <w:rFonts w:ascii="Times New Roman" w:hAnsi="Times New Roman" w:eastAsia="宋体" w:cs="仿宋"/>
                <w:sz w:val="21"/>
                <w:szCs w:val="21"/>
              </w:rPr>
              <w:t>-2008</w:t>
            </w:r>
            <w:r>
              <w:rPr>
                <w:rFonts w:hint="eastAsia" w:ascii="Times New Roman" w:hAnsi="Times New Roman" w:eastAsia="宋体" w:cs="仿宋"/>
                <w:sz w:val="21"/>
                <w:szCs w:val="21"/>
              </w:rPr>
              <w:t>、</w:t>
            </w:r>
          </w:p>
          <w:p w14:paraId="592092D7">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706.40-2008</w:t>
            </w:r>
            <w:r>
              <w:rPr>
                <w:rFonts w:hint="eastAsia" w:ascii="Times New Roman" w:hAnsi="Times New Roman" w:eastAsia="宋体" w:cs="仿宋"/>
                <w:sz w:val="21"/>
                <w:szCs w:val="21"/>
              </w:rPr>
              <w:t>、</w:t>
            </w:r>
          </w:p>
          <w:p w14:paraId="69F8C430">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ascii="Times New Roman" w:hAnsi="Times New Roman" w:eastAsia="宋体" w:cs="仿宋"/>
                <w:sz w:val="21"/>
                <w:szCs w:val="21"/>
              </w:rPr>
              <w:t xml:space="preserve">GB </w:t>
            </w:r>
            <w:r>
              <w:rPr>
                <w:rFonts w:hint="eastAsia" w:ascii="Times New Roman" w:hAnsi="Times New Roman" w:eastAsia="宋体" w:cs="仿宋"/>
                <w:sz w:val="21"/>
                <w:szCs w:val="21"/>
              </w:rPr>
              <w:t>4</w:t>
            </w:r>
            <w:r>
              <w:rPr>
                <w:rFonts w:ascii="Times New Roman" w:hAnsi="Times New Roman" w:eastAsia="宋体" w:cs="仿宋"/>
                <w:sz w:val="21"/>
                <w:szCs w:val="21"/>
              </w:rPr>
              <w:t>706.52-2008</w:t>
            </w:r>
          </w:p>
          <w:p w14:paraId="61E96D88">
            <w:pPr>
              <w:pStyle w:val="72"/>
              <w:adjustRightInd w:val="0"/>
              <w:snapToGrid w:val="0"/>
              <w:spacing w:line="240" w:lineRule="auto"/>
              <w:ind w:firstLine="0" w:firstLineChars="0"/>
              <w:jc w:val="center"/>
              <w:textAlignment w:val="center"/>
              <w:rPr>
                <w:rFonts w:ascii="Times New Roman" w:hAnsi="Times New Roman" w:eastAsia="宋体" w:cs="仿宋"/>
                <w:sz w:val="21"/>
                <w:szCs w:val="21"/>
              </w:rPr>
            </w:pPr>
            <w:r>
              <w:rPr>
                <w:rFonts w:hint="eastAsia" w:ascii="Times New Roman" w:hAnsi="Times New Roman" w:eastAsia="宋体" w:cs="仿宋"/>
                <w:sz w:val="21"/>
                <w:szCs w:val="21"/>
              </w:rPr>
              <w:t>上述标准第28章</w:t>
            </w:r>
          </w:p>
        </w:tc>
      </w:tr>
    </w:tbl>
    <w:p w14:paraId="0CACF362">
      <w:pPr>
        <w:widowControl/>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796FEFF4">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35C5F21B">
      <w:pPr>
        <w:snapToGrid w:val="0"/>
        <w:spacing w:line="440" w:lineRule="exact"/>
        <w:ind w:firstLine="359" w:firstLineChars="171"/>
        <w:rPr>
          <w:color w:val="000000"/>
        </w:rPr>
      </w:pPr>
      <w:r>
        <w:rPr>
          <w:rFonts w:hint="eastAsia"/>
          <w:color w:val="000000"/>
        </w:rPr>
        <w:t>复检时所检测的样品为备用样品。</w:t>
      </w:r>
    </w:p>
    <w:p w14:paraId="0B9C71A0"/>
    <w:p w14:paraId="4DA1007B">
      <w:pPr>
        <w:adjustRightInd w:val="0"/>
        <w:snapToGrid w:val="0"/>
        <w:spacing w:line="440" w:lineRule="exact"/>
        <w:outlineLvl w:val="1"/>
        <w:rPr>
          <w:rFonts w:eastAsia="黑体" w:cs="黑体"/>
        </w:rPr>
      </w:pPr>
      <w:r>
        <w:rPr>
          <w:rFonts w:hint="eastAsia" w:eastAsia="黑体" w:cs="黑体"/>
        </w:rPr>
        <w:t>3 判定规则</w:t>
      </w:r>
    </w:p>
    <w:p w14:paraId="47A6F311">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62052E36">
      <w:pPr>
        <w:adjustRightInd w:val="0"/>
        <w:snapToGrid w:val="0"/>
        <w:spacing w:line="440" w:lineRule="exact"/>
        <w:ind w:firstLine="315" w:firstLineChars="150"/>
      </w:pPr>
      <w:r>
        <w:rPr>
          <w:rFonts w:hint="eastAsia"/>
        </w:rPr>
        <w:t>GB</w:t>
      </w:r>
      <w:r>
        <w:t xml:space="preserve"> </w:t>
      </w:r>
      <w:r>
        <w:rPr>
          <w:rFonts w:hint="eastAsia"/>
        </w:rPr>
        <w:t>4706.1</w:t>
      </w:r>
      <w:r>
        <w:t>-2005</w:t>
      </w:r>
      <w:r>
        <w:rPr>
          <w:rFonts w:hint="eastAsia"/>
        </w:rPr>
        <w:t xml:space="preserve"> 家用和类似用途电器的安全 第1部分：通用要求 </w:t>
      </w:r>
    </w:p>
    <w:p w14:paraId="11C8D5A2">
      <w:pPr>
        <w:adjustRightInd w:val="0"/>
        <w:snapToGrid w:val="0"/>
        <w:spacing w:line="440" w:lineRule="exact"/>
        <w:ind w:firstLine="359" w:firstLineChars="171"/>
      </w:pPr>
      <w:r>
        <w:rPr>
          <w:rFonts w:hint="eastAsia"/>
        </w:rPr>
        <w:t>GB</w:t>
      </w:r>
      <w:r>
        <w:t xml:space="preserve"> </w:t>
      </w:r>
      <w:r>
        <w:rPr>
          <w:rFonts w:hint="eastAsia"/>
        </w:rPr>
        <w:t>4706.33</w:t>
      </w:r>
      <w:r>
        <w:t xml:space="preserve">-2008 </w:t>
      </w:r>
      <w:r>
        <w:rPr>
          <w:rFonts w:hint="eastAsia"/>
        </w:rPr>
        <w:t>家用和类似用途电器的安全 商用电深油</w:t>
      </w:r>
      <w:r>
        <w:t>炸锅</w:t>
      </w:r>
      <w:r>
        <w:rPr>
          <w:rFonts w:hint="eastAsia"/>
        </w:rPr>
        <w:t>的特殊要求</w:t>
      </w:r>
    </w:p>
    <w:p w14:paraId="4CBE45F3">
      <w:pPr>
        <w:adjustRightInd w:val="0"/>
        <w:snapToGrid w:val="0"/>
        <w:spacing w:line="440" w:lineRule="exact"/>
        <w:ind w:firstLine="359" w:firstLineChars="171"/>
      </w:pPr>
      <w:r>
        <w:rPr>
          <w:rFonts w:hint="eastAsia"/>
        </w:rPr>
        <w:t>GB</w:t>
      </w:r>
      <w:r>
        <w:t xml:space="preserve"> </w:t>
      </w:r>
      <w:r>
        <w:rPr>
          <w:rFonts w:hint="eastAsia"/>
        </w:rPr>
        <w:t>4706.34</w:t>
      </w:r>
      <w:r>
        <w:t>-2008</w:t>
      </w:r>
      <w:r>
        <w:rPr>
          <w:rFonts w:hint="eastAsia"/>
        </w:rPr>
        <w:t xml:space="preserve"> 家用和类似用途电器的安全 商用电强制对流烤炉、蒸汽炊具和蒸汽对流炉的特殊要求</w:t>
      </w:r>
    </w:p>
    <w:p w14:paraId="648F8AFC">
      <w:pPr>
        <w:adjustRightInd w:val="0"/>
        <w:snapToGrid w:val="0"/>
        <w:spacing w:line="440" w:lineRule="exact"/>
        <w:ind w:firstLine="359" w:firstLineChars="171"/>
      </w:pPr>
      <w:r>
        <w:rPr>
          <w:rFonts w:hint="eastAsia"/>
        </w:rPr>
        <w:t>GB</w:t>
      </w:r>
      <w:r>
        <w:t xml:space="preserve"> </w:t>
      </w:r>
      <w:r>
        <w:rPr>
          <w:rFonts w:hint="eastAsia"/>
        </w:rPr>
        <w:t>4706.35</w:t>
      </w:r>
      <w:r>
        <w:t>-2008</w:t>
      </w:r>
      <w:r>
        <w:rPr>
          <w:rFonts w:hint="eastAsia"/>
        </w:rPr>
        <w:t xml:space="preserve"> 家用和类似用途电器的安全 商用电煮锅的特殊要求</w:t>
      </w:r>
    </w:p>
    <w:p w14:paraId="48AF9DC3">
      <w:pPr>
        <w:adjustRightInd w:val="0"/>
        <w:snapToGrid w:val="0"/>
        <w:spacing w:line="440" w:lineRule="exact"/>
        <w:ind w:firstLine="359" w:firstLineChars="171"/>
      </w:pPr>
      <w:r>
        <w:rPr>
          <w:rFonts w:hint="eastAsia"/>
        </w:rPr>
        <w:t>GB</w:t>
      </w:r>
      <w:r>
        <w:t xml:space="preserve"> </w:t>
      </w:r>
      <w:r>
        <w:rPr>
          <w:rFonts w:hint="eastAsia"/>
        </w:rPr>
        <w:t>4706.36</w:t>
      </w:r>
      <w:r>
        <w:t>-2014</w:t>
      </w:r>
      <w:r>
        <w:rPr>
          <w:rFonts w:hint="eastAsia"/>
        </w:rPr>
        <w:t xml:space="preserve"> 家用和类似用途电器的安全 商用电开水器和液体加热器的特殊要求</w:t>
      </w:r>
    </w:p>
    <w:p w14:paraId="08659FA0">
      <w:pPr>
        <w:adjustRightInd w:val="0"/>
        <w:snapToGrid w:val="0"/>
        <w:spacing w:line="440" w:lineRule="exact"/>
        <w:ind w:firstLine="359" w:firstLineChars="171"/>
      </w:pPr>
      <w:r>
        <w:rPr>
          <w:rFonts w:hint="eastAsia"/>
        </w:rPr>
        <w:t>GB</w:t>
      </w:r>
      <w:r>
        <w:t xml:space="preserve"> </w:t>
      </w:r>
      <w:r>
        <w:rPr>
          <w:rFonts w:hint="eastAsia"/>
        </w:rPr>
        <w:t>4706.37</w:t>
      </w:r>
      <w:r>
        <w:t>-2008</w:t>
      </w:r>
      <w:r>
        <w:rPr>
          <w:rFonts w:hint="eastAsia"/>
        </w:rPr>
        <w:t xml:space="preserve"> 家用和类似用途电器的安全 商用单双面电热铛的特殊要求</w:t>
      </w:r>
    </w:p>
    <w:p w14:paraId="10A90A36">
      <w:pPr>
        <w:adjustRightInd w:val="0"/>
        <w:snapToGrid w:val="0"/>
        <w:spacing w:line="440" w:lineRule="exact"/>
        <w:ind w:firstLine="359" w:firstLineChars="171"/>
      </w:pPr>
      <w:r>
        <w:rPr>
          <w:rFonts w:hint="eastAsia"/>
        </w:rPr>
        <w:t>GB</w:t>
      </w:r>
      <w:r>
        <w:t xml:space="preserve"> </w:t>
      </w:r>
      <w:r>
        <w:rPr>
          <w:rFonts w:hint="eastAsia"/>
        </w:rPr>
        <w:t>4706.39</w:t>
      </w:r>
      <w:r>
        <w:t>-2008</w:t>
      </w:r>
      <w:r>
        <w:rPr>
          <w:rFonts w:hint="eastAsia"/>
        </w:rPr>
        <w:t xml:space="preserve"> 家用和类似用途电器的安全 商用电烤炉和烤面包炉的特殊要求</w:t>
      </w:r>
    </w:p>
    <w:p w14:paraId="1FF22433">
      <w:pPr>
        <w:adjustRightInd w:val="0"/>
        <w:snapToGrid w:val="0"/>
        <w:spacing w:line="440" w:lineRule="exact"/>
        <w:ind w:firstLine="359" w:firstLineChars="171"/>
      </w:pPr>
      <w:r>
        <w:rPr>
          <w:rFonts w:hint="eastAsia"/>
        </w:rPr>
        <w:t>GB</w:t>
      </w:r>
      <w:r>
        <w:t xml:space="preserve"> </w:t>
      </w:r>
      <w:r>
        <w:rPr>
          <w:rFonts w:hint="eastAsia"/>
        </w:rPr>
        <w:t>4706.</w:t>
      </w:r>
      <w:r>
        <w:t>40-2008</w:t>
      </w:r>
      <w:r>
        <w:rPr>
          <w:rFonts w:hint="eastAsia"/>
        </w:rPr>
        <w:t xml:space="preserve"> 家用和类似用途电器的安全 商用多用途电平锅的特殊要求</w:t>
      </w:r>
    </w:p>
    <w:p w14:paraId="63FC0DAF">
      <w:pPr>
        <w:adjustRightInd w:val="0"/>
        <w:snapToGrid w:val="0"/>
        <w:spacing w:line="440" w:lineRule="exact"/>
        <w:ind w:firstLine="359" w:firstLineChars="171"/>
      </w:pPr>
      <w:r>
        <w:rPr>
          <w:rFonts w:hint="eastAsia"/>
        </w:rPr>
        <w:t>GB</w:t>
      </w:r>
      <w:r>
        <w:t xml:space="preserve"> </w:t>
      </w:r>
      <w:r>
        <w:rPr>
          <w:rFonts w:hint="eastAsia"/>
        </w:rPr>
        <w:t>4706.52</w:t>
      </w:r>
      <w:r>
        <w:t>-2008</w:t>
      </w:r>
      <w:r>
        <w:rPr>
          <w:rFonts w:hint="eastAsia"/>
        </w:rPr>
        <w:t xml:space="preserve"> 家用和类似用途电器的安全 商用电炉灶、烤箱、灶和灶单元的特殊要求</w:t>
      </w:r>
    </w:p>
    <w:p w14:paraId="02EA45D3">
      <w:pPr>
        <w:snapToGrid w:val="0"/>
        <w:spacing w:line="440" w:lineRule="exact"/>
        <w:ind w:firstLine="420" w:firstLineChars="200"/>
        <w:rPr>
          <w:color w:val="000000"/>
        </w:rPr>
      </w:pPr>
      <w:r>
        <w:rPr>
          <w:rFonts w:hint="eastAsia"/>
          <w:color w:val="000000"/>
        </w:rPr>
        <w:t>现行有效的企业标准、团体标准、地方标准及产品明示质量要求</w:t>
      </w:r>
    </w:p>
    <w:p w14:paraId="52766D26">
      <w:pPr>
        <w:adjustRightInd w:val="0"/>
        <w:snapToGrid w:val="0"/>
        <w:spacing w:line="440" w:lineRule="exact"/>
        <w:jc w:val="left"/>
        <w:rPr>
          <w:rFonts w:hAnsi="宋体"/>
        </w:rPr>
      </w:pPr>
      <w:r>
        <w:rPr>
          <w:rFonts w:hint="eastAsia" w:hAnsi="宋体"/>
        </w:rPr>
        <w:t>3.2判定原则</w:t>
      </w:r>
    </w:p>
    <w:p w14:paraId="259EBA7D">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72AD79C3">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74EDD70B">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03CEDF88">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1D38D8F5">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141576AC">
      <w:pPr>
        <w:adjustRightInd w:val="0"/>
        <w:snapToGrid w:val="0"/>
        <w:spacing w:line="440" w:lineRule="exact"/>
        <w:ind w:firstLine="420" w:firstLineChars="200"/>
        <w:rPr>
          <w:color w:val="000000"/>
        </w:rPr>
      </w:pPr>
    </w:p>
    <w:p w14:paraId="52780D6C">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4765C828">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5B37FAF5">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69524AE3">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02AF3C38">
      <w:pPr>
        <w:adjustRightInd w:val="0"/>
        <w:snapToGrid w:val="0"/>
        <w:spacing w:line="440" w:lineRule="exact"/>
        <w:rPr>
          <w:rFonts w:hAnsi="宋体"/>
        </w:rPr>
      </w:pPr>
    </w:p>
    <w:p w14:paraId="51FF2750"/>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C6A33-C49A-4060-B96A-A4B4F562E0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B001F75A-963E-447E-96A3-5BA0154FF51D}"/>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3" w:fontKey="{F4E24BA8-503F-4C91-9A19-5D41FBD6D316}"/>
  </w:font>
  <w:font w:name="仿宋_GB2312">
    <w:altName w:val="仿宋"/>
    <w:panose1 w:val="02010609030101010101"/>
    <w:charset w:val="86"/>
    <w:family w:val="modern"/>
    <w:pitch w:val="default"/>
    <w:sig w:usb0="00000000" w:usb1="00000000" w:usb2="00000010" w:usb3="00000000" w:csb0="00040000" w:csb1="00000000"/>
    <w:embedRegular r:id="rId4" w:fontKey="{20AD08ED-0547-4FBF-9535-86863BF4D955}"/>
  </w:font>
  <w:font w:name="仿宋">
    <w:panose1 w:val="02010609060101010101"/>
    <w:charset w:val="86"/>
    <w:family w:val="modern"/>
    <w:pitch w:val="default"/>
    <w:sig w:usb0="800002BF" w:usb1="38CF7CFA" w:usb2="00000016" w:usb3="00000000" w:csb0="00040001" w:csb1="00000000"/>
    <w:embedRegular r:id="rId5" w:fontKey="{BB9577A1-BAAC-4132-9915-E6F806B581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35974"/>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4789F"/>
    <w:rsid w:val="00356A35"/>
    <w:rsid w:val="00382DD3"/>
    <w:rsid w:val="003870CE"/>
    <w:rsid w:val="00390DBD"/>
    <w:rsid w:val="00396417"/>
    <w:rsid w:val="003C6824"/>
    <w:rsid w:val="003D383C"/>
    <w:rsid w:val="003E236B"/>
    <w:rsid w:val="003E4636"/>
    <w:rsid w:val="003F1603"/>
    <w:rsid w:val="003F5070"/>
    <w:rsid w:val="004107E1"/>
    <w:rsid w:val="004131DE"/>
    <w:rsid w:val="00420C93"/>
    <w:rsid w:val="00437072"/>
    <w:rsid w:val="00437399"/>
    <w:rsid w:val="004449B6"/>
    <w:rsid w:val="00491008"/>
    <w:rsid w:val="004A7626"/>
    <w:rsid w:val="004C40AF"/>
    <w:rsid w:val="004D0D7B"/>
    <w:rsid w:val="004D366F"/>
    <w:rsid w:val="004D4292"/>
    <w:rsid w:val="004F14A2"/>
    <w:rsid w:val="004F3FE1"/>
    <w:rsid w:val="00500259"/>
    <w:rsid w:val="00520378"/>
    <w:rsid w:val="00523446"/>
    <w:rsid w:val="00544B19"/>
    <w:rsid w:val="005666AB"/>
    <w:rsid w:val="00567FE1"/>
    <w:rsid w:val="00574980"/>
    <w:rsid w:val="00586DEB"/>
    <w:rsid w:val="0059162E"/>
    <w:rsid w:val="005958A2"/>
    <w:rsid w:val="005958FB"/>
    <w:rsid w:val="005A0FF8"/>
    <w:rsid w:val="005A60A7"/>
    <w:rsid w:val="005B0BB7"/>
    <w:rsid w:val="005B7F21"/>
    <w:rsid w:val="005C105C"/>
    <w:rsid w:val="005C5B5D"/>
    <w:rsid w:val="005C6756"/>
    <w:rsid w:val="005D50D1"/>
    <w:rsid w:val="005D5706"/>
    <w:rsid w:val="005F067D"/>
    <w:rsid w:val="005F0704"/>
    <w:rsid w:val="005F47D8"/>
    <w:rsid w:val="00607EA5"/>
    <w:rsid w:val="006319E2"/>
    <w:rsid w:val="006638DF"/>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1864"/>
    <w:rsid w:val="0077504F"/>
    <w:rsid w:val="00781BFD"/>
    <w:rsid w:val="00784215"/>
    <w:rsid w:val="00796B72"/>
    <w:rsid w:val="007A2EB1"/>
    <w:rsid w:val="007A5782"/>
    <w:rsid w:val="007B3297"/>
    <w:rsid w:val="007B4857"/>
    <w:rsid w:val="007B6F35"/>
    <w:rsid w:val="007D4FB0"/>
    <w:rsid w:val="007D5879"/>
    <w:rsid w:val="007D5C5A"/>
    <w:rsid w:val="007E35A4"/>
    <w:rsid w:val="0080429B"/>
    <w:rsid w:val="0081368A"/>
    <w:rsid w:val="00820DE8"/>
    <w:rsid w:val="0082512A"/>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658CD"/>
    <w:rsid w:val="009772B3"/>
    <w:rsid w:val="00981971"/>
    <w:rsid w:val="00986573"/>
    <w:rsid w:val="00987E28"/>
    <w:rsid w:val="009A6D8E"/>
    <w:rsid w:val="009A75A5"/>
    <w:rsid w:val="009B2ACF"/>
    <w:rsid w:val="009B4E71"/>
    <w:rsid w:val="009C421E"/>
    <w:rsid w:val="009C49B5"/>
    <w:rsid w:val="009C6EDF"/>
    <w:rsid w:val="009D2393"/>
    <w:rsid w:val="009D3951"/>
    <w:rsid w:val="009E5DC0"/>
    <w:rsid w:val="009E6DE7"/>
    <w:rsid w:val="009F386F"/>
    <w:rsid w:val="00A154BE"/>
    <w:rsid w:val="00A16267"/>
    <w:rsid w:val="00A203B4"/>
    <w:rsid w:val="00A252D0"/>
    <w:rsid w:val="00A25AE2"/>
    <w:rsid w:val="00A402D9"/>
    <w:rsid w:val="00A43B7D"/>
    <w:rsid w:val="00A5055D"/>
    <w:rsid w:val="00A56416"/>
    <w:rsid w:val="00AB684D"/>
    <w:rsid w:val="00AD64C9"/>
    <w:rsid w:val="00AE5B9A"/>
    <w:rsid w:val="00AE71BA"/>
    <w:rsid w:val="00B05D00"/>
    <w:rsid w:val="00B13235"/>
    <w:rsid w:val="00B201E3"/>
    <w:rsid w:val="00B208C7"/>
    <w:rsid w:val="00B22C3C"/>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1C87"/>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2DB8"/>
    <w:rsid w:val="00EE35CB"/>
    <w:rsid w:val="00F04B2F"/>
    <w:rsid w:val="00F14FF5"/>
    <w:rsid w:val="00F30A01"/>
    <w:rsid w:val="00F57112"/>
    <w:rsid w:val="00F73806"/>
    <w:rsid w:val="00F75313"/>
    <w:rsid w:val="00F75EA8"/>
    <w:rsid w:val="00F93CA7"/>
    <w:rsid w:val="00FA32C1"/>
    <w:rsid w:val="00FA5983"/>
    <w:rsid w:val="00FA5B27"/>
    <w:rsid w:val="00FC2961"/>
    <w:rsid w:val="00FC71F7"/>
    <w:rsid w:val="04785179"/>
    <w:rsid w:val="3C0347C0"/>
    <w:rsid w:val="4F891622"/>
    <w:rsid w:val="5E165E7B"/>
    <w:rsid w:val="6A9634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4"/>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5"/>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6"/>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7"/>
    <w:qFormat/>
    <w:uiPriority w:val="9"/>
    <w:pPr>
      <w:keepNext/>
      <w:keepLines/>
      <w:numPr>
        <w:ilvl w:val="4"/>
        <w:numId w:val="1"/>
      </w:numPr>
      <w:outlineLvl w:val="4"/>
    </w:pPr>
    <w:rPr>
      <w:sz w:val="18"/>
      <w:szCs w:val="22"/>
    </w:rPr>
  </w:style>
  <w:style w:type="paragraph" w:styleId="7">
    <w:name w:val="heading 6"/>
    <w:basedOn w:val="1"/>
    <w:next w:val="1"/>
    <w:link w:val="38"/>
    <w:qFormat/>
    <w:uiPriority w:val="9"/>
    <w:pPr>
      <w:numPr>
        <w:ilvl w:val="5"/>
        <w:numId w:val="1"/>
      </w:numPr>
      <w:spacing w:before="240" w:after="60"/>
      <w:outlineLvl w:val="5"/>
    </w:pPr>
    <w:rPr>
      <w:bCs/>
      <w:sz w:val="18"/>
    </w:rPr>
  </w:style>
  <w:style w:type="paragraph" w:styleId="8">
    <w:name w:val="heading 7"/>
    <w:basedOn w:val="1"/>
    <w:next w:val="1"/>
    <w:link w:val="39"/>
    <w:qFormat/>
    <w:uiPriority w:val="9"/>
    <w:pPr>
      <w:numPr>
        <w:ilvl w:val="6"/>
        <w:numId w:val="1"/>
      </w:numPr>
      <w:spacing w:before="240" w:after="60"/>
      <w:outlineLvl w:val="6"/>
    </w:pPr>
    <w:rPr>
      <w:sz w:val="18"/>
    </w:rPr>
  </w:style>
  <w:style w:type="paragraph" w:styleId="9">
    <w:name w:val="heading 8"/>
    <w:basedOn w:val="1"/>
    <w:next w:val="1"/>
    <w:link w:val="40"/>
    <w:qFormat/>
    <w:uiPriority w:val="9"/>
    <w:pPr>
      <w:numPr>
        <w:ilvl w:val="7"/>
        <w:numId w:val="1"/>
      </w:numPr>
      <w:spacing w:before="240" w:after="60"/>
      <w:outlineLvl w:val="7"/>
    </w:pPr>
    <w:rPr>
      <w:iCs/>
      <w:sz w:val="18"/>
    </w:rPr>
  </w:style>
  <w:style w:type="paragraph" w:styleId="10">
    <w:name w:val="heading 9"/>
    <w:basedOn w:val="1"/>
    <w:next w:val="1"/>
    <w:link w:val="41"/>
    <w:qFormat/>
    <w:uiPriority w:val="9"/>
    <w:pPr>
      <w:numPr>
        <w:ilvl w:val="8"/>
        <w:numId w:val="1"/>
      </w:numPr>
      <w:spacing w:before="240" w:after="60"/>
      <w:outlineLvl w:val="8"/>
    </w:pPr>
    <w:rPr>
      <w:sz w:val="18"/>
    </w:rPr>
  </w:style>
  <w:style w:type="character" w:default="1" w:styleId="27">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70"/>
    <w:unhideWhenUsed/>
    <w:qFormat/>
    <w:uiPriority w:val="0"/>
    <w:pPr>
      <w:jc w:val="left"/>
    </w:pPr>
  </w:style>
  <w:style w:type="paragraph" w:styleId="12">
    <w:name w:val="toc 3"/>
    <w:basedOn w:val="1"/>
    <w:next w:val="1"/>
    <w:autoRedefine/>
    <w:qFormat/>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Balloon Text"/>
    <w:basedOn w:val="1"/>
    <w:link w:val="68"/>
    <w:semiHidden/>
    <w:qFormat/>
    <w:uiPriority w:val="0"/>
    <w:rPr>
      <w:rFonts w:cs="Tahoma"/>
      <w:sz w:val="16"/>
      <w:szCs w:val="16"/>
    </w:rPr>
  </w:style>
  <w:style w:type="paragraph" w:styleId="14">
    <w:name w:val="footer"/>
    <w:basedOn w:val="1"/>
    <w:link w:val="42"/>
    <w:qFormat/>
    <w:uiPriority w:val="99"/>
    <w:pPr>
      <w:tabs>
        <w:tab w:val="center" w:pos="4513"/>
        <w:tab w:val="right" w:pos="9026"/>
      </w:tabs>
    </w:pPr>
    <w:rPr>
      <w:rFonts w:eastAsiaTheme="majorEastAsia" w:cstheme="majorBidi"/>
      <w:sz w:val="16"/>
      <w:szCs w:val="20"/>
      <w:lang w:eastAsia="en-US" w:bidi="en-US"/>
    </w:rPr>
  </w:style>
  <w:style w:type="paragraph" w:styleId="15">
    <w:name w:val="header"/>
    <w:basedOn w:val="1"/>
    <w:link w:val="66"/>
    <w:autoRedefine/>
    <w:qFormat/>
    <w:uiPriority w:val="99"/>
    <w:pPr>
      <w:tabs>
        <w:tab w:val="center" w:pos="4536"/>
        <w:tab w:val="right" w:pos="9072"/>
      </w:tabs>
    </w:pPr>
  </w:style>
  <w:style w:type="paragraph" w:styleId="16">
    <w:name w:val="toc 1"/>
    <w:basedOn w:val="1"/>
    <w:next w:val="1"/>
    <w:autoRedefine/>
    <w:qFormat/>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rPr>
  </w:style>
  <w:style w:type="paragraph" w:styleId="17">
    <w:name w:val="Subtitle"/>
    <w:basedOn w:val="1"/>
    <w:next w:val="1"/>
    <w:link w:val="44"/>
    <w:qFormat/>
    <w:uiPriority w:val="11"/>
    <w:pPr>
      <w:spacing w:after="60"/>
      <w:jc w:val="center"/>
      <w:outlineLvl w:val="1"/>
    </w:pPr>
    <w:rPr>
      <w:rFonts w:eastAsiaTheme="majorEastAsia" w:cstheme="majorBidi"/>
      <w:szCs w:val="20"/>
      <w:lang w:eastAsia="en-US" w:bidi="en-US"/>
    </w:rPr>
  </w:style>
  <w:style w:type="paragraph" w:styleId="18">
    <w:name w:val="toc 2"/>
    <w:basedOn w:val="1"/>
    <w:next w:val="1"/>
    <w:autoRedefine/>
    <w:qFormat/>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19">
    <w:name w:val="Title"/>
    <w:basedOn w:val="1"/>
    <w:next w:val="1"/>
    <w:link w:val="43"/>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0">
    <w:name w:val="annotation subject"/>
    <w:basedOn w:val="11"/>
    <w:next w:val="11"/>
    <w:link w:val="71"/>
    <w:semiHidden/>
    <w:unhideWhenUsed/>
    <w:qFormat/>
    <w:uiPriority w:val="0"/>
    <w:rPr>
      <w:b/>
      <w:bCs/>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table" w:styleId="23">
    <w:name w:val="Table Colorful 1"/>
    <w:basedOn w:val="21"/>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4">
    <w:name w:val="Table Classic 2"/>
    <w:basedOn w:val="21"/>
    <w:qFormat/>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5">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List 8"/>
    <w:basedOn w:val="21"/>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8">
    <w:name w:val="Strong"/>
    <w:basedOn w:val="27"/>
    <w:qFormat/>
    <w:uiPriority w:val="22"/>
    <w:rPr>
      <w:b/>
      <w:bCs/>
    </w:rPr>
  </w:style>
  <w:style w:type="character" w:styleId="29">
    <w:name w:val="FollowedHyperlink"/>
    <w:basedOn w:val="27"/>
    <w:qFormat/>
    <w:uiPriority w:val="99"/>
    <w:rPr>
      <w:rFonts w:ascii="Arial" w:hAnsi="Arial"/>
      <w:i/>
      <w:color w:val="363636"/>
      <w:sz w:val="20"/>
      <w:u w:val="single"/>
    </w:rPr>
  </w:style>
  <w:style w:type="character" w:styleId="30">
    <w:name w:val="Emphasis"/>
    <w:basedOn w:val="27"/>
    <w:qFormat/>
    <w:uiPriority w:val="20"/>
    <w:rPr>
      <w:rFonts w:asciiTheme="minorHAnsi" w:hAnsiTheme="minorHAnsi"/>
      <w:b/>
      <w:i/>
      <w:iCs/>
    </w:rPr>
  </w:style>
  <w:style w:type="character" w:styleId="31">
    <w:name w:val="Hyperlink"/>
    <w:basedOn w:val="27"/>
    <w:qFormat/>
    <w:uiPriority w:val="99"/>
    <w:rPr>
      <w:rFonts w:ascii="Arial" w:hAnsi="Arial"/>
      <w:color w:val="FF6600"/>
      <w:sz w:val="20"/>
      <w:u w:val="single"/>
    </w:rPr>
  </w:style>
  <w:style w:type="character" w:styleId="32">
    <w:name w:val="annotation reference"/>
    <w:basedOn w:val="27"/>
    <w:semiHidden/>
    <w:unhideWhenUsed/>
    <w:qFormat/>
    <w:uiPriority w:val="0"/>
    <w:rPr>
      <w:sz w:val="21"/>
      <w:szCs w:val="21"/>
    </w:rPr>
  </w:style>
  <w:style w:type="character" w:customStyle="1" w:styleId="33">
    <w:name w:val="标题 1 Char"/>
    <w:basedOn w:val="27"/>
    <w:link w:val="2"/>
    <w:qFormat/>
    <w:uiPriority w:val="9"/>
    <w:rPr>
      <w:rFonts w:cs="Arial" w:eastAsiaTheme="minorHAnsi"/>
      <w:b/>
      <w:caps/>
      <w:color w:val="FF6600"/>
      <w:spacing w:val="20"/>
      <w:szCs w:val="24"/>
      <w:lang w:eastAsia="fr-FR"/>
    </w:rPr>
  </w:style>
  <w:style w:type="character" w:customStyle="1" w:styleId="34">
    <w:name w:val="标题 2 Char"/>
    <w:basedOn w:val="27"/>
    <w:link w:val="3"/>
    <w:qFormat/>
    <w:uiPriority w:val="9"/>
    <w:rPr>
      <w:rFonts w:cs="Arial" w:eastAsiaTheme="minorHAnsi"/>
      <w:b/>
      <w:iCs/>
      <w:smallCaps/>
      <w:color w:val="363636"/>
      <w:spacing w:val="15"/>
      <w:kern w:val="32"/>
      <w:sz w:val="22"/>
      <w:szCs w:val="24"/>
      <w:lang w:eastAsia="fr-FR"/>
    </w:rPr>
  </w:style>
  <w:style w:type="character" w:customStyle="1" w:styleId="35">
    <w:name w:val="标题 3 Char"/>
    <w:basedOn w:val="27"/>
    <w:link w:val="4"/>
    <w:qFormat/>
    <w:uiPriority w:val="9"/>
    <w:rPr>
      <w:rFonts w:cs="Arial"/>
      <w:b/>
      <w:bCs/>
      <w:smallCaps/>
      <w:color w:val="FF6600"/>
      <w:szCs w:val="24"/>
      <w:lang w:eastAsia="fr-FR"/>
    </w:rPr>
  </w:style>
  <w:style w:type="character" w:customStyle="1" w:styleId="36">
    <w:name w:val="标题 4 Char"/>
    <w:basedOn w:val="27"/>
    <w:link w:val="5"/>
    <w:qFormat/>
    <w:uiPriority w:val="9"/>
    <w:rPr>
      <w:rFonts w:eastAsiaTheme="majorEastAsia"/>
      <w:bCs/>
      <w:sz w:val="18"/>
      <w:szCs w:val="28"/>
      <w:lang w:bidi="en-US"/>
    </w:rPr>
  </w:style>
  <w:style w:type="character" w:customStyle="1" w:styleId="37">
    <w:name w:val="标题 5 Char"/>
    <w:basedOn w:val="27"/>
    <w:link w:val="6"/>
    <w:qFormat/>
    <w:uiPriority w:val="9"/>
    <w:rPr>
      <w:rFonts w:cs="Times New Roman"/>
      <w:sz w:val="18"/>
      <w:szCs w:val="22"/>
      <w:lang w:eastAsia="fr-FR"/>
    </w:rPr>
  </w:style>
  <w:style w:type="character" w:customStyle="1" w:styleId="38">
    <w:name w:val="标题 6 Char"/>
    <w:basedOn w:val="27"/>
    <w:link w:val="7"/>
    <w:qFormat/>
    <w:uiPriority w:val="9"/>
    <w:rPr>
      <w:rFonts w:cs="Times New Roman"/>
      <w:bCs/>
      <w:sz w:val="18"/>
      <w:szCs w:val="24"/>
      <w:lang w:eastAsia="fr-FR"/>
    </w:rPr>
  </w:style>
  <w:style w:type="character" w:customStyle="1" w:styleId="39">
    <w:name w:val="标题 7 Char"/>
    <w:basedOn w:val="27"/>
    <w:link w:val="8"/>
    <w:qFormat/>
    <w:uiPriority w:val="9"/>
    <w:rPr>
      <w:rFonts w:cs="Times New Roman"/>
      <w:sz w:val="18"/>
      <w:szCs w:val="24"/>
      <w:lang w:eastAsia="fr-FR"/>
    </w:rPr>
  </w:style>
  <w:style w:type="character" w:customStyle="1" w:styleId="40">
    <w:name w:val="标题 8 Char"/>
    <w:basedOn w:val="27"/>
    <w:link w:val="9"/>
    <w:qFormat/>
    <w:uiPriority w:val="9"/>
    <w:rPr>
      <w:rFonts w:cs="Times New Roman"/>
      <w:iCs/>
      <w:sz w:val="18"/>
      <w:szCs w:val="24"/>
      <w:lang w:eastAsia="fr-FR"/>
    </w:rPr>
  </w:style>
  <w:style w:type="character" w:customStyle="1" w:styleId="41">
    <w:name w:val="标题 9 Char"/>
    <w:basedOn w:val="27"/>
    <w:link w:val="10"/>
    <w:qFormat/>
    <w:uiPriority w:val="9"/>
    <w:rPr>
      <w:rFonts w:cs="Times New Roman"/>
      <w:sz w:val="18"/>
      <w:szCs w:val="24"/>
      <w:lang w:eastAsia="fr-FR"/>
    </w:rPr>
  </w:style>
  <w:style w:type="character" w:customStyle="1" w:styleId="42">
    <w:name w:val="页脚 Char"/>
    <w:basedOn w:val="27"/>
    <w:link w:val="14"/>
    <w:qFormat/>
    <w:uiPriority w:val="99"/>
    <w:rPr>
      <w:rFonts w:eastAsiaTheme="majorEastAsia"/>
      <w:sz w:val="16"/>
      <w:lang w:bidi="en-US"/>
    </w:rPr>
  </w:style>
  <w:style w:type="character" w:customStyle="1" w:styleId="43">
    <w:name w:val="标题 Char"/>
    <w:basedOn w:val="27"/>
    <w:link w:val="19"/>
    <w:qFormat/>
    <w:uiPriority w:val="10"/>
    <w:rPr>
      <w:rFonts w:eastAsiaTheme="majorEastAsia"/>
      <w:b/>
      <w:bCs/>
      <w:kern w:val="28"/>
      <w:szCs w:val="32"/>
      <w:u w:val="single"/>
      <w:lang w:bidi="en-US"/>
    </w:rPr>
  </w:style>
  <w:style w:type="character" w:customStyle="1" w:styleId="44">
    <w:name w:val="副标题 Char"/>
    <w:basedOn w:val="27"/>
    <w:link w:val="17"/>
    <w:qFormat/>
    <w:uiPriority w:val="11"/>
    <w:rPr>
      <w:rFonts w:eastAsiaTheme="majorEastAsia"/>
      <w:lang w:bidi="en-US"/>
    </w:rPr>
  </w:style>
  <w:style w:type="paragraph" w:styleId="45">
    <w:name w:val="No Spacing"/>
    <w:basedOn w:val="1"/>
    <w:link w:val="46"/>
    <w:qFormat/>
    <w:uiPriority w:val="1"/>
    <w:rPr>
      <w:rFonts w:eastAsiaTheme="majorEastAsia" w:cstheme="majorBidi"/>
      <w:szCs w:val="32"/>
      <w:lang w:eastAsia="en-US" w:bidi="en-US"/>
    </w:rPr>
  </w:style>
  <w:style w:type="character" w:customStyle="1" w:styleId="46">
    <w:name w:val="无间隔 Char"/>
    <w:basedOn w:val="27"/>
    <w:link w:val="45"/>
    <w:qFormat/>
    <w:uiPriority w:val="1"/>
    <w:rPr>
      <w:rFonts w:eastAsiaTheme="majorEastAsia"/>
      <w:szCs w:val="32"/>
      <w:lang w:bidi="en-US"/>
    </w:r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rFonts w:eastAsiaTheme="majorEastAsia" w:cstheme="majorBidi"/>
      <w:i/>
      <w:szCs w:val="20"/>
      <w:lang w:eastAsia="en-US" w:bidi="en-US"/>
    </w:rPr>
  </w:style>
  <w:style w:type="character" w:customStyle="1" w:styleId="49">
    <w:name w:val="引用 Char"/>
    <w:basedOn w:val="27"/>
    <w:link w:val="48"/>
    <w:qFormat/>
    <w:uiPriority w:val="29"/>
    <w:rPr>
      <w:rFonts w:eastAsiaTheme="majorEastAsia"/>
      <w:i/>
      <w:lang w:bidi="en-US"/>
    </w:rPr>
  </w:style>
  <w:style w:type="paragraph" w:styleId="50">
    <w:name w:val="Intense Quote"/>
    <w:basedOn w:val="1"/>
    <w:next w:val="1"/>
    <w:link w:val="51"/>
    <w:qFormat/>
    <w:uiPriority w:val="30"/>
    <w:pPr>
      <w:ind w:left="720" w:right="720"/>
    </w:pPr>
    <w:rPr>
      <w:rFonts w:eastAsiaTheme="majorEastAsia" w:cstheme="majorBidi"/>
      <w:b/>
      <w:i/>
      <w:szCs w:val="20"/>
      <w:lang w:eastAsia="en-US" w:bidi="en-US"/>
    </w:rPr>
  </w:style>
  <w:style w:type="character" w:customStyle="1" w:styleId="51">
    <w:name w:val="明显引用 Char"/>
    <w:basedOn w:val="27"/>
    <w:link w:val="50"/>
    <w:qFormat/>
    <w:uiPriority w:val="30"/>
    <w:rPr>
      <w:rFonts w:eastAsiaTheme="majorEastAsia"/>
      <w:b/>
      <w:i/>
      <w:lang w:bidi="en-US"/>
    </w:rPr>
  </w:style>
  <w:style w:type="character" w:customStyle="1" w:styleId="52">
    <w:name w:val="不明显强调1"/>
    <w:qFormat/>
    <w:uiPriority w:val="19"/>
    <w:rPr>
      <w:i/>
      <w:color w:val="585858" w:themeColor="text1" w:themeTint="A6"/>
    </w:rPr>
  </w:style>
  <w:style w:type="character" w:customStyle="1" w:styleId="53">
    <w:name w:val="明显强调1"/>
    <w:basedOn w:val="27"/>
    <w:qFormat/>
    <w:uiPriority w:val="21"/>
    <w:rPr>
      <w:b/>
      <w:i/>
      <w:sz w:val="24"/>
      <w:szCs w:val="24"/>
      <w:u w:val="single"/>
    </w:rPr>
  </w:style>
  <w:style w:type="character" w:customStyle="1" w:styleId="54">
    <w:name w:val="不明显参考1"/>
    <w:basedOn w:val="27"/>
    <w:qFormat/>
    <w:uiPriority w:val="31"/>
    <w:rPr>
      <w:sz w:val="24"/>
      <w:szCs w:val="24"/>
      <w:u w:val="single"/>
    </w:rPr>
  </w:style>
  <w:style w:type="character" w:customStyle="1" w:styleId="55">
    <w:name w:val="明显参考1"/>
    <w:basedOn w:val="27"/>
    <w:qFormat/>
    <w:uiPriority w:val="32"/>
    <w:rPr>
      <w:b/>
      <w:sz w:val="24"/>
      <w:u w:val="single"/>
    </w:rPr>
  </w:style>
  <w:style w:type="character" w:customStyle="1" w:styleId="56">
    <w:name w:val="书籍标题1"/>
    <w:basedOn w:val="27"/>
    <w:qFormat/>
    <w:uiPriority w:val="33"/>
    <w:rPr>
      <w:rFonts w:asciiTheme="majorHAnsi" w:hAnsiTheme="majorHAnsi" w:eastAsiaTheme="majorEastAsia"/>
      <w:b/>
      <w:i/>
      <w:sz w:val="24"/>
      <w:szCs w:val="24"/>
    </w:rPr>
  </w:style>
  <w:style w:type="paragraph" w:customStyle="1" w:styleId="57">
    <w:name w:val="TOC 标题1"/>
    <w:basedOn w:val="2"/>
    <w:next w:val="1"/>
    <w:qFormat/>
    <w:uiPriority w:val="39"/>
    <w:pPr>
      <w:numPr>
        <w:numId w:val="0"/>
      </w:numPr>
      <w:outlineLvl w:val="9"/>
    </w:pPr>
  </w:style>
  <w:style w:type="paragraph" w:customStyle="1" w:styleId="58">
    <w:name w:val="List 1"/>
    <w:basedOn w:val="1"/>
    <w:link w:val="59"/>
    <w:qFormat/>
    <w:uiPriority w:val="99"/>
    <w:pPr>
      <w:numPr>
        <w:ilvl w:val="0"/>
        <w:numId w:val="2"/>
      </w:numPr>
      <w:spacing w:before="60"/>
    </w:pPr>
    <w:rPr>
      <w:rFonts w:eastAsiaTheme="majorEastAsia" w:cstheme="majorBidi"/>
      <w:szCs w:val="20"/>
      <w:lang w:eastAsia="en-US" w:bidi="en-US"/>
    </w:rPr>
  </w:style>
  <w:style w:type="character" w:customStyle="1" w:styleId="59">
    <w:name w:val="List 1 Char"/>
    <w:basedOn w:val="27"/>
    <w:link w:val="58"/>
    <w:qFormat/>
    <w:uiPriority w:val="99"/>
    <w:rPr>
      <w:rFonts w:eastAsiaTheme="majorEastAsia"/>
      <w:lang w:bidi="en-US"/>
    </w:rPr>
  </w:style>
  <w:style w:type="paragraph" w:customStyle="1" w:styleId="60">
    <w:name w:val="Highlight"/>
    <w:basedOn w:val="1"/>
    <w:qFormat/>
    <w:uiPriority w:val="99"/>
    <w:rPr>
      <w:color w:val="BE0000" w:themeColor="accent6" w:themeShade="BF"/>
    </w:rPr>
  </w:style>
  <w:style w:type="paragraph" w:customStyle="1" w:styleId="61">
    <w:name w:val="Numbered 1"/>
    <w:basedOn w:val="1"/>
    <w:qFormat/>
    <w:uiPriority w:val="0"/>
    <w:pPr>
      <w:numPr>
        <w:ilvl w:val="0"/>
        <w:numId w:val="3"/>
      </w:numPr>
      <w:spacing w:before="60"/>
    </w:pPr>
  </w:style>
  <w:style w:type="paragraph" w:customStyle="1" w:styleId="62">
    <w:name w:val="List2"/>
    <w:basedOn w:val="58"/>
    <w:qFormat/>
    <w:uiPriority w:val="99"/>
    <w:pPr>
      <w:numPr>
        <w:numId w:val="0"/>
      </w:numPr>
      <w:spacing w:before="0"/>
    </w:pPr>
    <w:rPr>
      <w:szCs w:val="24"/>
      <w:lang w:val="fr-FR" w:eastAsia="fr-FR" w:bidi="ar-SA"/>
    </w:rPr>
  </w:style>
  <w:style w:type="paragraph" w:customStyle="1" w:styleId="63">
    <w:name w:val="Style Heading 5 + First line:  0 cm"/>
    <w:basedOn w:val="6"/>
    <w:qFormat/>
    <w:uiPriority w:val="0"/>
    <w:pPr>
      <w:numPr>
        <w:ilvl w:val="0"/>
        <w:numId w:val="0"/>
      </w:numPr>
    </w:pPr>
    <w:rPr>
      <w:color w:val="363636"/>
      <w:szCs w:val="24"/>
      <w:u w:val="single"/>
    </w:rPr>
  </w:style>
  <w:style w:type="paragraph" w:customStyle="1" w:styleId="64">
    <w:name w:val="Glossary"/>
    <w:basedOn w:val="1"/>
    <w:link w:val="65"/>
    <w:qFormat/>
    <w:uiPriority w:val="99"/>
    <w:pPr>
      <w:spacing w:before="40"/>
    </w:pPr>
    <w:rPr>
      <w:rFonts w:cstheme="majorBidi"/>
      <w:sz w:val="16"/>
      <w:szCs w:val="16"/>
      <w:lang w:eastAsia="en-GB"/>
    </w:rPr>
  </w:style>
  <w:style w:type="character" w:customStyle="1" w:styleId="65">
    <w:name w:val="Glossary Char"/>
    <w:basedOn w:val="27"/>
    <w:link w:val="64"/>
    <w:qFormat/>
    <w:uiPriority w:val="99"/>
    <w:rPr>
      <w:sz w:val="16"/>
      <w:szCs w:val="16"/>
      <w:lang w:eastAsia="en-GB"/>
    </w:rPr>
  </w:style>
  <w:style w:type="character" w:customStyle="1" w:styleId="66">
    <w:name w:val="页眉 Char"/>
    <w:basedOn w:val="27"/>
    <w:link w:val="15"/>
    <w:qFormat/>
    <w:uiPriority w:val="99"/>
    <w:rPr>
      <w:rFonts w:cs="Times New Roman"/>
      <w:szCs w:val="24"/>
      <w:lang w:eastAsia="fr-FR"/>
    </w:rPr>
  </w:style>
  <w:style w:type="table" w:customStyle="1" w:styleId="67">
    <w:name w:val="SGS Table Basic 2"/>
    <w:basedOn w:val="21"/>
    <w:qFormat/>
    <w:uiPriority w:val="99"/>
    <w:tblPr>
      <w:tblCellMar>
        <w:top w:w="0" w:type="dxa"/>
        <w:left w:w="108" w:type="dxa"/>
        <w:bottom w:w="0" w:type="dxa"/>
        <w:right w:w="108" w:type="dxa"/>
      </w:tblCellMar>
    </w:tblPr>
    <w:tcPr>
      <w:shd w:val="clear" w:color="auto" w:fill="BCBCBC"/>
    </w:tcPr>
    <w:tblStylePr w:type="firstRow">
      <w:pPr>
        <w:jc w:val="left"/>
      </w:pPr>
      <w:tcPr>
        <w:shd w:val="clear" w:color="auto" w:fill="363636"/>
        <w:vAlign w:val="center"/>
      </w:tcPr>
    </w:tblStylePr>
  </w:style>
  <w:style w:type="character" w:customStyle="1" w:styleId="68">
    <w:name w:val="批注框文本 Char"/>
    <w:basedOn w:val="27"/>
    <w:link w:val="13"/>
    <w:semiHidden/>
    <w:qFormat/>
    <w:uiPriority w:val="0"/>
    <w:rPr>
      <w:rFonts w:cs="Tahoma"/>
      <w:sz w:val="16"/>
      <w:szCs w:val="16"/>
      <w:lang w:val="fr-FR" w:eastAsia="fr-FR"/>
    </w:rPr>
  </w:style>
  <w:style w:type="character" w:customStyle="1" w:styleId="69">
    <w:name w:val="NormalCharacter"/>
    <w:semiHidden/>
    <w:qFormat/>
    <w:uiPriority w:val="0"/>
  </w:style>
  <w:style w:type="character" w:customStyle="1" w:styleId="70">
    <w:name w:val="批注文字 Char"/>
    <w:basedOn w:val="27"/>
    <w:link w:val="11"/>
    <w:qFormat/>
    <w:uiPriority w:val="0"/>
    <w:rPr>
      <w:rFonts w:ascii="Calibri" w:hAnsi="Calibri" w:eastAsia="宋体" w:cs="Calibri"/>
      <w:kern w:val="2"/>
      <w:sz w:val="21"/>
      <w:szCs w:val="21"/>
    </w:rPr>
  </w:style>
  <w:style w:type="character" w:customStyle="1" w:styleId="71">
    <w:name w:val="批注主题 Char"/>
    <w:basedOn w:val="70"/>
    <w:link w:val="20"/>
    <w:semiHidden/>
    <w:qFormat/>
    <w:uiPriority w:val="0"/>
    <w:rPr>
      <w:rFonts w:ascii="Calibri" w:hAnsi="Calibri" w:eastAsia="宋体" w:cs="Calibri"/>
      <w:b/>
      <w:bCs/>
      <w:kern w:val="2"/>
      <w:sz w:val="21"/>
      <w:szCs w:val="21"/>
    </w:rPr>
  </w:style>
  <w:style w:type="paragraph" w:customStyle="1" w:styleId="72">
    <w:name w:val="_Style 67"/>
    <w:basedOn w:val="1"/>
    <w:next w:val="1"/>
    <w:qFormat/>
    <w:uiPriority w:val="34"/>
    <w:pPr>
      <w:widowControl/>
      <w:spacing w:line="360" w:lineRule="auto"/>
      <w:ind w:firstLine="420" w:firstLineChars="200"/>
      <w:jc w:val="left"/>
    </w:pPr>
    <w:rPr>
      <w:rFonts w:eastAsia="微软雅黑" w:cs="Times New Roman"/>
      <w:sz w:val="24"/>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351D-6625-494E-A289-7C9492517BBD}">
  <ds:schemaRefs/>
</ds:datastoreItem>
</file>

<file path=docProps/app.xml><?xml version="1.0" encoding="utf-8"?>
<Properties xmlns="http://schemas.openxmlformats.org/officeDocument/2006/extended-properties" xmlns:vt="http://schemas.openxmlformats.org/officeDocument/2006/docPropsVTypes">
  <Template>Normal</Template>
  <Pages>4</Pages>
  <Words>1933</Words>
  <Characters>4646</Characters>
  <Lines>36</Lines>
  <Paragraphs>10</Paragraphs>
  <TotalTime>6</TotalTime>
  <ScaleCrop>false</ScaleCrop>
  <LinksUpToDate>false</LinksUpToDate>
  <CharactersWithSpaces>4896</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2025-06-10T11:33:00Z</dcterms:created>
  <dc:creator>Zhao, Rose (Shanghai)</dc:creator>
  <lastModifiedBy>菠萝啵啵</lastModifiedBy>
  <dcterms:modified xsi:type="dcterms:W3CDTF">2025-06-13T04:49:13Z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577A49B610EE4A339C9DD3F845A28929_13</vt:lpwstr>
  </property>
</Properties>
</file>