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52FE6">
      <w:pPr>
        <w:spacing w:line="440" w:lineRule="exact"/>
        <w:jc w:val="center"/>
        <w:rPr>
          <w:rStyle w:val="8"/>
          <w:rFonts w:eastAsia="方正小标宋简体"/>
          <w:color w:val="000000"/>
          <w:sz w:val="32"/>
          <w:szCs w:val="32"/>
        </w:rPr>
      </w:pPr>
      <w:r>
        <w:rPr>
          <w:rFonts w:hint="eastAsia" w:ascii="方正小标宋简体" w:eastAsia="方正小标宋简体" w:cs="方正仿宋简体"/>
          <w:color w:val="000000"/>
          <w:sz w:val="32"/>
          <w:szCs w:val="32"/>
        </w:rPr>
        <w:t>2025年德清县瓶装液化石油气调压器产品质量监督抽查实施细</w:t>
      </w:r>
      <w:r>
        <w:rPr>
          <w:rFonts w:hint="eastAsia" w:eastAsia="方正小标宋简体" w:cs="方正仿宋简体"/>
          <w:color w:val="000000"/>
          <w:sz w:val="32"/>
          <w:szCs w:val="32"/>
        </w:rPr>
        <w:t>则</w:t>
      </w:r>
    </w:p>
    <w:p w14:paraId="02D095F0">
      <w:pPr>
        <w:snapToGrid w:val="0"/>
        <w:spacing w:line="594" w:lineRule="exact"/>
        <w:jc w:val="center"/>
        <w:rPr>
          <w:rStyle w:val="8"/>
          <w:rFonts w:eastAsia="方正小标宋简体"/>
          <w:color w:val="000000"/>
          <w:sz w:val="32"/>
          <w:szCs w:val="32"/>
        </w:rPr>
      </w:pPr>
    </w:p>
    <w:p w14:paraId="615F5EBD">
      <w:pPr>
        <w:snapToGrid w:val="0"/>
        <w:spacing w:line="440" w:lineRule="exact"/>
        <w:rPr>
          <w:rFonts w:ascii="黑体" w:hAnsi="黑体" w:eastAsia="黑体"/>
          <w:b w:val="0"/>
          <w:bCs/>
          <w:color w:val="000000"/>
          <w:szCs w:val="21"/>
        </w:rPr>
      </w:pPr>
      <w:r>
        <w:rPr>
          <w:rFonts w:hint="eastAsia" w:ascii="黑体" w:hAnsi="黑体" w:eastAsia="黑体"/>
          <w:b w:val="0"/>
          <w:bCs/>
          <w:color w:val="000000"/>
          <w:szCs w:val="21"/>
        </w:rPr>
        <w:t>一、</w:t>
      </w:r>
      <w:r>
        <w:rPr>
          <w:rFonts w:ascii="黑体" w:hAnsi="黑体" w:eastAsia="黑体"/>
          <w:b w:val="0"/>
          <w:bCs/>
          <w:color w:val="000000"/>
          <w:szCs w:val="21"/>
        </w:rPr>
        <w:t>抽样方法</w:t>
      </w:r>
    </w:p>
    <w:p w14:paraId="4107E98C">
      <w:pPr>
        <w:adjustRightInd w:val="0"/>
        <w:snapToGrid w:val="0"/>
        <w:spacing w:line="360" w:lineRule="auto"/>
        <w:ind w:firstLine="420" w:firstLineChars="200"/>
        <w:rPr>
          <w:szCs w:val="21"/>
        </w:rPr>
      </w:pPr>
      <w:r>
        <w:rPr>
          <w:rFonts w:hint="eastAsia"/>
          <w:szCs w:val="21"/>
        </w:rPr>
        <w:t>以随机抽样的方式在被抽样生产者、销售者的待销产品中抽取。</w:t>
      </w:r>
    </w:p>
    <w:p w14:paraId="59B085DD">
      <w:pPr>
        <w:adjustRightInd w:val="0"/>
        <w:snapToGrid w:val="0"/>
        <w:spacing w:line="360" w:lineRule="auto"/>
        <w:ind w:firstLine="420" w:firstLineChars="200"/>
        <w:outlineLvl w:val="1"/>
        <w:rPr>
          <w:szCs w:val="21"/>
        </w:rPr>
      </w:pPr>
      <w:r>
        <w:rPr>
          <w:rFonts w:hint="eastAsia"/>
          <w:szCs w:val="21"/>
        </w:rPr>
        <w:t>随机数一般可使用随机数表等方法产生。</w:t>
      </w:r>
    </w:p>
    <w:p w14:paraId="3A2E58BC">
      <w:pPr>
        <w:snapToGrid w:val="0"/>
        <w:spacing w:line="440" w:lineRule="exact"/>
        <w:ind w:firstLine="420"/>
        <w:rPr>
          <w:rStyle w:val="8"/>
          <w:szCs w:val="21"/>
        </w:rPr>
      </w:pPr>
      <w:r>
        <w:rPr>
          <w:rFonts w:hint="eastAsia" w:ascii="宋体" w:hAnsi="宋体"/>
          <w:szCs w:val="21"/>
        </w:rPr>
        <w:t>抽取同一生产者、同一标准生产的同一商标、同一规格型号的产品2只，其中1只为检验样品，</w:t>
      </w:r>
      <w:r>
        <w:rPr>
          <w:rFonts w:hint="eastAsia" w:ascii="宋体" w:hAnsi="宋体"/>
          <w:color w:val="000000"/>
          <w:szCs w:val="21"/>
        </w:rPr>
        <w:t>1</w:t>
      </w:r>
      <w:r>
        <w:rPr>
          <w:rFonts w:hint="eastAsia" w:ascii="宋体" w:hAnsi="宋体"/>
          <w:szCs w:val="21"/>
        </w:rPr>
        <w:t>只</w:t>
      </w:r>
      <w:r>
        <w:rPr>
          <w:rFonts w:hint="eastAsia" w:ascii="宋体" w:hAnsi="宋体"/>
          <w:color w:val="000000"/>
          <w:szCs w:val="21"/>
        </w:rPr>
        <w:t>为备用样品。</w:t>
      </w:r>
    </w:p>
    <w:p w14:paraId="14216AB3">
      <w:pPr>
        <w:snapToGrid w:val="0"/>
        <w:spacing w:line="440" w:lineRule="exact"/>
        <w:rPr>
          <w:rFonts w:ascii="黑体" w:hAnsi="黑体" w:eastAsia="黑体"/>
          <w:b w:val="0"/>
          <w:bCs/>
          <w:color w:val="000000"/>
          <w:szCs w:val="21"/>
        </w:rPr>
      </w:pPr>
      <w:r>
        <w:rPr>
          <w:rFonts w:hint="eastAsia" w:ascii="黑体" w:hAnsi="黑体" w:eastAsia="黑体"/>
          <w:b w:val="0"/>
          <w:bCs/>
          <w:color w:val="000000"/>
          <w:szCs w:val="21"/>
        </w:rPr>
        <w:t>二、</w:t>
      </w:r>
      <w:r>
        <w:rPr>
          <w:rFonts w:ascii="黑体" w:hAnsi="黑体" w:eastAsia="黑体"/>
          <w:b w:val="0"/>
          <w:bCs/>
          <w:color w:val="000000"/>
          <w:szCs w:val="21"/>
        </w:rPr>
        <w:t>检验依据</w:t>
      </w:r>
    </w:p>
    <w:p w14:paraId="7ACAADF7">
      <w:pPr>
        <w:pStyle w:val="2"/>
        <w:adjustRightInd w:val="0"/>
        <w:snapToGrid w:val="0"/>
        <w:spacing w:line="264" w:lineRule="auto"/>
        <w:jc w:val="center"/>
        <w:rPr>
          <w:rFonts w:hAnsi="宋体"/>
        </w:rPr>
      </w:pPr>
      <w:r>
        <w:rPr>
          <w:rFonts w:hint="eastAsia" w:hAnsi="宋体"/>
        </w:rPr>
        <w:t>表1</w:t>
      </w:r>
      <w:r>
        <w:rPr>
          <w:rFonts w:hint="eastAsia"/>
        </w:rPr>
        <w:t>瓶装液化石油气调压器</w:t>
      </w:r>
    </w:p>
    <w:tbl>
      <w:tblPr>
        <w:tblStyle w:val="5"/>
        <w:tblW w:w="5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92"/>
        <w:gridCol w:w="1840"/>
        <w:gridCol w:w="2409"/>
      </w:tblGrid>
      <w:tr w14:paraId="1B11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496" w:type="dxa"/>
            <w:tcBorders>
              <w:top w:val="single" w:color="auto" w:sz="4" w:space="0"/>
              <w:left w:val="single" w:color="auto" w:sz="4" w:space="0"/>
              <w:bottom w:val="single" w:color="auto" w:sz="4" w:space="0"/>
              <w:right w:val="single" w:color="auto" w:sz="4" w:space="0"/>
            </w:tcBorders>
            <w:vAlign w:val="center"/>
          </w:tcPr>
          <w:p w14:paraId="35933D98">
            <w:pPr>
              <w:adjustRightInd w:val="0"/>
              <w:snapToGrid w:val="0"/>
              <w:jc w:val="center"/>
              <w:rPr>
                <w:rFonts w:ascii="宋体" w:hAnsi="宋体"/>
                <w:szCs w:val="21"/>
              </w:rPr>
            </w:pPr>
            <w:r>
              <w:rPr>
                <w:rFonts w:hint="eastAsia" w:ascii="宋体" w:hAnsi="宋体"/>
                <w:szCs w:val="21"/>
              </w:rPr>
              <w:t>序号</w:t>
            </w:r>
          </w:p>
        </w:tc>
        <w:tc>
          <w:tcPr>
            <w:tcW w:w="2832" w:type="dxa"/>
            <w:gridSpan w:val="2"/>
            <w:tcBorders>
              <w:top w:val="single" w:color="auto" w:sz="4" w:space="0"/>
              <w:left w:val="single" w:color="auto" w:sz="4" w:space="0"/>
              <w:bottom w:val="single" w:color="auto" w:sz="4" w:space="0"/>
              <w:right w:val="single" w:color="auto" w:sz="4" w:space="0"/>
            </w:tcBorders>
            <w:vAlign w:val="center"/>
          </w:tcPr>
          <w:p w14:paraId="33E2A7D8">
            <w:pPr>
              <w:adjustRightInd w:val="0"/>
              <w:snapToGrid w:val="0"/>
              <w:jc w:val="center"/>
              <w:rPr>
                <w:rFonts w:ascii="宋体" w:hAnsi="宋体"/>
                <w:szCs w:val="21"/>
              </w:rPr>
            </w:pPr>
            <w:r>
              <w:rPr>
                <w:rFonts w:hint="eastAsia" w:ascii="宋体" w:hAnsi="宋体"/>
                <w:szCs w:val="21"/>
              </w:rPr>
              <w:t>检验项目</w:t>
            </w:r>
          </w:p>
        </w:tc>
        <w:tc>
          <w:tcPr>
            <w:tcW w:w="2409" w:type="dxa"/>
            <w:tcBorders>
              <w:top w:val="single" w:color="auto" w:sz="4" w:space="0"/>
              <w:left w:val="single" w:color="auto" w:sz="4" w:space="0"/>
              <w:bottom w:val="single" w:color="auto" w:sz="4" w:space="0"/>
              <w:right w:val="single" w:color="auto" w:sz="4" w:space="0"/>
            </w:tcBorders>
            <w:vAlign w:val="center"/>
          </w:tcPr>
          <w:p w14:paraId="1B33857D">
            <w:pPr>
              <w:adjustRightInd w:val="0"/>
              <w:snapToGrid w:val="0"/>
              <w:jc w:val="center"/>
              <w:rPr>
                <w:rFonts w:ascii="宋体" w:hAnsi="宋体"/>
                <w:szCs w:val="21"/>
              </w:rPr>
            </w:pPr>
            <w:r>
              <w:rPr>
                <w:rFonts w:hint="eastAsia" w:ascii="宋体" w:hAnsi="宋体"/>
                <w:szCs w:val="21"/>
              </w:rPr>
              <w:t>标准条款</w:t>
            </w:r>
          </w:p>
        </w:tc>
      </w:tr>
      <w:tr w14:paraId="270B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14:paraId="14C91D50">
            <w:pPr>
              <w:adjustRightInd w:val="0"/>
              <w:snapToGrid w:val="0"/>
              <w:jc w:val="center"/>
              <w:rPr>
                <w:rFonts w:ascii="宋体" w:hAnsi="宋体"/>
                <w:szCs w:val="21"/>
              </w:rPr>
            </w:pPr>
            <w:r>
              <w:rPr>
                <w:rFonts w:hint="eastAsia" w:ascii="宋体" w:hAnsi="宋体"/>
                <w:szCs w:val="21"/>
              </w:rPr>
              <w:t>1</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5BB9AE5A">
            <w:pPr>
              <w:adjustRightInd w:val="0"/>
              <w:snapToGrid w:val="0"/>
              <w:jc w:val="center"/>
              <w:rPr>
                <w:rFonts w:ascii="宋体" w:hAnsi="宋体"/>
                <w:szCs w:val="21"/>
              </w:rPr>
            </w:pPr>
            <w:r>
              <w:rPr>
                <w:rFonts w:hint="eastAsia"/>
                <w:szCs w:val="21"/>
              </w:rPr>
              <w:t>标志、警示和使用说明书</w:t>
            </w:r>
          </w:p>
        </w:tc>
        <w:tc>
          <w:tcPr>
            <w:tcW w:w="1840" w:type="dxa"/>
            <w:tcBorders>
              <w:top w:val="single" w:color="auto" w:sz="4" w:space="0"/>
              <w:left w:val="single" w:color="auto" w:sz="4" w:space="0"/>
              <w:bottom w:val="single" w:color="auto" w:sz="4" w:space="0"/>
              <w:right w:val="single" w:color="auto" w:sz="4" w:space="0"/>
            </w:tcBorders>
            <w:vAlign w:val="center"/>
          </w:tcPr>
          <w:p w14:paraId="50970F15">
            <w:pPr>
              <w:adjustRightInd w:val="0"/>
              <w:snapToGrid w:val="0"/>
              <w:jc w:val="left"/>
              <w:rPr>
                <w:rFonts w:ascii="宋体" w:hAnsi="宋体"/>
                <w:szCs w:val="21"/>
              </w:rPr>
            </w:pPr>
            <w:r>
              <w:rPr>
                <w:rFonts w:hint="eastAsia"/>
                <w:szCs w:val="21"/>
              </w:rPr>
              <w:t>标志</w:t>
            </w:r>
          </w:p>
        </w:tc>
        <w:tc>
          <w:tcPr>
            <w:tcW w:w="2409" w:type="dxa"/>
            <w:tcBorders>
              <w:top w:val="single" w:color="auto" w:sz="4" w:space="0"/>
              <w:left w:val="single" w:color="auto" w:sz="4" w:space="0"/>
              <w:bottom w:val="single" w:color="auto" w:sz="4" w:space="0"/>
              <w:right w:val="single" w:color="auto" w:sz="4" w:space="0"/>
            </w:tcBorders>
            <w:vAlign w:val="center"/>
          </w:tcPr>
          <w:p w14:paraId="19A981C9">
            <w:pPr>
              <w:adjustRightInd w:val="0"/>
              <w:snapToGrid w:val="0"/>
              <w:rPr>
                <w:rFonts w:ascii="宋体" w:hAnsi="宋体"/>
                <w:szCs w:val="21"/>
              </w:rPr>
            </w:pPr>
            <w:r>
              <w:rPr>
                <w:rFonts w:hint="eastAsia" w:ascii="宋体" w:hAnsi="宋体"/>
                <w:szCs w:val="21"/>
              </w:rPr>
              <w:t xml:space="preserve">GB 35844-2018 </w:t>
            </w:r>
          </w:p>
        </w:tc>
      </w:tr>
      <w:tr w14:paraId="16FE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6" w:type="dxa"/>
            <w:vMerge w:val="continue"/>
            <w:tcBorders>
              <w:top w:val="single" w:color="auto" w:sz="4" w:space="0"/>
              <w:left w:val="single" w:color="auto" w:sz="4" w:space="0"/>
              <w:bottom w:val="single" w:color="auto" w:sz="4" w:space="0"/>
              <w:right w:val="single" w:color="auto" w:sz="4" w:space="0"/>
            </w:tcBorders>
            <w:vAlign w:val="center"/>
          </w:tcPr>
          <w:p w14:paraId="602A454D">
            <w:pPr>
              <w:jc w:val="left"/>
              <w:rPr>
                <w:rFonts w:ascii="宋体" w:hAnsi="宋体"/>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17C19855">
            <w:pPr>
              <w:jc w:val="left"/>
              <w:rPr>
                <w:rFonts w:ascii="宋体" w:hAnsi="宋体"/>
                <w:szCs w:val="21"/>
              </w:rPr>
            </w:pPr>
          </w:p>
        </w:tc>
        <w:tc>
          <w:tcPr>
            <w:tcW w:w="1840" w:type="dxa"/>
            <w:tcBorders>
              <w:top w:val="single" w:color="auto" w:sz="4" w:space="0"/>
              <w:left w:val="single" w:color="auto" w:sz="4" w:space="0"/>
              <w:bottom w:val="single" w:color="auto" w:sz="4" w:space="0"/>
              <w:right w:val="single" w:color="auto" w:sz="4" w:space="0"/>
            </w:tcBorders>
            <w:vAlign w:val="center"/>
          </w:tcPr>
          <w:p w14:paraId="250E8208">
            <w:pPr>
              <w:adjustRightInd w:val="0"/>
              <w:snapToGrid w:val="0"/>
              <w:jc w:val="left"/>
              <w:rPr>
                <w:rFonts w:ascii="宋体" w:hAnsi="宋体"/>
                <w:szCs w:val="21"/>
              </w:rPr>
            </w:pPr>
            <w:r>
              <w:rPr>
                <w:rFonts w:hint="eastAsia"/>
                <w:szCs w:val="21"/>
              </w:rPr>
              <w:t>警示</w:t>
            </w:r>
          </w:p>
        </w:tc>
        <w:tc>
          <w:tcPr>
            <w:tcW w:w="2409" w:type="dxa"/>
            <w:tcBorders>
              <w:top w:val="single" w:color="auto" w:sz="4" w:space="0"/>
              <w:left w:val="single" w:color="auto" w:sz="4" w:space="0"/>
              <w:bottom w:val="single" w:color="auto" w:sz="4" w:space="0"/>
              <w:right w:val="single" w:color="auto" w:sz="4" w:space="0"/>
            </w:tcBorders>
            <w:vAlign w:val="center"/>
          </w:tcPr>
          <w:p w14:paraId="3FFB8C4C">
            <w:pPr>
              <w:adjustRightInd w:val="0"/>
              <w:snapToGrid w:val="0"/>
              <w:rPr>
                <w:rFonts w:ascii="宋体" w:hAnsi="宋体"/>
                <w:szCs w:val="21"/>
              </w:rPr>
            </w:pPr>
            <w:r>
              <w:rPr>
                <w:rFonts w:hint="eastAsia" w:ascii="宋体" w:hAnsi="宋体"/>
                <w:szCs w:val="21"/>
              </w:rPr>
              <w:t xml:space="preserve">GB 35844-2018 </w:t>
            </w:r>
          </w:p>
        </w:tc>
      </w:tr>
      <w:tr w14:paraId="15F4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6" w:type="dxa"/>
            <w:vMerge w:val="continue"/>
            <w:tcBorders>
              <w:top w:val="single" w:color="auto" w:sz="4" w:space="0"/>
              <w:left w:val="single" w:color="auto" w:sz="4" w:space="0"/>
              <w:bottom w:val="single" w:color="auto" w:sz="4" w:space="0"/>
              <w:right w:val="single" w:color="auto" w:sz="4" w:space="0"/>
            </w:tcBorders>
            <w:vAlign w:val="center"/>
          </w:tcPr>
          <w:p w14:paraId="7FF854D9">
            <w:pPr>
              <w:jc w:val="left"/>
              <w:rPr>
                <w:rFonts w:ascii="宋体" w:hAnsi="宋体"/>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31993286">
            <w:pPr>
              <w:jc w:val="left"/>
              <w:rPr>
                <w:rFonts w:ascii="宋体" w:hAnsi="宋体"/>
                <w:szCs w:val="21"/>
              </w:rPr>
            </w:pPr>
          </w:p>
        </w:tc>
        <w:tc>
          <w:tcPr>
            <w:tcW w:w="1840" w:type="dxa"/>
            <w:tcBorders>
              <w:top w:val="single" w:color="auto" w:sz="4" w:space="0"/>
              <w:left w:val="single" w:color="auto" w:sz="4" w:space="0"/>
              <w:bottom w:val="single" w:color="auto" w:sz="4" w:space="0"/>
              <w:right w:val="single" w:color="auto" w:sz="4" w:space="0"/>
            </w:tcBorders>
            <w:vAlign w:val="center"/>
          </w:tcPr>
          <w:p w14:paraId="6D83C7E5">
            <w:pPr>
              <w:adjustRightInd w:val="0"/>
              <w:snapToGrid w:val="0"/>
              <w:jc w:val="left"/>
              <w:rPr>
                <w:szCs w:val="21"/>
              </w:rPr>
            </w:pPr>
            <w:r>
              <w:rPr>
                <w:rFonts w:hint="eastAsia"/>
                <w:szCs w:val="21"/>
              </w:rPr>
              <w:t>使用说明书</w:t>
            </w:r>
          </w:p>
        </w:tc>
        <w:tc>
          <w:tcPr>
            <w:tcW w:w="2409" w:type="dxa"/>
            <w:tcBorders>
              <w:top w:val="single" w:color="auto" w:sz="4" w:space="0"/>
              <w:left w:val="single" w:color="auto" w:sz="4" w:space="0"/>
              <w:bottom w:val="single" w:color="auto" w:sz="4" w:space="0"/>
              <w:right w:val="single" w:color="auto" w:sz="4" w:space="0"/>
            </w:tcBorders>
            <w:vAlign w:val="center"/>
          </w:tcPr>
          <w:p w14:paraId="43DD3291">
            <w:pPr>
              <w:adjustRightInd w:val="0"/>
              <w:snapToGrid w:val="0"/>
              <w:rPr>
                <w:rFonts w:ascii="宋体" w:hAnsi="宋体"/>
                <w:szCs w:val="21"/>
              </w:rPr>
            </w:pPr>
            <w:r>
              <w:rPr>
                <w:rFonts w:hint="eastAsia" w:ascii="宋体" w:hAnsi="宋体"/>
                <w:szCs w:val="21"/>
              </w:rPr>
              <w:t xml:space="preserve">GB 35844-2018 </w:t>
            </w:r>
          </w:p>
        </w:tc>
      </w:tr>
      <w:tr w14:paraId="1AC8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36FC2A28">
            <w:pPr>
              <w:adjustRightInd w:val="0"/>
              <w:snapToGrid w:val="0"/>
              <w:jc w:val="center"/>
              <w:rPr>
                <w:rFonts w:ascii="宋体" w:hAnsi="宋体"/>
                <w:szCs w:val="21"/>
              </w:rPr>
            </w:pPr>
            <w:r>
              <w:rPr>
                <w:rFonts w:ascii="宋体" w:hAnsi="宋体"/>
                <w:szCs w:val="21"/>
              </w:rPr>
              <w:t>2</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1F8BC7FB">
            <w:pPr>
              <w:adjustRightInd w:val="0"/>
              <w:snapToGrid w:val="0"/>
              <w:jc w:val="center"/>
              <w:rPr>
                <w:rFonts w:ascii="宋体" w:hAnsi="宋体"/>
                <w:szCs w:val="21"/>
              </w:rPr>
            </w:pPr>
            <w:r>
              <w:rPr>
                <w:rFonts w:hint="eastAsia" w:ascii="宋体" w:hAnsi="宋体"/>
                <w:szCs w:val="21"/>
              </w:rPr>
              <w:t>结构</w:t>
            </w:r>
          </w:p>
        </w:tc>
        <w:tc>
          <w:tcPr>
            <w:tcW w:w="1840" w:type="dxa"/>
            <w:tcBorders>
              <w:top w:val="single" w:color="auto" w:sz="4" w:space="0"/>
              <w:left w:val="single" w:color="auto" w:sz="4" w:space="0"/>
              <w:bottom w:val="single" w:color="auto" w:sz="4" w:space="0"/>
              <w:right w:val="single" w:color="auto" w:sz="4" w:space="0"/>
            </w:tcBorders>
            <w:vAlign w:val="center"/>
          </w:tcPr>
          <w:p w14:paraId="77626AE4">
            <w:pPr>
              <w:adjustRightInd w:val="0"/>
              <w:snapToGrid w:val="0"/>
              <w:jc w:val="left"/>
              <w:rPr>
                <w:rFonts w:ascii="宋体" w:hAnsi="宋体"/>
                <w:szCs w:val="21"/>
              </w:rPr>
            </w:pPr>
            <w:r>
              <w:rPr>
                <w:rFonts w:hint="eastAsia" w:ascii="宋体" w:hAnsi="宋体"/>
                <w:szCs w:val="21"/>
              </w:rPr>
              <w:t>一般要求</w:t>
            </w:r>
          </w:p>
        </w:tc>
        <w:tc>
          <w:tcPr>
            <w:tcW w:w="2409" w:type="dxa"/>
            <w:tcBorders>
              <w:top w:val="single" w:color="auto" w:sz="4" w:space="0"/>
              <w:left w:val="single" w:color="auto" w:sz="4" w:space="0"/>
              <w:bottom w:val="single" w:color="auto" w:sz="4" w:space="0"/>
              <w:right w:val="single" w:color="auto" w:sz="4" w:space="0"/>
            </w:tcBorders>
            <w:vAlign w:val="center"/>
          </w:tcPr>
          <w:p w14:paraId="233DA394">
            <w:pPr>
              <w:rPr>
                <w:rFonts w:ascii="宋体" w:hAnsi="宋体"/>
                <w:szCs w:val="21"/>
              </w:rPr>
            </w:pPr>
            <w:r>
              <w:rPr>
                <w:rFonts w:hint="eastAsia" w:ascii="宋体" w:hAnsi="宋体"/>
                <w:szCs w:val="21"/>
              </w:rPr>
              <w:t xml:space="preserve">GB 35844-2018 </w:t>
            </w:r>
          </w:p>
        </w:tc>
      </w:tr>
      <w:tr w14:paraId="47DF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5B95A765">
            <w:pPr>
              <w:adjustRightInd w:val="0"/>
              <w:snapToGrid w:val="0"/>
              <w:jc w:val="center"/>
              <w:rPr>
                <w:rFonts w:ascii="宋体" w:hAnsi="宋体"/>
                <w:szCs w:val="21"/>
              </w:rPr>
            </w:pPr>
            <w:r>
              <w:rPr>
                <w:rFonts w:ascii="宋体" w:hAnsi="宋体"/>
                <w:szCs w:val="21"/>
              </w:rPr>
              <w:t>3</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3F057B12">
            <w:pPr>
              <w:jc w:val="left"/>
              <w:rPr>
                <w:rFonts w:ascii="宋体" w:hAnsi="宋体"/>
                <w:szCs w:val="21"/>
              </w:rPr>
            </w:pPr>
          </w:p>
        </w:tc>
        <w:tc>
          <w:tcPr>
            <w:tcW w:w="1840" w:type="dxa"/>
            <w:tcBorders>
              <w:top w:val="single" w:color="auto" w:sz="4" w:space="0"/>
              <w:left w:val="single" w:color="auto" w:sz="4" w:space="0"/>
              <w:bottom w:val="single" w:color="auto" w:sz="4" w:space="0"/>
              <w:right w:val="single" w:color="auto" w:sz="4" w:space="0"/>
            </w:tcBorders>
            <w:vAlign w:val="center"/>
          </w:tcPr>
          <w:p w14:paraId="0532FF89">
            <w:pPr>
              <w:pStyle w:val="2"/>
              <w:adjustRightInd w:val="0"/>
              <w:snapToGrid w:val="0"/>
              <w:jc w:val="left"/>
              <w:rPr>
                <w:rFonts w:hAnsi="宋体"/>
              </w:rPr>
            </w:pPr>
            <w:r>
              <w:rPr>
                <w:rFonts w:hint="eastAsia" w:hAnsi="宋体"/>
              </w:rPr>
              <w:t>感压组件</w:t>
            </w:r>
          </w:p>
        </w:tc>
        <w:tc>
          <w:tcPr>
            <w:tcW w:w="2409" w:type="dxa"/>
            <w:tcBorders>
              <w:top w:val="single" w:color="auto" w:sz="4" w:space="0"/>
              <w:left w:val="single" w:color="auto" w:sz="4" w:space="0"/>
              <w:bottom w:val="single" w:color="auto" w:sz="4" w:space="0"/>
              <w:right w:val="single" w:color="auto" w:sz="4" w:space="0"/>
            </w:tcBorders>
            <w:vAlign w:val="center"/>
          </w:tcPr>
          <w:p w14:paraId="7F6415E1">
            <w:pPr>
              <w:rPr>
                <w:rFonts w:ascii="宋体" w:hAnsi="宋体"/>
                <w:szCs w:val="21"/>
              </w:rPr>
            </w:pPr>
            <w:r>
              <w:rPr>
                <w:rFonts w:hint="eastAsia" w:ascii="宋体" w:hAnsi="宋体"/>
                <w:szCs w:val="21"/>
              </w:rPr>
              <w:t xml:space="preserve">GB 35844-2018 </w:t>
            </w:r>
          </w:p>
        </w:tc>
      </w:tr>
      <w:tr w14:paraId="4DA4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0BA6DB1C">
            <w:pPr>
              <w:adjustRightInd w:val="0"/>
              <w:snapToGrid w:val="0"/>
              <w:jc w:val="center"/>
              <w:rPr>
                <w:rFonts w:ascii="宋体" w:hAnsi="宋体"/>
                <w:szCs w:val="21"/>
              </w:rPr>
            </w:pPr>
            <w:r>
              <w:rPr>
                <w:rFonts w:ascii="宋体" w:hAnsi="宋体"/>
                <w:szCs w:val="21"/>
              </w:rPr>
              <w:t>4</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7C6BA05C">
            <w:pPr>
              <w:jc w:val="left"/>
              <w:rPr>
                <w:rFonts w:ascii="宋体" w:hAnsi="宋体"/>
                <w:szCs w:val="21"/>
              </w:rPr>
            </w:pPr>
          </w:p>
        </w:tc>
        <w:tc>
          <w:tcPr>
            <w:tcW w:w="1840" w:type="dxa"/>
            <w:tcBorders>
              <w:top w:val="single" w:color="auto" w:sz="4" w:space="0"/>
              <w:left w:val="single" w:color="auto" w:sz="4" w:space="0"/>
              <w:bottom w:val="single" w:color="auto" w:sz="4" w:space="0"/>
              <w:right w:val="single" w:color="auto" w:sz="4" w:space="0"/>
            </w:tcBorders>
            <w:vAlign w:val="center"/>
          </w:tcPr>
          <w:p w14:paraId="05C3AFFE">
            <w:pPr>
              <w:pStyle w:val="2"/>
              <w:adjustRightInd w:val="0"/>
              <w:snapToGrid w:val="0"/>
              <w:jc w:val="left"/>
              <w:rPr>
                <w:rFonts w:hAnsi="宋体"/>
              </w:rPr>
            </w:pPr>
            <w:r>
              <w:rPr>
                <w:rFonts w:hint="eastAsia" w:hAnsi="宋体"/>
              </w:rPr>
              <w:t>调压组件</w:t>
            </w:r>
          </w:p>
        </w:tc>
        <w:tc>
          <w:tcPr>
            <w:tcW w:w="2409" w:type="dxa"/>
            <w:tcBorders>
              <w:top w:val="single" w:color="auto" w:sz="4" w:space="0"/>
              <w:left w:val="single" w:color="auto" w:sz="4" w:space="0"/>
              <w:bottom w:val="single" w:color="auto" w:sz="4" w:space="0"/>
              <w:right w:val="single" w:color="auto" w:sz="4" w:space="0"/>
            </w:tcBorders>
            <w:vAlign w:val="center"/>
          </w:tcPr>
          <w:p w14:paraId="0F7DB4F8">
            <w:pPr>
              <w:rPr>
                <w:rFonts w:ascii="宋体" w:hAnsi="宋体"/>
                <w:szCs w:val="21"/>
              </w:rPr>
            </w:pPr>
            <w:r>
              <w:rPr>
                <w:rFonts w:hint="eastAsia" w:ascii="宋体" w:hAnsi="宋体"/>
                <w:szCs w:val="21"/>
              </w:rPr>
              <w:t xml:space="preserve">GB 35844-2018 </w:t>
            </w:r>
          </w:p>
        </w:tc>
      </w:tr>
      <w:tr w14:paraId="5BEB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2648D574">
            <w:pPr>
              <w:adjustRightInd w:val="0"/>
              <w:snapToGrid w:val="0"/>
              <w:jc w:val="center"/>
              <w:rPr>
                <w:rFonts w:ascii="宋体" w:hAnsi="宋体"/>
                <w:szCs w:val="21"/>
              </w:rPr>
            </w:pPr>
            <w:r>
              <w:rPr>
                <w:rFonts w:ascii="宋体" w:hAnsi="宋体"/>
                <w:szCs w:val="21"/>
              </w:rPr>
              <w:t>5</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0BDC69F3">
            <w:pPr>
              <w:jc w:val="left"/>
              <w:rPr>
                <w:rFonts w:ascii="宋体" w:hAnsi="宋体"/>
                <w:szCs w:val="21"/>
              </w:rPr>
            </w:pPr>
          </w:p>
        </w:tc>
        <w:tc>
          <w:tcPr>
            <w:tcW w:w="1840" w:type="dxa"/>
            <w:tcBorders>
              <w:top w:val="single" w:color="auto" w:sz="4" w:space="0"/>
              <w:left w:val="single" w:color="auto" w:sz="4" w:space="0"/>
              <w:bottom w:val="single" w:color="auto" w:sz="4" w:space="0"/>
              <w:right w:val="single" w:color="auto" w:sz="4" w:space="0"/>
            </w:tcBorders>
            <w:vAlign w:val="center"/>
          </w:tcPr>
          <w:p w14:paraId="33127AAB">
            <w:pPr>
              <w:pStyle w:val="2"/>
              <w:adjustRightInd w:val="0"/>
              <w:snapToGrid w:val="0"/>
              <w:jc w:val="left"/>
              <w:rPr>
                <w:rFonts w:hAnsi="宋体"/>
              </w:rPr>
            </w:pPr>
            <w:r>
              <w:rPr>
                <w:rFonts w:hint="eastAsia" w:hAnsi="宋体"/>
              </w:rPr>
              <w:t>承压组件</w:t>
            </w:r>
          </w:p>
        </w:tc>
        <w:tc>
          <w:tcPr>
            <w:tcW w:w="2409" w:type="dxa"/>
            <w:tcBorders>
              <w:top w:val="single" w:color="auto" w:sz="4" w:space="0"/>
              <w:left w:val="single" w:color="auto" w:sz="4" w:space="0"/>
              <w:bottom w:val="single" w:color="auto" w:sz="4" w:space="0"/>
              <w:right w:val="single" w:color="auto" w:sz="4" w:space="0"/>
            </w:tcBorders>
            <w:vAlign w:val="center"/>
          </w:tcPr>
          <w:p w14:paraId="3B941885">
            <w:pPr>
              <w:rPr>
                <w:rFonts w:ascii="宋体" w:hAnsi="宋体"/>
                <w:szCs w:val="21"/>
              </w:rPr>
            </w:pPr>
            <w:r>
              <w:rPr>
                <w:rFonts w:hint="eastAsia" w:ascii="宋体" w:hAnsi="宋体"/>
                <w:szCs w:val="21"/>
              </w:rPr>
              <w:t xml:space="preserve">GB 35844-2018 </w:t>
            </w:r>
          </w:p>
        </w:tc>
      </w:tr>
      <w:tr w14:paraId="592B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7A4325B9">
            <w:pPr>
              <w:adjustRightInd w:val="0"/>
              <w:snapToGrid w:val="0"/>
              <w:jc w:val="center"/>
              <w:rPr>
                <w:rFonts w:ascii="宋体" w:hAnsi="宋体"/>
                <w:szCs w:val="21"/>
              </w:rPr>
            </w:pPr>
            <w:r>
              <w:rPr>
                <w:rFonts w:ascii="宋体" w:hAnsi="宋体"/>
                <w:szCs w:val="21"/>
              </w:rPr>
              <w:t>6</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3E1CF788">
            <w:pPr>
              <w:jc w:val="left"/>
              <w:rPr>
                <w:rFonts w:ascii="宋体" w:hAnsi="宋体"/>
                <w:szCs w:val="21"/>
              </w:rPr>
            </w:pPr>
          </w:p>
        </w:tc>
        <w:tc>
          <w:tcPr>
            <w:tcW w:w="1840" w:type="dxa"/>
            <w:tcBorders>
              <w:top w:val="single" w:color="auto" w:sz="4" w:space="0"/>
              <w:left w:val="single" w:color="auto" w:sz="4" w:space="0"/>
              <w:bottom w:val="single" w:color="auto" w:sz="4" w:space="0"/>
              <w:right w:val="single" w:color="auto" w:sz="4" w:space="0"/>
            </w:tcBorders>
            <w:vAlign w:val="center"/>
          </w:tcPr>
          <w:p w14:paraId="09415A2B">
            <w:pPr>
              <w:pStyle w:val="2"/>
              <w:adjustRightInd w:val="0"/>
              <w:snapToGrid w:val="0"/>
              <w:jc w:val="left"/>
              <w:rPr>
                <w:rFonts w:hAnsi="宋体"/>
              </w:rPr>
            </w:pPr>
            <w:r>
              <w:rPr>
                <w:rFonts w:hint="eastAsia" w:hAnsi="宋体"/>
              </w:rPr>
              <w:t>接头组件</w:t>
            </w:r>
          </w:p>
        </w:tc>
        <w:tc>
          <w:tcPr>
            <w:tcW w:w="2409" w:type="dxa"/>
            <w:tcBorders>
              <w:top w:val="single" w:color="auto" w:sz="4" w:space="0"/>
              <w:left w:val="single" w:color="auto" w:sz="4" w:space="0"/>
              <w:bottom w:val="single" w:color="auto" w:sz="4" w:space="0"/>
              <w:right w:val="single" w:color="auto" w:sz="4" w:space="0"/>
            </w:tcBorders>
            <w:vAlign w:val="center"/>
          </w:tcPr>
          <w:p w14:paraId="33F0DB0A">
            <w:pPr>
              <w:rPr>
                <w:rFonts w:ascii="宋体" w:hAnsi="宋体"/>
                <w:szCs w:val="21"/>
              </w:rPr>
            </w:pPr>
            <w:r>
              <w:rPr>
                <w:rFonts w:hint="eastAsia" w:ascii="宋体" w:hAnsi="宋体"/>
                <w:szCs w:val="21"/>
              </w:rPr>
              <w:t xml:space="preserve">GB 35844-2018 </w:t>
            </w:r>
          </w:p>
        </w:tc>
      </w:tr>
      <w:tr w14:paraId="173D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14:paraId="0B385CE2">
            <w:pPr>
              <w:adjustRightInd w:val="0"/>
              <w:snapToGrid w:val="0"/>
              <w:jc w:val="center"/>
              <w:rPr>
                <w:rFonts w:ascii="宋体" w:hAnsi="宋体"/>
                <w:szCs w:val="21"/>
              </w:rPr>
            </w:pPr>
            <w:r>
              <w:rPr>
                <w:rFonts w:ascii="宋体" w:hAnsi="宋体"/>
                <w:szCs w:val="21"/>
              </w:rPr>
              <w:t>7</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0CC20FBA">
            <w:pPr>
              <w:pStyle w:val="2"/>
              <w:adjustRightInd w:val="0"/>
              <w:snapToGrid w:val="0"/>
              <w:jc w:val="left"/>
              <w:rPr>
                <w:rFonts w:hAnsi="宋体"/>
              </w:rPr>
            </w:pPr>
            <w:r>
              <w:rPr>
                <w:rFonts w:hint="eastAsia" w:hAnsi="宋体"/>
              </w:rPr>
              <w:t>气密性</w:t>
            </w:r>
          </w:p>
        </w:tc>
        <w:tc>
          <w:tcPr>
            <w:tcW w:w="1840" w:type="dxa"/>
            <w:tcBorders>
              <w:top w:val="single" w:color="auto" w:sz="4" w:space="0"/>
              <w:left w:val="single" w:color="auto" w:sz="4" w:space="0"/>
              <w:bottom w:val="single" w:color="auto" w:sz="4" w:space="0"/>
              <w:right w:val="single" w:color="auto" w:sz="4" w:space="0"/>
            </w:tcBorders>
            <w:vAlign w:val="center"/>
          </w:tcPr>
          <w:p w14:paraId="0563C325">
            <w:pPr>
              <w:pStyle w:val="2"/>
              <w:adjustRightInd w:val="0"/>
              <w:snapToGrid w:val="0"/>
              <w:jc w:val="left"/>
              <w:rPr>
                <w:rFonts w:hAnsi="宋体"/>
              </w:rPr>
            </w:pPr>
            <w:r>
              <w:rPr>
                <w:rFonts w:hint="eastAsia"/>
              </w:rPr>
              <w:t>调压器气密性</w:t>
            </w:r>
          </w:p>
        </w:tc>
        <w:tc>
          <w:tcPr>
            <w:tcW w:w="2409" w:type="dxa"/>
            <w:tcBorders>
              <w:top w:val="single" w:color="auto" w:sz="4" w:space="0"/>
              <w:left w:val="single" w:color="auto" w:sz="4" w:space="0"/>
              <w:bottom w:val="single" w:color="auto" w:sz="4" w:space="0"/>
              <w:right w:val="single" w:color="auto" w:sz="4" w:space="0"/>
            </w:tcBorders>
            <w:vAlign w:val="center"/>
          </w:tcPr>
          <w:p w14:paraId="41840030">
            <w:pPr>
              <w:adjustRightInd w:val="0"/>
              <w:snapToGrid w:val="0"/>
              <w:rPr>
                <w:rFonts w:ascii="宋体" w:hAnsi="宋体"/>
                <w:szCs w:val="21"/>
              </w:rPr>
            </w:pPr>
            <w:r>
              <w:rPr>
                <w:rFonts w:hint="eastAsia" w:ascii="宋体" w:hAnsi="宋体"/>
                <w:szCs w:val="21"/>
              </w:rPr>
              <w:t xml:space="preserve">GB 35844-2018 </w:t>
            </w:r>
          </w:p>
        </w:tc>
      </w:tr>
      <w:tr w14:paraId="4823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96" w:type="dxa"/>
            <w:vMerge w:val="continue"/>
            <w:tcBorders>
              <w:top w:val="single" w:color="auto" w:sz="4" w:space="0"/>
              <w:left w:val="single" w:color="auto" w:sz="4" w:space="0"/>
              <w:bottom w:val="single" w:color="auto" w:sz="4" w:space="0"/>
              <w:right w:val="single" w:color="auto" w:sz="4" w:space="0"/>
            </w:tcBorders>
            <w:vAlign w:val="center"/>
          </w:tcPr>
          <w:p w14:paraId="5A0F4292">
            <w:pPr>
              <w:jc w:val="left"/>
              <w:rPr>
                <w:rFonts w:ascii="宋体" w:hAnsi="宋体"/>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46DE318">
            <w:pPr>
              <w:jc w:val="left"/>
              <w:rPr>
                <w:rFonts w:ascii="宋体" w:hAnsi="宋体" w:cs="Courier New"/>
                <w:szCs w:val="21"/>
              </w:rPr>
            </w:pPr>
          </w:p>
        </w:tc>
        <w:tc>
          <w:tcPr>
            <w:tcW w:w="1840" w:type="dxa"/>
            <w:tcBorders>
              <w:top w:val="single" w:color="auto" w:sz="4" w:space="0"/>
              <w:left w:val="single" w:color="auto" w:sz="4" w:space="0"/>
              <w:bottom w:val="single" w:color="auto" w:sz="4" w:space="0"/>
              <w:right w:val="single" w:color="auto" w:sz="4" w:space="0"/>
            </w:tcBorders>
            <w:vAlign w:val="center"/>
          </w:tcPr>
          <w:p w14:paraId="04404B01">
            <w:pPr>
              <w:pStyle w:val="2"/>
              <w:adjustRightInd w:val="0"/>
              <w:snapToGrid w:val="0"/>
              <w:jc w:val="left"/>
              <w:rPr>
                <w:rFonts w:hAnsi="宋体"/>
              </w:rPr>
            </w:pPr>
            <w:r>
              <w:rPr>
                <w:rFonts w:hint="eastAsia"/>
              </w:rPr>
              <w:t>手动关闭机构气密性</w:t>
            </w:r>
          </w:p>
        </w:tc>
        <w:tc>
          <w:tcPr>
            <w:tcW w:w="2409" w:type="dxa"/>
            <w:tcBorders>
              <w:top w:val="single" w:color="auto" w:sz="4" w:space="0"/>
              <w:left w:val="single" w:color="auto" w:sz="4" w:space="0"/>
              <w:bottom w:val="single" w:color="auto" w:sz="4" w:space="0"/>
              <w:right w:val="single" w:color="auto" w:sz="4" w:space="0"/>
            </w:tcBorders>
            <w:vAlign w:val="center"/>
          </w:tcPr>
          <w:p w14:paraId="7647C84C">
            <w:pPr>
              <w:adjustRightInd w:val="0"/>
              <w:snapToGrid w:val="0"/>
              <w:rPr>
                <w:rFonts w:ascii="宋体" w:hAnsi="宋体"/>
                <w:szCs w:val="21"/>
              </w:rPr>
            </w:pPr>
            <w:r>
              <w:rPr>
                <w:rFonts w:hint="eastAsia" w:ascii="宋体" w:hAnsi="宋体"/>
                <w:szCs w:val="21"/>
              </w:rPr>
              <w:t xml:space="preserve">GB 35844-2018 </w:t>
            </w:r>
          </w:p>
        </w:tc>
      </w:tr>
      <w:tr w14:paraId="326F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1EF3947E">
            <w:pPr>
              <w:adjustRightInd w:val="0"/>
              <w:snapToGrid w:val="0"/>
              <w:jc w:val="center"/>
              <w:rPr>
                <w:rFonts w:ascii="宋体" w:hAnsi="宋体"/>
                <w:szCs w:val="21"/>
              </w:rPr>
            </w:pPr>
            <w:r>
              <w:rPr>
                <w:rFonts w:ascii="宋体" w:hAnsi="宋体"/>
                <w:szCs w:val="21"/>
              </w:rPr>
              <w:t>8</w:t>
            </w:r>
          </w:p>
        </w:tc>
        <w:tc>
          <w:tcPr>
            <w:tcW w:w="2832" w:type="dxa"/>
            <w:gridSpan w:val="2"/>
            <w:tcBorders>
              <w:top w:val="single" w:color="auto" w:sz="4" w:space="0"/>
              <w:left w:val="single" w:color="auto" w:sz="4" w:space="0"/>
              <w:bottom w:val="single" w:color="auto" w:sz="4" w:space="0"/>
              <w:right w:val="single" w:color="auto" w:sz="4" w:space="0"/>
            </w:tcBorders>
            <w:vAlign w:val="center"/>
          </w:tcPr>
          <w:p w14:paraId="0423CEE3">
            <w:pPr>
              <w:pStyle w:val="2"/>
              <w:adjustRightInd w:val="0"/>
              <w:snapToGrid w:val="0"/>
              <w:jc w:val="left"/>
              <w:rPr>
                <w:rFonts w:hAnsi="宋体"/>
              </w:rPr>
            </w:pPr>
            <w:r>
              <w:rPr>
                <w:rFonts w:hint="eastAsia" w:hAnsi="宋体"/>
              </w:rPr>
              <w:t>关闭压力</w:t>
            </w:r>
          </w:p>
        </w:tc>
        <w:tc>
          <w:tcPr>
            <w:tcW w:w="2409" w:type="dxa"/>
            <w:tcBorders>
              <w:top w:val="single" w:color="auto" w:sz="4" w:space="0"/>
              <w:left w:val="single" w:color="auto" w:sz="4" w:space="0"/>
              <w:bottom w:val="single" w:color="auto" w:sz="4" w:space="0"/>
              <w:right w:val="single" w:color="auto" w:sz="4" w:space="0"/>
            </w:tcBorders>
            <w:vAlign w:val="center"/>
          </w:tcPr>
          <w:p w14:paraId="2751D839">
            <w:pPr>
              <w:adjustRightInd w:val="0"/>
              <w:snapToGrid w:val="0"/>
              <w:jc w:val="left"/>
              <w:rPr>
                <w:rFonts w:ascii="宋体" w:hAnsi="宋体"/>
                <w:szCs w:val="21"/>
              </w:rPr>
            </w:pPr>
            <w:r>
              <w:rPr>
                <w:rFonts w:hint="eastAsia" w:ascii="宋体" w:hAnsi="宋体"/>
                <w:szCs w:val="21"/>
              </w:rPr>
              <w:t xml:space="preserve">GB 35844-2018 </w:t>
            </w:r>
          </w:p>
        </w:tc>
      </w:tr>
      <w:tr w14:paraId="6ED5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63FC0F9D">
            <w:pPr>
              <w:jc w:val="center"/>
              <w:rPr>
                <w:rFonts w:ascii="宋体" w:hAnsi="宋体"/>
                <w:szCs w:val="21"/>
              </w:rPr>
            </w:pPr>
            <w:r>
              <w:rPr>
                <w:rFonts w:ascii="宋体" w:hAnsi="宋体"/>
                <w:szCs w:val="21"/>
              </w:rPr>
              <w:t>9</w:t>
            </w:r>
          </w:p>
        </w:tc>
        <w:tc>
          <w:tcPr>
            <w:tcW w:w="2832" w:type="dxa"/>
            <w:gridSpan w:val="2"/>
            <w:tcBorders>
              <w:top w:val="single" w:color="auto" w:sz="4" w:space="0"/>
              <w:left w:val="single" w:color="auto" w:sz="4" w:space="0"/>
              <w:bottom w:val="single" w:color="auto" w:sz="4" w:space="0"/>
              <w:right w:val="single" w:color="auto" w:sz="4" w:space="0"/>
            </w:tcBorders>
            <w:vAlign w:val="center"/>
          </w:tcPr>
          <w:p w14:paraId="4699EE81">
            <w:pPr>
              <w:pStyle w:val="2"/>
              <w:adjustRightInd w:val="0"/>
              <w:snapToGrid w:val="0"/>
              <w:jc w:val="left"/>
              <w:rPr>
                <w:rFonts w:hAnsi="宋体"/>
              </w:rPr>
            </w:pPr>
            <w:r>
              <w:rPr>
                <w:rFonts w:hint="eastAsia" w:hAnsi="宋体"/>
              </w:rPr>
              <w:t>出口压力</w:t>
            </w:r>
          </w:p>
        </w:tc>
        <w:tc>
          <w:tcPr>
            <w:tcW w:w="2409" w:type="dxa"/>
            <w:tcBorders>
              <w:top w:val="single" w:color="auto" w:sz="4" w:space="0"/>
              <w:left w:val="single" w:color="auto" w:sz="4" w:space="0"/>
              <w:bottom w:val="single" w:color="auto" w:sz="4" w:space="0"/>
              <w:right w:val="single" w:color="auto" w:sz="4" w:space="0"/>
            </w:tcBorders>
            <w:vAlign w:val="center"/>
          </w:tcPr>
          <w:p w14:paraId="35A30917">
            <w:pPr>
              <w:adjustRightInd w:val="0"/>
              <w:snapToGrid w:val="0"/>
              <w:jc w:val="left"/>
              <w:rPr>
                <w:rFonts w:ascii="宋体" w:hAnsi="宋体"/>
                <w:szCs w:val="21"/>
              </w:rPr>
            </w:pPr>
            <w:r>
              <w:rPr>
                <w:rFonts w:hint="eastAsia" w:ascii="宋体" w:hAnsi="宋体"/>
                <w:szCs w:val="21"/>
              </w:rPr>
              <w:t xml:space="preserve">GB 35844-2018 </w:t>
            </w:r>
          </w:p>
        </w:tc>
      </w:tr>
    </w:tbl>
    <w:p w14:paraId="4102C724">
      <w:pPr>
        <w:pStyle w:val="2"/>
        <w:adjustRightInd w:val="0"/>
        <w:snapToGrid w:val="0"/>
        <w:spacing w:line="264" w:lineRule="auto"/>
        <w:rPr>
          <w:rFonts w:hAnsi="宋体"/>
        </w:rPr>
      </w:pPr>
    </w:p>
    <w:p w14:paraId="18D0DC3E">
      <w:pPr>
        <w:adjustRightInd w:val="0"/>
        <w:snapToGrid w:val="0"/>
        <w:spacing w:line="440" w:lineRule="exact"/>
        <w:ind w:firstLine="420" w:firstLineChars="200"/>
        <w:rPr>
          <w:rFonts w:ascii="宋体" w:hAnsi="宋体"/>
          <w:color w:val="000000"/>
          <w:szCs w:val="21"/>
        </w:rPr>
      </w:pPr>
      <w:r>
        <w:rPr>
          <w:rFonts w:hint="eastAsia" w:ascii="宋体" w:hAnsi="宋体"/>
          <w:color w:val="000000"/>
          <w:szCs w:val="21"/>
        </w:rPr>
        <w:t>执行企业标准、团体标准、地方标准的产品，检验项目参照上述内容执行。</w:t>
      </w:r>
    </w:p>
    <w:p w14:paraId="036A2801">
      <w:pPr>
        <w:adjustRightInd w:val="0"/>
        <w:snapToGrid w:val="0"/>
        <w:spacing w:line="440" w:lineRule="exact"/>
        <w:ind w:firstLine="420" w:firstLineChars="200"/>
        <w:rPr>
          <w:rFonts w:ascii="宋体" w:hAnsi="宋体"/>
          <w:szCs w:val="21"/>
        </w:rPr>
      </w:pPr>
      <w:r>
        <w:rPr>
          <w:rFonts w:hint="eastAsia" w:ascii="宋体" w:hAnsi="宋体"/>
          <w:szCs w:val="21"/>
        </w:rPr>
        <w:t>凡是注日期的文件，其随后所有的修改单（不包括勘误的内容）或修订版不适用于本细则。凡是不注日期的文件，其最新版本适用于本细则。</w:t>
      </w:r>
    </w:p>
    <w:p w14:paraId="2ED9B810">
      <w:pPr>
        <w:snapToGrid w:val="0"/>
        <w:spacing w:line="440" w:lineRule="exact"/>
        <w:ind w:firstLine="359" w:firstLineChars="171"/>
        <w:rPr>
          <w:color w:val="000000"/>
          <w:szCs w:val="21"/>
        </w:rPr>
      </w:pPr>
      <w:r>
        <w:rPr>
          <w:rFonts w:hint="eastAsia"/>
          <w:color w:val="000000"/>
          <w:szCs w:val="21"/>
        </w:rPr>
        <w:t>复检时所检测的样品为备用样品。</w:t>
      </w:r>
    </w:p>
    <w:p w14:paraId="48EF2A92">
      <w:pPr>
        <w:snapToGrid w:val="0"/>
        <w:spacing w:line="360" w:lineRule="auto"/>
        <w:rPr>
          <w:rFonts w:ascii="黑体" w:hAnsi="黑体" w:eastAsia="黑体"/>
          <w:b w:val="0"/>
          <w:bCs/>
          <w:szCs w:val="21"/>
        </w:rPr>
      </w:pPr>
      <w:bookmarkStart w:id="0" w:name="_GoBack"/>
      <w:r>
        <w:rPr>
          <w:rFonts w:hint="eastAsia" w:ascii="黑体" w:hAnsi="黑体" w:eastAsia="黑体"/>
          <w:b w:val="0"/>
          <w:bCs/>
          <w:szCs w:val="21"/>
        </w:rPr>
        <w:t>三、</w:t>
      </w:r>
      <w:r>
        <w:rPr>
          <w:rFonts w:ascii="黑体" w:hAnsi="黑体" w:eastAsia="黑体"/>
          <w:b w:val="0"/>
          <w:bCs/>
          <w:szCs w:val="21"/>
        </w:rPr>
        <w:t>判定规则</w:t>
      </w:r>
    </w:p>
    <w:bookmarkEnd w:id="0"/>
    <w:p w14:paraId="22793456">
      <w:pPr>
        <w:snapToGrid w:val="0"/>
        <w:spacing w:line="360" w:lineRule="auto"/>
        <w:rPr>
          <w:rStyle w:val="8"/>
          <w:color w:val="000000"/>
          <w:szCs w:val="21"/>
        </w:rPr>
      </w:pPr>
      <w:r>
        <w:rPr>
          <w:rStyle w:val="8"/>
          <w:color w:val="000000"/>
          <w:szCs w:val="21"/>
        </w:rPr>
        <w:t>3.1依据标准</w:t>
      </w:r>
    </w:p>
    <w:p w14:paraId="6319FD24">
      <w:pPr>
        <w:spacing w:line="580" w:lineRule="exact"/>
        <w:ind w:firstLine="420" w:firstLineChars="200"/>
        <w:rPr>
          <w:color w:val="000000"/>
          <w:szCs w:val="21"/>
        </w:rPr>
      </w:pPr>
      <w:r>
        <w:rPr>
          <w:rFonts w:hint="eastAsia"/>
          <w:color w:val="000000"/>
          <w:szCs w:val="21"/>
        </w:rPr>
        <w:t>GB 35844-2018《瓶装液化石油气调压器》</w:t>
      </w:r>
    </w:p>
    <w:p w14:paraId="289500E1">
      <w:pPr>
        <w:autoSpaceDE w:val="0"/>
        <w:autoSpaceDN w:val="0"/>
        <w:snapToGrid w:val="0"/>
        <w:spacing w:line="440" w:lineRule="exact"/>
        <w:ind w:firstLine="420" w:firstLineChars="200"/>
        <w:jc w:val="left"/>
        <w:rPr>
          <w:rFonts w:ascii="宋体" w:hAnsi="宋体"/>
          <w:szCs w:val="21"/>
        </w:rPr>
      </w:pPr>
      <w:r>
        <w:rPr>
          <w:rFonts w:hint="eastAsia"/>
          <w:color w:val="000000"/>
        </w:rPr>
        <w:t>产品明示质量指标及国家法律、法规、规章的有关规定</w:t>
      </w:r>
    </w:p>
    <w:p w14:paraId="1CC6EB39">
      <w:pPr>
        <w:adjustRightInd w:val="0"/>
        <w:snapToGrid w:val="0"/>
        <w:spacing w:line="440" w:lineRule="exact"/>
        <w:jc w:val="left"/>
        <w:rPr>
          <w:rFonts w:hAnsi="宋体"/>
        </w:rPr>
      </w:pPr>
      <w:r>
        <w:rPr>
          <w:rFonts w:hint="eastAsia" w:hAnsi="宋体"/>
        </w:rPr>
        <w:t>3.2判定原则</w:t>
      </w:r>
    </w:p>
    <w:p w14:paraId="5A55B198">
      <w:pPr>
        <w:adjustRightInd w:val="0"/>
        <w:snapToGrid w:val="0"/>
        <w:spacing w:line="440" w:lineRule="exact"/>
        <w:ind w:firstLine="420" w:firstLineChars="200"/>
        <w:rPr>
          <w:color w:val="000000"/>
          <w:szCs w:val="21"/>
        </w:rPr>
      </w:pPr>
      <w:r>
        <w:rPr>
          <w:rFonts w:hint="eastAsia"/>
          <w:color w:val="000000"/>
          <w:szCs w:val="21"/>
        </w:rPr>
        <w:t>若被检产品明示的质量要求高于本细则中检验项目依据的标准要求时，应按被检产品明示的质量要求判定。</w:t>
      </w:r>
    </w:p>
    <w:p w14:paraId="41637616">
      <w:pPr>
        <w:adjustRightInd w:val="0"/>
        <w:snapToGrid w:val="0"/>
        <w:spacing w:line="440" w:lineRule="exact"/>
        <w:ind w:firstLine="420" w:firstLineChars="200"/>
        <w:rPr>
          <w:color w:val="000000"/>
          <w:szCs w:val="21"/>
        </w:rPr>
      </w:pPr>
      <w:r>
        <w:rPr>
          <w:rFonts w:hint="eastAsia"/>
          <w:color w:val="000000"/>
          <w:szCs w:val="21"/>
        </w:rPr>
        <w:t>若被检产品明示的质量要求低于本细则中检验项目依据的强制性标准要求时，应按照强制性标准要求判定。</w:t>
      </w:r>
    </w:p>
    <w:p w14:paraId="718C27A6">
      <w:pPr>
        <w:adjustRightInd w:val="0"/>
        <w:snapToGrid w:val="0"/>
        <w:spacing w:line="440" w:lineRule="exact"/>
        <w:ind w:firstLine="420" w:firstLineChars="200"/>
        <w:rPr>
          <w:color w:val="000000"/>
          <w:szCs w:val="21"/>
        </w:rPr>
      </w:pPr>
      <w:r>
        <w:rPr>
          <w:rFonts w:hint="eastAsia"/>
          <w:color w:val="000000"/>
          <w:szCs w:val="21"/>
        </w:rPr>
        <w:t>若被检产品明示的质量要求低于或包含本细则中检验项目依据的推荐性标准要求时，应以被检产品明示的质量要求判定。但应在检验报告中注明该项目的实测值以及推荐性标准的标准值。</w:t>
      </w:r>
    </w:p>
    <w:p w14:paraId="44AB3B16">
      <w:pPr>
        <w:adjustRightInd w:val="0"/>
        <w:snapToGrid w:val="0"/>
        <w:spacing w:line="440" w:lineRule="exact"/>
        <w:ind w:firstLine="420" w:firstLineChars="200"/>
        <w:rPr>
          <w:color w:val="000000"/>
          <w:szCs w:val="21"/>
        </w:rPr>
      </w:pPr>
      <w:r>
        <w:rPr>
          <w:rFonts w:hint="eastAsia"/>
          <w:color w:val="000000"/>
          <w:szCs w:val="21"/>
        </w:rPr>
        <w:t>若被检产品明示的质量要求缺少本细则中检验项目依据的强制性标准要求时，应按照强制性标准要求判定。</w:t>
      </w:r>
    </w:p>
    <w:p w14:paraId="2EF1631C">
      <w:pPr>
        <w:adjustRightInd w:val="0"/>
        <w:snapToGrid w:val="0"/>
        <w:spacing w:line="440" w:lineRule="exact"/>
        <w:ind w:firstLine="420" w:firstLineChars="200"/>
        <w:rPr>
          <w:color w:val="000000"/>
          <w:szCs w:val="21"/>
        </w:rPr>
      </w:pPr>
      <w:r>
        <w:rPr>
          <w:rFonts w:hint="eastAsia"/>
          <w:color w:val="000000"/>
          <w:szCs w:val="21"/>
        </w:rPr>
        <w:t>若被检产品明示的质量要求缺少本细则中检验项目依据的推荐性标准要求时，该项目不参与判定。但应在检验报告中注明该项目的实测值以及推荐性标准的标准值。</w:t>
      </w:r>
    </w:p>
    <w:p w14:paraId="7B19595B">
      <w:pPr>
        <w:adjustRightInd w:val="0"/>
        <w:snapToGrid w:val="0"/>
        <w:spacing w:line="440" w:lineRule="exact"/>
        <w:ind w:firstLine="420" w:firstLineChars="200"/>
        <w:rPr>
          <w:color w:val="000000"/>
          <w:szCs w:val="21"/>
        </w:rPr>
      </w:pPr>
    </w:p>
    <w:p w14:paraId="0C47B46F">
      <w:pPr>
        <w:adjustRightInd w:val="0"/>
        <w:snapToGrid w:val="0"/>
        <w:spacing w:line="440" w:lineRule="exact"/>
        <w:rPr>
          <w:color w:val="000000"/>
          <w:szCs w:val="21"/>
        </w:rPr>
      </w:pPr>
      <w:r>
        <w:rPr>
          <w:rFonts w:hint="eastAsia"/>
          <w:color w:val="000000"/>
          <w:szCs w:val="21"/>
        </w:rPr>
        <w:t>3</w:t>
      </w:r>
      <w:r>
        <w:rPr>
          <w:color w:val="000000"/>
          <w:szCs w:val="21"/>
        </w:rPr>
        <w:t xml:space="preserve">.3 </w:t>
      </w:r>
      <w:r>
        <w:rPr>
          <w:rFonts w:hint="eastAsia"/>
          <w:color w:val="000000"/>
          <w:szCs w:val="21"/>
        </w:rPr>
        <w:t>综合结论判定</w:t>
      </w:r>
    </w:p>
    <w:p w14:paraId="46B09FA2">
      <w:pPr>
        <w:pStyle w:val="2"/>
        <w:adjustRightInd w:val="0"/>
        <w:snapToGrid w:val="0"/>
        <w:spacing w:line="440" w:lineRule="exact"/>
        <w:ind w:firstLine="420"/>
        <w:rPr>
          <w:rFonts w:ascii="Times New Roman" w:hAnsi="Times New Roman"/>
          <w:color w:val="000000"/>
        </w:rPr>
      </w:pPr>
      <w:r>
        <w:rPr>
          <w:rFonts w:hint="eastAsia" w:ascii="Times New Roman" w:hAnsi="Times New Roman"/>
          <w:color w:val="000000"/>
        </w:rPr>
        <w:t>经检验，检验项目中任一项或一项以上不合格，判定被抽查产品为“不合格”。</w:t>
      </w:r>
    </w:p>
    <w:p w14:paraId="24491270">
      <w:pPr>
        <w:pStyle w:val="2"/>
        <w:adjustRightInd w:val="0"/>
        <w:snapToGrid w:val="0"/>
        <w:spacing w:line="440" w:lineRule="exact"/>
        <w:ind w:firstLine="420"/>
        <w:rPr>
          <w:rFonts w:ascii="Times New Roman" w:hAnsi="Times New Roman"/>
          <w:color w:val="000000"/>
        </w:rPr>
      </w:pPr>
      <w:r>
        <w:rPr>
          <w:rFonts w:hint="eastAsia" w:ascii="Times New Roman" w:hAnsi="Times New Roman"/>
          <w:color w:val="000000"/>
        </w:rPr>
        <w:t>检验项目全部符合明示质量要求，但不符合本细则检验项目依据的推荐性标准，判定被抽查产品为“所检项目符合明示质量要求，未达到××标准规定”。（注：××为具体标准名称）</w:t>
      </w:r>
    </w:p>
    <w:p w14:paraId="70D6000D">
      <w:pPr>
        <w:pStyle w:val="2"/>
        <w:adjustRightInd w:val="0"/>
        <w:snapToGrid w:val="0"/>
        <w:spacing w:line="440" w:lineRule="exact"/>
        <w:ind w:firstLine="420"/>
        <w:rPr>
          <w:rStyle w:val="8"/>
          <w:rFonts w:ascii="Times New Roman" w:hAnsi="Times New Roman"/>
          <w:color w:val="000000"/>
        </w:rPr>
      </w:pPr>
      <w:r>
        <w:rPr>
          <w:rFonts w:hint="eastAsia" w:ascii="Times New Roman" w:hAnsi="Times New Roman"/>
          <w:color w:val="000000"/>
        </w:rPr>
        <w:t>检验项目全部符合明示质量要求，且符合本细则检验项目依据的推荐性标准，判定被抽查产品为“所检项目符合本次监督抽查要求”。</w:t>
      </w:r>
    </w:p>
    <w:sectPr>
      <w:headerReference r:id="rId3" w:type="default"/>
      <w:footerReference r:id="rId4" w:type="default"/>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B6896B-0DF6-4618-80EC-165916AD17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embedRegular r:id="rId2" w:fontKey="{A01F5AF4-3770-4CAC-A6DD-C2D4B16FCD69}"/>
  </w:font>
  <w:font w:name="仿宋">
    <w:panose1 w:val="02010609060101010101"/>
    <w:charset w:val="86"/>
    <w:family w:val="modern"/>
    <w:pitch w:val="default"/>
    <w:sig w:usb0="800002BF" w:usb1="38CF7CFA" w:usb2="00000016" w:usb3="00000000" w:csb0="00040001" w:csb1="00000000"/>
  </w:font>
  <w:font w:name="方正小标宋简体">
    <w:panose1 w:val="02010600010101010101"/>
    <w:charset w:val="86"/>
    <w:family w:val="script"/>
    <w:pitch w:val="default"/>
    <w:sig w:usb0="00000001" w:usb1="080E0000" w:usb2="00000000" w:usb3="00000000" w:csb0="00040000" w:csb1="00000000"/>
    <w:embedRegular r:id="rId3" w:fontKey="{FDA76677-ADF9-4272-98B9-AC311AE3D9E9}"/>
  </w:font>
  <w:font w:name="方正仿宋简体">
    <w:altName w:val="微软雅黑"/>
    <w:panose1 w:val="00000000000000000000"/>
    <w:charset w:val="86"/>
    <w:family w:val="auto"/>
    <w:pitch w:val="default"/>
    <w:sig w:usb0="00000000" w:usb1="00000000" w:usb2="00000012" w:usb3="00000000" w:csb0="00040001" w:csb1="00000000"/>
    <w:embedRegular r:id="rId4" w:fontKey="{213C0296-5008-4232-9853-6622EBC9A12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6A4A1">
    <w:pPr>
      <w:pStyle w:val="19"/>
      <w:jc w:val="center"/>
      <w:rPr>
        <w:rStyle w:val="8"/>
        <w:sz w:val="21"/>
        <w:szCs w:val="21"/>
      </w:rPr>
    </w:pPr>
  </w:p>
  <w:p w14:paraId="788F6FB6">
    <w:pPr>
      <w:pStyle w:val="19"/>
      <w:ind w:right="360"/>
      <w:rPr>
        <w:rStyle w:val="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5A4BD">
    <w:pPr>
      <w:pStyle w:val="20"/>
      <w:pBdr>
        <w:bottom w:val="none" w:color="auto" w:sz="0" w:space="0"/>
      </w:pBdr>
      <w:rPr>
        <w:rStyle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DD7BDD"/>
    <w:rsid w:val="00020A18"/>
    <w:rsid w:val="000D054B"/>
    <w:rsid w:val="00107879"/>
    <w:rsid w:val="001327D7"/>
    <w:rsid w:val="001558AA"/>
    <w:rsid w:val="001904DF"/>
    <w:rsid w:val="00267060"/>
    <w:rsid w:val="002D2055"/>
    <w:rsid w:val="00385DF1"/>
    <w:rsid w:val="003C70FD"/>
    <w:rsid w:val="003D2BB5"/>
    <w:rsid w:val="003E55B5"/>
    <w:rsid w:val="00406BC3"/>
    <w:rsid w:val="00420053"/>
    <w:rsid w:val="004E6FAB"/>
    <w:rsid w:val="0059692D"/>
    <w:rsid w:val="005B29F1"/>
    <w:rsid w:val="00610200"/>
    <w:rsid w:val="00635ED1"/>
    <w:rsid w:val="006F3078"/>
    <w:rsid w:val="0080493A"/>
    <w:rsid w:val="009019FB"/>
    <w:rsid w:val="00935489"/>
    <w:rsid w:val="00947C25"/>
    <w:rsid w:val="009E2ACA"/>
    <w:rsid w:val="00A068B9"/>
    <w:rsid w:val="00AF38E5"/>
    <w:rsid w:val="00B009E6"/>
    <w:rsid w:val="00B27EAC"/>
    <w:rsid w:val="00B54C4B"/>
    <w:rsid w:val="00C51375"/>
    <w:rsid w:val="00CC4233"/>
    <w:rsid w:val="00CE1C6D"/>
    <w:rsid w:val="00CF6334"/>
    <w:rsid w:val="00D75445"/>
    <w:rsid w:val="00DB7271"/>
    <w:rsid w:val="00DD7BDD"/>
    <w:rsid w:val="00E436F0"/>
    <w:rsid w:val="00EB5496"/>
    <w:rsid w:val="00F90EA4"/>
    <w:rsid w:val="70D33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34"/>
    <w:qFormat/>
    <w:uiPriority w:val="0"/>
    <w:pPr>
      <w:widowControl w:val="0"/>
      <w:textAlignment w:val="auto"/>
    </w:pPr>
    <w:rPr>
      <w:rFonts w:ascii="宋体" w:hAnsi="Courier New"/>
      <w:szCs w:val="21"/>
    </w:rPr>
  </w:style>
  <w:style w:type="paragraph" w:styleId="3">
    <w:name w:val="footer"/>
    <w:basedOn w:val="1"/>
    <w:link w:val="32"/>
    <w:semiHidden/>
    <w:unhideWhenUsed/>
    <w:qFormat/>
    <w:uiPriority w:val="99"/>
    <w:pPr>
      <w:tabs>
        <w:tab w:val="center" w:pos="4153"/>
        <w:tab w:val="right" w:pos="8306"/>
      </w:tabs>
      <w:snapToGrid w:val="0"/>
      <w:jc w:val="left"/>
    </w:pPr>
    <w:rPr>
      <w:sz w:val="18"/>
      <w:szCs w:val="18"/>
    </w:rPr>
  </w:style>
  <w:style w:type="paragraph" w:styleId="4">
    <w:name w:val="header"/>
    <w:basedOn w:val="1"/>
    <w:link w:val="3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NormalCharacter"/>
    <w:semiHidden/>
    <w:uiPriority w:val="0"/>
  </w:style>
  <w:style w:type="table" w:customStyle="1" w:styleId="9">
    <w:name w:val="TableNormal"/>
    <w:semiHidden/>
    <w:uiPriority w:val="0"/>
    <w:tblPr>
      <w:tblCellMar>
        <w:top w:w="0" w:type="dxa"/>
        <w:left w:w="0" w:type="dxa"/>
        <w:bottom w:w="0" w:type="dxa"/>
        <w:right w:w="0" w:type="dxa"/>
      </w:tblCellMar>
    </w:tblPr>
  </w:style>
  <w:style w:type="paragraph" w:customStyle="1" w:styleId="10">
    <w:name w:val="AnnotationText"/>
    <w:basedOn w:val="1"/>
    <w:link w:val="11"/>
    <w:qFormat/>
    <w:uiPriority w:val="0"/>
    <w:pPr>
      <w:jc w:val="left"/>
    </w:pPr>
  </w:style>
  <w:style w:type="character" w:customStyle="1" w:styleId="11">
    <w:name w:val="UserStyle_0"/>
    <w:link w:val="10"/>
    <w:qFormat/>
    <w:uiPriority w:val="0"/>
    <w:rPr>
      <w:kern w:val="2"/>
      <w:sz w:val="21"/>
      <w:szCs w:val="22"/>
    </w:rPr>
  </w:style>
  <w:style w:type="paragraph" w:customStyle="1" w:styleId="12">
    <w:name w:val="BodyText"/>
    <w:basedOn w:val="1"/>
    <w:link w:val="13"/>
    <w:qFormat/>
    <w:uiPriority w:val="0"/>
    <w:pPr>
      <w:spacing w:after="120"/>
    </w:pPr>
  </w:style>
  <w:style w:type="character" w:customStyle="1" w:styleId="13">
    <w:name w:val="UserStyle_1"/>
    <w:link w:val="12"/>
    <w:qFormat/>
    <w:uiPriority w:val="0"/>
    <w:rPr>
      <w:kern w:val="2"/>
      <w:sz w:val="21"/>
      <w:szCs w:val="22"/>
    </w:rPr>
  </w:style>
  <w:style w:type="paragraph" w:customStyle="1" w:styleId="14">
    <w:name w:val="BodyTextIndent"/>
    <w:basedOn w:val="1"/>
    <w:qFormat/>
    <w:uiPriority w:val="0"/>
    <w:pPr>
      <w:ind w:firstLine="600" w:firstLineChars="200"/>
    </w:pPr>
    <w:rPr>
      <w:rFonts w:eastAsia="仿宋_GB2312"/>
      <w:sz w:val="30"/>
      <w:szCs w:val="24"/>
    </w:rPr>
  </w:style>
  <w:style w:type="paragraph" w:customStyle="1" w:styleId="15">
    <w:name w:val="PlainText"/>
    <w:basedOn w:val="1"/>
    <w:link w:val="16"/>
    <w:qFormat/>
    <w:uiPriority w:val="0"/>
    <w:rPr>
      <w:rFonts w:ascii="宋体" w:hAnsi="Courier New"/>
      <w:szCs w:val="21"/>
    </w:rPr>
  </w:style>
  <w:style w:type="character" w:customStyle="1" w:styleId="16">
    <w:name w:val="UserStyle_2"/>
    <w:link w:val="15"/>
    <w:qFormat/>
    <w:uiPriority w:val="0"/>
    <w:rPr>
      <w:rFonts w:ascii="宋体" w:hAnsi="Courier New"/>
      <w:kern w:val="2"/>
      <w:sz w:val="21"/>
      <w:szCs w:val="21"/>
    </w:rPr>
  </w:style>
  <w:style w:type="paragraph" w:customStyle="1" w:styleId="17">
    <w:name w:val="Acetate"/>
    <w:basedOn w:val="1"/>
    <w:link w:val="18"/>
    <w:uiPriority w:val="0"/>
    <w:rPr>
      <w:sz w:val="18"/>
      <w:szCs w:val="18"/>
    </w:rPr>
  </w:style>
  <w:style w:type="character" w:customStyle="1" w:styleId="18">
    <w:name w:val="UserStyle_3"/>
    <w:link w:val="17"/>
    <w:qFormat/>
    <w:uiPriority w:val="0"/>
    <w:rPr>
      <w:kern w:val="2"/>
      <w:sz w:val="18"/>
      <w:szCs w:val="18"/>
    </w:rPr>
  </w:style>
  <w:style w:type="paragraph" w:customStyle="1" w:styleId="19">
    <w:name w:val="页脚1"/>
    <w:basedOn w:val="1"/>
    <w:qFormat/>
    <w:uiPriority w:val="0"/>
    <w:pPr>
      <w:tabs>
        <w:tab w:val="center" w:pos="4153"/>
        <w:tab w:val="right" w:pos="8306"/>
      </w:tabs>
      <w:snapToGrid w:val="0"/>
      <w:jc w:val="left"/>
    </w:pPr>
    <w:rPr>
      <w:sz w:val="18"/>
      <w:szCs w:val="18"/>
    </w:rPr>
  </w:style>
  <w:style w:type="paragraph" w:customStyle="1" w:styleId="20">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21">
    <w:name w:val="AnnotationSubject"/>
    <w:basedOn w:val="10"/>
    <w:next w:val="10"/>
    <w:link w:val="22"/>
    <w:qFormat/>
    <w:uiPriority w:val="0"/>
    <w:rPr>
      <w:b/>
      <w:bCs/>
    </w:rPr>
  </w:style>
  <w:style w:type="character" w:customStyle="1" w:styleId="22">
    <w:name w:val="UserStyle_4"/>
    <w:link w:val="21"/>
    <w:qFormat/>
    <w:uiPriority w:val="0"/>
  </w:style>
  <w:style w:type="table" w:customStyle="1" w:styleId="23">
    <w:name w:val="TableGrid"/>
    <w:basedOn w:val="9"/>
    <w:uiPriority w:val="0"/>
    <w:tblPr>
      <w:tblCellMar>
        <w:top w:w="0" w:type="dxa"/>
        <w:left w:w="0" w:type="dxa"/>
        <w:bottom w:w="0" w:type="dxa"/>
        <w:right w:w="0" w:type="dxa"/>
      </w:tblCellMar>
    </w:tblPr>
  </w:style>
  <w:style w:type="character" w:customStyle="1" w:styleId="24">
    <w:name w:val="AnnotationReference"/>
    <w:qFormat/>
    <w:uiPriority w:val="0"/>
    <w:rPr>
      <w:sz w:val="21"/>
      <w:szCs w:val="21"/>
    </w:rPr>
  </w:style>
  <w:style w:type="character" w:customStyle="1" w:styleId="25">
    <w:name w:val="UserStyle_5"/>
    <w:qFormat/>
    <w:uiPriority w:val="0"/>
    <w:rPr>
      <w:rFonts w:ascii="黑体" w:hAnsi="宋体" w:eastAsia="黑体"/>
      <w:color w:val="000000"/>
      <w:sz w:val="32"/>
      <w:szCs w:val="32"/>
    </w:rPr>
  </w:style>
  <w:style w:type="paragraph" w:customStyle="1" w:styleId="26">
    <w:name w:val="UserStyle_6"/>
    <w:basedOn w:val="1"/>
    <w:qFormat/>
    <w:uiPriority w:val="0"/>
    <w:pPr>
      <w:ind w:firstLine="420" w:firstLineChars="200"/>
    </w:pPr>
  </w:style>
  <w:style w:type="paragraph" w:customStyle="1" w:styleId="27">
    <w:name w:val="179"/>
    <w:basedOn w:val="1"/>
    <w:qFormat/>
    <w:uiPriority w:val="0"/>
    <w:pPr>
      <w:ind w:firstLine="420" w:firstLineChars="200"/>
    </w:pPr>
  </w:style>
  <w:style w:type="paragraph" w:customStyle="1" w:styleId="28">
    <w:name w:val="UserStyle_7"/>
    <w:qFormat/>
    <w:uiPriority w:val="0"/>
    <w:pPr>
      <w:textAlignment w:val="baseline"/>
    </w:pPr>
    <w:rPr>
      <w:rFonts w:ascii="仿宋" w:hAnsi="Times New Roman" w:eastAsia="仿宋" w:cs="Times New Roman"/>
      <w:color w:val="000000"/>
      <w:sz w:val="24"/>
      <w:szCs w:val="24"/>
      <w:lang w:val="en-US" w:eastAsia="zh-CN" w:bidi="ar-SA"/>
    </w:rPr>
  </w:style>
  <w:style w:type="character" w:customStyle="1" w:styleId="29">
    <w:name w:val="UserStyle_8"/>
    <w:qFormat/>
    <w:uiPriority w:val="0"/>
    <w:rPr>
      <w:rFonts w:ascii="宋体" w:hAnsi="Courier New"/>
      <w:kern w:val="2"/>
      <w:sz w:val="21"/>
      <w:szCs w:val="21"/>
    </w:rPr>
  </w:style>
  <w:style w:type="paragraph" w:customStyle="1" w:styleId="30">
    <w:name w:val="UserStyle_9"/>
    <w:basedOn w:val="1"/>
    <w:qFormat/>
    <w:uiPriority w:val="0"/>
    <w:rPr>
      <w:color w:val="000000"/>
      <w:kern w:val="0"/>
      <w:szCs w:val="21"/>
    </w:rPr>
  </w:style>
  <w:style w:type="character" w:customStyle="1" w:styleId="31">
    <w:name w:val="页眉 Char"/>
    <w:basedOn w:val="6"/>
    <w:link w:val="4"/>
    <w:semiHidden/>
    <w:qFormat/>
    <w:uiPriority w:val="99"/>
    <w:rPr>
      <w:kern w:val="2"/>
      <w:sz w:val="18"/>
      <w:szCs w:val="18"/>
    </w:rPr>
  </w:style>
  <w:style w:type="character" w:customStyle="1" w:styleId="32">
    <w:name w:val="页脚 Char"/>
    <w:basedOn w:val="6"/>
    <w:link w:val="3"/>
    <w:semiHidden/>
    <w:qFormat/>
    <w:uiPriority w:val="99"/>
    <w:rPr>
      <w:kern w:val="2"/>
      <w:sz w:val="18"/>
      <w:szCs w:val="18"/>
    </w:rPr>
  </w:style>
  <w:style w:type="character" w:customStyle="1" w:styleId="33">
    <w:name w:val="纯文本 字符"/>
    <w:basedOn w:val="6"/>
    <w:semiHidden/>
    <w:qFormat/>
    <w:uiPriority w:val="99"/>
    <w:rPr>
      <w:rFonts w:hAnsi="Courier New" w:cs="Courier New" w:asciiTheme="minorEastAsia" w:eastAsiaTheme="minorEastAsia"/>
      <w:kern w:val="2"/>
      <w:sz w:val="21"/>
      <w:szCs w:val="22"/>
    </w:rPr>
  </w:style>
  <w:style w:type="character" w:customStyle="1" w:styleId="34">
    <w:name w:val="纯文本 Char"/>
    <w:link w:val="2"/>
    <w:qFormat/>
    <w:uiPriority w:val="0"/>
    <w:rPr>
      <w:rFonts w:ascii="宋体" w:hAnsi="Courier New"/>
      <w:kern w:val="2"/>
      <w:sz w:val="21"/>
      <w:szCs w:val="21"/>
    </w:rPr>
  </w:style>
  <w:style w:type="character" w:customStyle="1" w:styleId="35">
    <w:name w:val="纯文本 Char1"/>
    <w:qFormat/>
    <w:uiPriority w:val="0"/>
    <w:rPr>
      <w:rFonts w:ascii="宋体" w:hAnsi="Courier New" w:cs="Courier New"/>
      <w:kern w:val="2"/>
      <w:sz w:val="21"/>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899</Words>
  <Characters>1038</Characters>
  <Lines>8</Lines>
  <Paragraphs>2</Paragraphs>
  <TotalTime>43</TotalTime>
  <ScaleCrop>false</ScaleCrop>
  <LinksUpToDate>false</LinksUpToDate>
  <CharactersWithSpaces>1064</CharactersWithSpaces>
  <Application>WPS Office_12.1.0.21541_F1E327BC-269C-435d-A152-05C5408002CA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2022-11-14T08:19:00Z</dcterms:created>
  <dc:creator>Administrator</dc:creator>
  <lastModifiedBy>菠萝啵啵</lastModifiedBy>
  <dcterms:modified xsi:type="dcterms:W3CDTF">2025-06-16T00:58:15Z</dcterms:modified>
  <revision>15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eyJoZGlkIjoiZTA3MzBmZTNmMDA4YWMzZjgzMTgxM2YwMjc1NjdjN2IiLCJ1c2VySWQiOiI4MzkzMDQ5MzYifQ==</vt:lpwstr>
  </property>
  <property fmtid="{D5CDD505-2E9C-101B-9397-08002B2CF9AE}" pid="3" name="KSOProductBuildVer">
    <vt:lpwstr>2052-12.1.0.21541</vt:lpwstr>
  </property>
  <property fmtid="{D5CDD505-2E9C-101B-9397-08002B2CF9AE}" pid="4" name="ICV">
    <vt:lpwstr>A6D13D25182F455CBD8514667A6D7DD9_12</vt:lpwstr>
  </property>
</Properties>
</file>