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E04AF">
      <w:pPr>
        <w:spacing w:line="440" w:lineRule="exact"/>
        <w:jc w:val="center"/>
        <w:rPr>
          <w:rFonts w:hint="eastAsia" w:ascii="方正小标宋简体" w:hAnsi="方正小标宋简体" w:eastAsia="方正小标宋简体" w:cs="方正小标宋简体"/>
          <w:b w:val="0"/>
          <w:bCs w:val="0"/>
          <w:color w:val="000000"/>
          <w:sz w:val="32"/>
          <w:szCs w:val="32"/>
        </w:rPr>
      </w:pPr>
      <w:r>
        <w:rPr>
          <w:rFonts w:hint="eastAsia" w:ascii="方正小标宋简体" w:hAnsi="方正小标宋简体" w:eastAsia="方正小标宋简体" w:cs="方正小标宋简体"/>
          <w:b w:val="0"/>
          <w:bCs w:val="0"/>
          <w:color w:val="000000"/>
          <w:sz w:val="32"/>
          <w:szCs w:val="32"/>
        </w:rPr>
        <w:t>2025年德清县挤塑聚苯乙烯泡沫塑料产品质量监督</w:t>
      </w:r>
    </w:p>
    <w:p w14:paraId="5EA23B3E">
      <w:pPr>
        <w:spacing w:line="440" w:lineRule="exact"/>
        <w:jc w:val="center"/>
        <w:rPr>
          <w:rStyle w:val="11"/>
          <w:rFonts w:hint="eastAsia" w:ascii="方正小标宋简体" w:hAnsi="方正小标宋简体" w:eastAsia="方正小标宋简体" w:cs="方正小标宋简体"/>
          <w:b w:val="0"/>
          <w:bCs w:val="0"/>
          <w:color w:val="000000"/>
          <w:sz w:val="32"/>
          <w:szCs w:val="32"/>
        </w:rPr>
      </w:pPr>
      <w:r>
        <w:rPr>
          <w:rFonts w:hint="eastAsia" w:ascii="方正小标宋简体" w:hAnsi="方正小标宋简体" w:eastAsia="方正小标宋简体" w:cs="方正小标宋简体"/>
          <w:b w:val="0"/>
          <w:bCs w:val="0"/>
          <w:color w:val="000000"/>
          <w:sz w:val="32"/>
          <w:szCs w:val="32"/>
        </w:rPr>
        <w:t>抽查实施细则</w:t>
      </w:r>
    </w:p>
    <w:p w14:paraId="10C7B30F">
      <w:pPr>
        <w:snapToGrid w:val="0"/>
        <w:spacing w:line="594" w:lineRule="exact"/>
        <w:jc w:val="center"/>
        <w:rPr>
          <w:rStyle w:val="11"/>
          <w:rFonts w:eastAsia="方正小标宋简体"/>
          <w:color w:val="000000"/>
          <w:sz w:val="32"/>
          <w:szCs w:val="32"/>
        </w:rPr>
      </w:pPr>
    </w:p>
    <w:p w14:paraId="582D11C0">
      <w:pPr>
        <w:snapToGrid w:val="0"/>
        <w:spacing w:line="440" w:lineRule="exact"/>
        <w:rPr>
          <w:rFonts w:ascii="黑体" w:hAnsi="黑体" w:eastAsia="黑体"/>
          <w:b w:val="0"/>
          <w:bCs/>
          <w:color w:val="000000"/>
          <w:szCs w:val="21"/>
        </w:rPr>
      </w:pPr>
      <w:r>
        <w:rPr>
          <w:rFonts w:hint="eastAsia" w:ascii="黑体" w:hAnsi="黑体" w:eastAsia="黑体"/>
          <w:b w:val="0"/>
          <w:bCs/>
          <w:color w:val="000000"/>
          <w:szCs w:val="21"/>
        </w:rPr>
        <w:t>一、</w:t>
      </w:r>
      <w:r>
        <w:rPr>
          <w:rFonts w:ascii="黑体" w:hAnsi="黑体" w:eastAsia="黑体"/>
          <w:b w:val="0"/>
          <w:bCs/>
          <w:color w:val="000000"/>
          <w:szCs w:val="21"/>
        </w:rPr>
        <w:t>抽样方法</w:t>
      </w:r>
    </w:p>
    <w:p w14:paraId="540EE1A5">
      <w:pPr>
        <w:snapToGrid w:val="0"/>
        <w:spacing w:line="440" w:lineRule="exact"/>
        <w:ind w:firstLine="420" w:firstLineChars="200"/>
        <w:rPr>
          <w:color w:val="000000"/>
          <w:szCs w:val="21"/>
        </w:rPr>
      </w:pPr>
      <w:r>
        <w:rPr>
          <w:color w:val="000000"/>
          <w:szCs w:val="21"/>
        </w:rPr>
        <w:t>以随机抽样的方式在被抽样生产者、销售者的待销产品中抽取。</w:t>
      </w:r>
    </w:p>
    <w:p w14:paraId="59F34A2F">
      <w:pPr>
        <w:snapToGrid w:val="0"/>
        <w:spacing w:line="440" w:lineRule="exact"/>
        <w:ind w:firstLine="420" w:firstLineChars="200"/>
        <w:rPr>
          <w:color w:val="000000"/>
          <w:szCs w:val="21"/>
        </w:rPr>
      </w:pPr>
      <w:r>
        <w:rPr>
          <w:color w:val="000000"/>
          <w:szCs w:val="21"/>
        </w:rPr>
        <w:t>随机数一般可使用随机数表等方法产生。</w:t>
      </w:r>
    </w:p>
    <w:p w14:paraId="1F566519">
      <w:pPr>
        <w:snapToGrid w:val="0"/>
        <w:spacing w:line="440" w:lineRule="exact"/>
        <w:ind w:firstLine="420" w:firstLineChars="200"/>
        <w:rPr>
          <w:color w:val="000000"/>
          <w:szCs w:val="21"/>
        </w:rPr>
      </w:pPr>
      <w:r>
        <w:rPr>
          <w:rFonts w:hint="eastAsia"/>
          <w:color w:val="000000"/>
          <w:szCs w:val="21"/>
        </w:rPr>
        <w:t>从同一生产者、同一标准生产的同一规格型号、同一</w:t>
      </w:r>
      <w:r>
        <w:rPr>
          <w:szCs w:val="21"/>
        </w:rPr>
        <w:t>燃烧性能</w:t>
      </w:r>
      <w:r>
        <w:rPr>
          <w:rFonts w:hint="eastAsia"/>
          <w:color w:val="000000"/>
          <w:szCs w:val="21"/>
        </w:rPr>
        <w:t>等级的产品为一批，</w:t>
      </w:r>
      <w:r>
        <w:rPr>
          <w:rFonts w:hint="eastAsia"/>
          <w:szCs w:val="21"/>
        </w:rPr>
        <w:t>明示</w:t>
      </w:r>
      <w:r>
        <w:rPr>
          <w:szCs w:val="21"/>
        </w:rPr>
        <w:t>燃烧性能等级</w:t>
      </w:r>
      <w:r>
        <w:rPr>
          <w:rFonts w:hint="eastAsia"/>
          <w:szCs w:val="21"/>
        </w:rPr>
        <w:t>为B</w:t>
      </w:r>
      <w:r>
        <w:rPr>
          <w:rFonts w:hint="eastAsia"/>
          <w:szCs w:val="21"/>
          <w:vertAlign w:val="subscript"/>
        </w:rPr>
        <w:t>1</w:t>
      </w:r>
      <w:r>
        <w:rPr>
          <w:rFonts w:hint="eastAsia"/>
          <w:szCs w:val="21"/>
        </w:rPr>
        <w:t>级或B</w:t>
      </w:r>
      <w:r>
        <w:rPr>
          <w:rFonts w:hint="eastAsia"/>
          <w:szCs w:val="21"/>
          <w:vertAlign w:val="subscript"/>
        </w:rPr>
        <w:t>2</w:t>
      </w:r>
      <w:r>
        <w:rPr>
          <w:rFonts w:hint="eastAsia"/>
          <w:szCs w:val="21"/>
        </w:rPr>
        <w:t>(D)级的，</w:t>
      </w:r>
      <w:r>
        <w:rPr>
          <w:rFonts w:hint="eastAsia"/>
          <w:color w:val="000000"/>
          <w:szCs w:val="21"/>
        </w:rPr>
        <w:t>随机抽取样品</w:t>
      </w:r>
      <w:r>
        <w:rPr>
          <w:color w:val="000000"/>
          <w:szCs w:val="21"/>
        </w:rPr>
        <w:t>不少于30m</w:t>
      </w:r>
      <w:r>
        <w:rPr>
          <w:color w:val="000000"/>
          <w:szCs w:val="21"/>
          <w:vertAlign w:val="superscript"/>
        </w:rPr>
        <w:t>2</w:t>
      </w:r>
      <w:r>
        <w:rPr>
          <w:color w:val="000000"/>
          <w:szCs w:val="21"/>
        </w:rPr>
        <w:t>，其中至少15m</w:t>
      </w:r>
      <w:r>
        <w:rPr>
          <w:color w:val="000000"/>
          <w:szCs w:val="21"/>
          <w:vertAlign w:val="superscript"/>
        </w:rPr>
        <w:t>2</w:t>
      </w:r>
      <w:r>
        <w:rPr>
          <w:color w:val="000000"/>
          <w:szCs w:val="21"/>
        </w:rPr>
        <w:t>作为检验样品，15m</w:t>
      </w:r>
      <w:r>
        <w:rPr>
          <w:color w:val="000000"/>
          <w:szCs w:val="21"/>
          <w:vertAlign w:val="superscript"/>
        </w:rPr>
        <w:t>2</w:t>
      </w:r>
      <w:r>
        <w:rPr>
          <w:color w:val="000000"/>
          <w:szCs w:val="21"/>
        </w:rPr>
        <w:t>作为备用样品</w:t>
      </w:r>
      <w:r>
        <w:rPr>
          <w:rFonts w:hint="eastAsia"/>
          <w:color w:val="000000"/>
          <w:szCs w:val="21"/>
        </w:rPr>
        <w:t>；</w:t>
      </w:r>
      <w:r>
        <w:rPr>
          <w:rFonts w:hint="eastAsia"/>
          <w:szCs w:val="21"/>
        </w:rPr>
        <w:t>明示</w:t>
      </w:r>
      <w:r>
        <w:rPr>
          <w:szCs w:val="21"/>
        </w:rPr>
        <w:t>燃烧性能等级</w:t>
      </w:r>
      <w:r>
        <w:rPr>
          <w:rFonts w:hint="eastAsia"/>
          <w:szCs w:val="21"/>
        </w:rPr>
        <w:t>为</w:t>
      </w:r>
      <w:r>
        <w:rPr>
          <w:color w:val="000000"/>
          <w:szCs w:val="21"/>
        </w:rPr>
        <w:t>B</w:t>
      </w:r>
      <w:r>
        <w:rPr>
          <w:color w:val="000000"/>
          <w:szCs w:val="21"/>
          <w:vertAlign w:val="subscript"/>
        </w:rPr>
        <w:t>2</w:t>
      </w:r>
      <w:r>
        <w:rPr>
          <w:color w:val="000000"/>
          <w:szCs w:val="21"/>
        </w:rPr>
        <w:t>（E）级</w:t>
      </w:r>
      <w:r>
        <w:rPr>
          <w:rFonts w:hint="eastAsia"/>
          <w:color w:val="000000"/>
          <w:szCs w:val="21"/>
        </w:rPr>
        <w:t>或B</w:t>
      </w:r>
      <w:r>
        <w:rPr>
          <w:rFonts w:hint="eastAsia"/>
          <w:color w:val="000000"/>
          <w:szCs w:val="21"/>
          <w:vertAlign w:val="subscript"/>
        </w:rPr>
        <w:t>3</w:t>
      </w:r>
      <w:r>
        <w:rPr>
          <w:rFonts w:hint="eastAsia"/>
          <w:color w:val="000000"/>
          <w:szCs w:val="21"/>
        </w:rPr>
        <w:t>级</w:t>
      </w:r>
      <w:r>
        <w:rPr>
          <w:rFonts w:hint="eastAsia"/>
          <w:szCs w:val="21"/>
        </w:rPr>
        <w:t>的，</w:t>
      </w:r>
      <w:r>
        <w:rPr>
          <w:rFonts w:hint="eastAsia"/>
          <w:color w:val="000000"/>
          <w:szCs w:val="21"/>
        </w:rPr>
        <w:t>随机抽取样品</w:t>
      </w:r>
      <w:r>
        <w:rPr>
          <w:color w:val="000000"/>
          <w:szCs w:val="21"/>
        </w:rPr>
        <w:t>不少于</w:t>
      </w:r>
      <w:r>
        <w:rPr>
          <w:rFonts w:hint="eastAsia"/>
          <w:color w:val="000000"/>
          <w:szCs w:val="21"/>
        </w:rPr>
        <w:t>10</w:t>
      </w:r>
      <w:r>
        <w:rPr>
          <w:color w:val="000000"/>
          <w:szCs w:val="21"/>
        </w:rPr>
        <w:t>m</w:t>
      </w:r>
      <w:r>
        <w:rPr>
          <w:color w:val="000000"/>
          <w:szCs w:val="21"/>
          <w:vertAlign w:val="superscript"/>
        </w:rPr>
        <w:t>2</w:t>
      </w:r>
      <w:r>
        <w:rPr>
          <w:color w:val="000000"/>
          <w:szCs w:val="21"/>
        </w:rPr>
        <w:t>，其中至少</w:t>
      </w:r>
      <w:r>
        <w:rPr>
          <w:rFonts w:hint="eastAsia"/>
          <w:color w:val="000000"/>
          <w:szCs w:val="21"/>
        </w:rPr>
        <w:t>5</w:t>
      </w:r>
      <w:r>
        <w:rPr>
          <w:color w:val="000000"/>
          <w:szCs w:val="21"/>
        </w:rPr>
        <w:t>m</w:t>
      </w:r>
      <w:r>
        <w:rPr>
          <w:color w:val="000000"/>
          <w:szCs w:val="21"/>
          <w:vertAlign w:val="superscript"/>
        </w:rPr>
        <w:t>2</w:t>
      </w:r>
      <w:r>
        <w:rPr>
          <w:color w:val="000000"/>
          <w:szCs w:val="21"/>
        </w:rPr>
        <w:t>作为检验样品，</w:t>
      </w:r>
      <w:r>
        <w:rPr>
          <w:rFonts w:hint="eastAsia"/>
          <w:color w:val="000000"/>
          <w:szCs w:val="21"/>
        </w:rPr>
        <w:t>5</w:t>
      </w:r>
      <w:r>
        <w:rPr>
          <w:color w:val="000000"/>
          <w:szCs w:val="21"/>
        </w:rPr>
        <w:t>m</w:t>
      </w:r>
      <w:r>
        <w:rPr>
          <w:color w:val="000000"/>
          <w:szCs w:val="21"/>
          <w:vertAlign w:val="superscript"/>
        </w:rPr>
        <w:t>2</w:t>
      </w:r>
      <w:r>
        <w:rPr>
          <w:color w:val="000000"/>
          <w:szCs w:val="21"/>
        </w:rPr>
        <w:t>作为备用样品</w:t>
      </w:r>
      <w:r>
        <w:rPr>
          <w:rFonts w:hint="eastAsia"/>
          <w:color w:val="000000"/>
          <w:szCs w:val="21"/>
        </w:rPr>
        <w:t>。</w:t>
      </w:r>
    </w:p>
    <w:p w14:paraId="7662B8A2">
      <w:pPr>
        <w:snapToGrid w:val="0"/>
        <w:spacing w:line="440" w:lineRule="exact"/>
        <w:rPr>
          <w:b w:val="0"/>
          <w:bCs/>
          <w:szCs w:val="21"/>
        </w:rPr>
      </w:pPr>
      <w:bookmarkStart w:id="2" w:name="_GoBack"/>
      <w:r>
        <w:rPr>
          <w:rFonts w:hint="eastAsia" w:ascii="黑体" w:hAnsi="黑体" w:eastAsia="黑体"/>
          <w:b w:val="0"/>
          <w:bCs/>
          <w:color w:val="000000"/>
          <w:szCs w:val="21"/>
        </w:rPr>
        <w:t>二、</w:t>
      </w:r>
      <w:r>
        <w:rPr>
          <w:rFonts w:ascii="黑体" w:hAnsi="黑体" w:eastAsia="黑体"/>
          <w:b w:val="0"/>
          <w:bCs/>
          <w:color w:val="000000"/>
          <w:szCs w:val="21"/>
        </w:rPr>
        <w:t>检验依据</w:t>
      </w:r>
    </w:p>
    <w:bookmarkEnd w:id="2"/>
    <w:p w14:paraId="5EDC40CE">
      <w:pPr>
        <w:snapToGrid w:val="0"/>
        <w:spacing w:line="440" w:lineRule="exact"/>
        <w:jc w:val="center"/>
        <w:rPr>
          <w:szCs w:val="21"/>
        </w:rPr>
      </w:pPr>
      <w:r>
        <w:rPr>
          <w:szCs w:val="21"/>
        </w:rPr>
        <w:t>表</w:t>
      </w:r>
      <w:r>
        <w:rPr>
          <w:rFonts w:hint="eastAsia"/>
          <w:szCs w:val="21"/>
        </w:rPr>
        <w:t>1</w:t>
      </w:r>
      <w:r>
        <w:rPr>
          <w:szCs w:val="21"/>
        </w:rPr>
        <w:t>外墙外保温用挤塑聚苯乙烯泡沫塑料</w:t>
      </w:r>
    </w:p>
    <w:tbl>
      <w:tblPr>
        <w:tblStyle w:val="6"/>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0"/>
        <w:gridCol w:w="2835"/>
        <w:gridCol w:w="2233"/>
      </w:tblGrid>
      <w:tr w14:paraId="1923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jc w:val="center"/>
        </w:trPr>
        <w:tc>
          <w:tcPr>
            <w:tcW w:w="1206" w:type="dxa"/>
            <w:vAlign w:val="center"/>
          </w:tcPr>
          <w:p w14:paraId="42AF056A">
            <w:pPr>
              <w:snapToGrid w:val="0"/>
              <w:spacing w:line="300" w:lineRule="exact"/>
              <w:jc w:val="center"/>
              <w:rPr>
                <w:szCs w:val="21"/>
              </w:rPr>
            </w:pPr>
            <w:r>
              <w:rPr>
                <w:szCs w:val="21"/>
              </w:rPr>
              <w:t>序号</w:t>
            </w:r>
          </w:p>
        </w:tc>
        <w:tc>
          <w:tcPr>
            <w:tcW w:w="2900" w:type="dxa"/>
            <w:vAlign w:val="center"/>
          </w:tcPr>
          <w:p w14:paraId="4F6F8089">
            <w:pPr>
              <w:snapToGrid w:val="0"/>
              <w:spacing w:line="300" w:lineRule="exact"/>
              <w:jc w:val="center"/>
              <w:rPr>
                <w:szCs w:val="21"/>
              </w:rPr>
            </w:pPr>
            <w:r>
              <w:rPr>
                <w:szCs w:val="21"/>
              </w:rPr>
              <w:t>检验项目</w:t>
            </w:r>
          </w:p>
        </w:tc>
        <w:tc>
          <w:tcPr>
            <w:tcW w:w="2835" w:type="dxa"/>
            <w:vAlign w:val="center"/>
          </w:tcPr>
          <w:p w14:paraId="7F5F4B28">
            <w:pPr>
              <w:snapToGrid w:val="0"/>
              <w:spacing w:line="300" w:lineRule="exact"/>
              <w:jc w:val="center"/>
              <w:rPr>
                <w:rFonts w:hint="eastAsia"/>
                <w:szCs w:val="21"/>
              </w:rPr>
            </w:pPr>
            <w:r>
              <w:rPr>
                <w:rFonts w:hint="eastAsia"/>
                <w:szCs w:val="21"/>
              </w:rPr>
              <w:t>检验依据</w:t>
            </w:r>
          </w:p>
        </w:tc>
        <w:tc>
          <w:tcPr>
            <w:tcW w:w="2233" w:type="dxa"/>
            <w:vAlign w:val="center"/>
          </w:tcPr>
          <w:p w14:paraId="03A2D71F">
            <w:pPr>
              <w:snapToGrid w:val="0"/>
              <w:spacing w:line="300" w:lineRule="exact"/>
              <w:jc w:val="center"/>
              <w:rPr>
                <w:szCs w:val="21"/>
              </w:rPr>
            </w:pPr>
            <w:r>
              <w:rPr>
                <w:szCs w:val="21"/>
              </w:rPr>
              <w:t>检验方法</w:t>
            </w:r>
          </w:p>
        </w:tc>
      </w:tr>
      <w:tr w14:paraId="679C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06" w:type="dxa"/>
            <w:vAlign w:val="center"/>
          </w:tcPr>
          <w:p w14:paraId="1D8EF79A">
            <w:pPr>
              <w:snapToGrid w:val="0"/>
              <w:spacing w:line="300" w:lineRule="exact"/>
              <w:jc w:val="center"/>
              <w:rPr>
                <w:szCs w:val="21"/>
              </w:rPr>
            </w:pPr>
            <w:bookmarkStart w:id="0" w:name="_Hlk172041329"/>
            <w:r>
              <w:rPr>
                <w:rFonts w:hint="eastAsia"/>
                <w:szCs w:val="21"/>
              </w:rPr>
              <w:t>1</w:t>
            </w:r>
          </w:p>
        </w:tc>
        <w:tc>
          <w:tcPr>
            <w:tcW w:w="2900" w:type="dxa"/>
            <w:vAlign w:val="center"/>
          </w:tcPr>
          <w:p w14:paraId="10BD8486">
            <w:pPr>
              <w:spacing w:line="300" w:lineRule="exact"/>
              <w:jc w:val="center"/>
              <w:rPr>
                <w:szCs w:val="21"/>
              </w:rPr>
            </w:pPr>
            <w:r>
              <w:rPr>
                <w:szCs w:val="21"/>
              </w:rPr>
              <w:t>导热系数（25</w:t>
            </w:r>
            <w:r>
              <w:rPr>
                <w:rFonts w:hint="eastAsia" w:ascii="宋体" w:hAnsi="宋体" w:cs="宋体"/>
                <w:szCs w:val="21"/>
              </w:rPr>
              <w:t>℃</w:t>
            </w:r>
            <w:r>
              <w:rPr>
                <w:szCs w:val="21"/>
              </w:rPr>
              <w:t>）</w:t>
            </w:r>
          </w:p>
        </w:tc>
        <w:tc>
          <w:tcPr>
            <w:tcW w:w="2835" w:type="dxa"/>
            <w:vAlign w:val="center"/>
          </w:tcPr>
          <w:p w14:paraId="4C99F730">
            <w:pPr>
              <w:jc w:val="center"/>
              <w:rPr>
                <w:lang w:val="de-DE"/>
              </w:rPr>
            </w:pPr>
            <w:r>
              <w:rPr>
                <w:lang w:val="de-DE"/>
              </w:rPr>
              <w:t>GB/T 30595</w:t>
            </w:r>
            <w:r>
              <w:rPr>
                <w:szCs w:val="21"/>
              </w:rPr>
              <w:t>—</w:t>
            </w:r>
            <w:r>
              <w:rPr>
                <w:rFonts w:hint="eastAsia"/>
                <w:lang w:val="de-DE"/>
              </w:rPr>
              <w:t>2014或</w:t>
            </w:r>
          </w:p>
          <w:p w14:paraId="77D8D470">
            <w:pPr>
              <w:spacing w:line="300" w:lineRule="exact"/>
              <w:jc w:val="center"/>
              <w:rPr>
                <w:szCs w:val="21"/>
              </w:rPr>
            </w:pPr>
            <w:r>
              <w:rPr>
                <w:rFonts w:hint="eastAsia"/>
                <w:lang w:val="de-DE"/>
              </w:rPr>
              <w:t>GB/T 30595</w:t>
            </w:r>
            <w:r>
              <w:rPr>
                <w:szCs w:val="21"/>
              </w:rPr>
              <w:t>—</w:t>
            </w:r>
            <w:r>
              <w:rPr>
                <w:rFonts w:hint="eastAsia"/>
                <w:lang w:val="de-DE"/>
              </w:rPr>
              <w:t>2024</w:t>
            </w:r>
          </w:p>
        </w:tc>
        <w:tc>
          <w:tcPr>
            <w:tcW w:w="2233" w:type="dxa"/>
            <w:vAlign w:val="center"/>
          </w:tcPr>
          <w:p w14:paraId="5191B749">
            <w:pPr>
              <w:jc w:val="center"/>
            </w:pPr>
            <w:r>
              <w:rPr>
                <w:lang w:val="de-DE"/>
              </w:rPr>
              <w:t>GB/T 10801.2—2018</w:t>
            </w:r>
          </w:p>
          <w:p w14:paraId="5E31449C">
            <w:pPr>
              <w:jc w:val="center"/>
              <w:rPr>
                <w:lang w:val="de-DE"/>
              </w:rPr>
            </w:pPr>
            <w:r>
              <w:rPr>
                <w:lang w:val="de-DE"/>
              </w:rPr>
              <w:t xml:space="preserve">GB/T 10294—2008 </w:t>
            </w:r>
          </w:p>
          <w:p w14:paraId="2321ED64">
            <w:pPr>
              <w:jc w:val="center"/>
              <w:rPr>
                <w:lang w:val="de-DE"/>
              </w:rPr>
            </w:pPr>
            <w:r>
              <w:rPr>
                <w:lang w:val="de-DE"/>
              </w:rPr>
              <w:t>GB/T 10295—2008</w:t>
            </w:r>
          </w:p>
        </w:tc>
      </w:tr>
      <w:tr w14:paraId="43C5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06" w:type="dxa"/>
            <w:vAlign w:val="center"/>
          </w:tcPr>
          <w:p w14:paraId="052C5460">
            <w:pPr>
              <w:snapToGrid w:val="0"/>
              <w:spacing w:line="300" w:lineRule="exact"/>
              <w:jc w:val="center"/>
              <w:rPr>
                <w:szCs w:val="21"/>
              </w:rPr>
            </w:pPr>
            <w:r>
              <w:rPr>
                <w:rFonts w:hint="eastAsia"/>
                <w:szCs w:val="21"/>
              </w:rPr>
              <w:t>2</w:t>
            </w:r>
          </w:p>
        </w:tc>
        <w:tc>
          <w:tcPr>
            <w:tcW w:w="2900" w:type="dxa"/>
            <w:vAlign w:val="center"/>
          </w:tcPr>
          <w:p w14:paraId="10AD891F">
            <w:pPr>
              <w:spacing w:line="300" w:lineRule="exact"/>
              <w:jc w:val="center"/>
              <w:rPr>
                <w:szCs w:val="21"/>
              </w:rPr>
            </w:pPr>
            <w:r>
              <w:rPr>
                <w:szCs w:val="21"/>
              </w:rPr>
              <w:t>垂直于板面方向的抗拉强度</w:t>
            </w:r>
          </w:p>
        </w:tc>
        <w:tc>
          <w:tcPr>
            <w:tcW w:w="2835" w:type="dxa"/>
            <w:vAlign w:val="center"/>
          </w:tcPr>
          <w:p w14:paraId="2B0CE97D">
            <w:pPr>
              <w:jc w:val="center"/>
              <w:rPr>
                <w:lang w:val="de-DE"/>
              </w:rPr>
            </w:pPr>
            <w:r>
              <w:rPr>
                <w:lang w:val="de-DE"/>
              </w:rPr>
              <w:t>GB/T 30595</w:t>
            </w:r>
            <w:r>
              <w:rPr>
                <w:szCs w:val="21"/>
              </w:rPr>
              <w:t>—</w:t>
            </w:r>
            <w:r>
              <w:rPr>
                <w:rFonts w:hint="eastAsia"/>
                <w:lang w:val="de-DE"/>
              </w:rPr>
              <w:t>2014或</w:t>
            </w:r>
          </w:p>
          <w:p w14:paraId="3DD6B7CE">
            <w:pPr>
              <w:spacing w:line="300" w:lineRule="exact"/>
              <w:jc w:val="center"/>
              <w:rPr>
                <w:szCs w:val="21"/>
              </w:rPr>
            </w:pPr>
            <w:r>
              <w:rPr>
                <w:rFonts w:hint="eastAsia"/>
                <w:lang w:val="de-DE"/>
              </w:rPr>
              <w:t>GB/T 30595</w:t>
            </w:r>
            <w:r>
              <w:rPr>
                <w:szCs w:val="21"/>
              </w:rPr>
              <w:t>—</w:t>
            </w:r>
            <w:r>
              <w:rPr>
                <w:rFonts w:hint="eastAsia"/>
                <w:lang w:val="de-DE"/>
              </w:rPr>
              <w:t>2024</w:t>
            </w:r>
          </w:p>
        </w:tc>
        <w:tc>
          <w:tcPr>
            <w:tcW w:w="2233" w:type="dxa"/>
            <w:vAlign w:val="center"/>
          </w:tcPr>
          <w:p w14:paraId="6C721E1C">
            <w:pPr>
              <w:jc w:val="center"/>
              <w:rPr>
                <w:lang w:val="de-DE"/>
              </w:rPr>
            </w:pPr>
            <w:r>
              <w:rPr>
                <w:lang w:val="de-DE"/>
              </w:rPr>
              <w:t>GB/T 30595</w:t>
            </w:r>
            <w:r>
              <w:rPr>
                <w:szCs w:val="21"/>
              </w:rPr>
              <w:t>—</w:t>
            </w:r>
            <w:r>
              <w:rPr>
                <w:rFonts w:hint="eastAsia"/>
                <w:lang w:val="de-DE"/>
              </w:rPr>
              <w:t>2014或</w:t>
            </w:r>
          </w:p>
          <w:p w14:paraId="70FA0CAF">
            <w:pPr>
              <w:jc w:val="center"/>
              <w:rPr>
                <w:lang w:val="de-DE"/>
              </w:rPr>
            </w:pPr>
            <w:r>
              <w:rPr>
                <w:rFonts w:hint="eastAsia"/>
                <w:lang w:val="de-DE"/>
              </w:rPr>
              <w:t>GB/T 30595</w:t>
            </w:r>
            <w:r>
              <w:rPr>
                <w:szCs w:val="21"/>
              </w:rPr>
              <w:t>—</w:t>
            </w:r>
            <w:r>
              <w:rPr>
                <w:rFonts w:hint="eastAsia"/>
                <w:lang w:val="de-DE"/>
              </w:rPr>
              <w:t>2024</w:t>
            </w:r>
          </w:p>
        </w:tc>
      </w:tr>
      <w:tr w14:paraId="0A19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06" w:type="dxa"/>
            <w:vAlign w:val="center"/>
          </w:tcPr>
          <w:p w14:paraId="0AEAE941">
            <w:pPr>
              <w:snapToGrid w:val="0"/>
              <w:spacing w:line="300" w:lineRule="exact"/>
              <w:jc w:val="center"/>
              <w:rPr>
                <w:szCs w:val="21"/>
              </w:rPr>
            </w:pPr>
            <w:r>
              <w:rPr>
                <w:rFonts w:hint="eastAsia"/>
                <w:szCs w:val="21"/>
              </w:rPr>
              <w:t>3</w:t>
            </w:r>
          </w:p>
        </w:tc>
        <w:tc>
          <w:tcPr>
            <w:tcW w:w="2900" w:type="dxa"/>
            <w:vAlign w:val="center"/>
          </w:tcPr>
          <w:p w14:paraId="71031F9A">
            <w:pPr>
              <w:spacing w:line="300" w:lineRule="exact"/>
              <w:jc w:val="center"/>
              <w:rPr>
                <w:szCs w:val="21"/>
              </w:rPr>
            </w:pPr>
            <w:r>
              <w:rPr>
                <w:szCs w:val="21"/>
              </w:rPr>
              <w:t>吸水率（V/V）</w:t>
            </w:r>
          </w:p>
        </w:tc>
        <w:tc>
          <w:tcPr>
            <w:tcW w:w="2835" w:type="dxa"/>
            <w:vAlign w:val="center"/>
          </w:tcPr>
          <w:p w14:paraId="581ACE84">
            <w:pPr>
              <w:jc w:val="center"/>
              <w:rPr>
                <w:lang w:val="de-DE"/>
              </w:rPr>
            </w:pPr>
            <w:r>
              <w:rPr>
                <w:lang w:val="de-DE"/>
              </w:rPr>
              <w:t>GB/T 30595</w:t>
            </w:r>
            <w:r>
              <w:rPr>
                <w:szCs w:val="21"/>
              </w:rPr>
              <w:t>—</w:t>
            </w:r>
            <w:r>
              <w:rPr>
                <w:rFonts w:hint="eastAsia"/>
                <w:lang w:val="de-DE"/>
              </w:rPr>
              <w:t>2014或</w:t>
            </w:r>
          </w:p>
          <w:p w14:paraId="20C34772">
            <w:pPr>
              <w:jc w:val="center"/>
              <w:rPr>
                <w:rFonts w:hint="eastAsia"/>
                <w:lang w:val="de-DE"/>
              </w:rPr>
            </w:pPr>
            <w:r>
              <w:rPr>
                <w:rFonts w:hint="eastAsia"/>
                <w:lang w:val="de-DE"/>
              </w:rPr>
              <w:t>GB/T 30595</w:t>
            </w:r>
            <w:r>
              <w:rPr>
                <w:szCs w:val="21"/>
              </w:rPr>
              <w:t>—</w:t>
            </w:r>
            <w:r>
              <w:rPr>
                <w:rFonts w:hint="eastAsia"/>
                <w:lang w:val="de-DE"/>
              </w:rPr>
              <w:t>2024</w:t>
            </w:r>
          </w:p>
        </w:tc>
        <w:tc>
          <w:tcPr>
            <w:tcW w:w="2233" w:type="dxa"/>
            <w:vAlign w:val="center"/>
          </w:tcPr>
          <w:p w14:paraId="1FE0519B">
            <w:pPr>
              <w:jc w:val="center"/>
              <w:rPr>
                <w:lang w:val="de-DE"/>
              </w:rPr>
            </w:pPr>
            <w:r>
              <w:rPr>
                <w:lang w:val="de-DE"/>
              </w:rPr>
              <w:t>GB/T 30595</w:t>
            </w:r>
            <w:r>
              <w:rPr>
                <w:szCs w:val="21"/>
              </w:rPr>
              <w:t>—</w:t>
            </w:r>
            <w:r>
              <w:rPr>
                <w:rFonts w:hint="eastAsia"/>
                <w:lang w:val="de-DE"/>
              </w:rPr>
              <w:t>2014或</w:t>
            </w:r>
          </w:p>
          <w:p w14:paraId="7BA7681E">
            <w:pPr>
              <w:jc w:val="center"/>
              <w:rPr>
                <w:lang w:val="de-DE"/>
              </w:rPr>
            </w:pPr>
            <w:r>
              <w:rPr>
                <w:rFonts w:hint="eastAsia"/>
                <w:lang w:val="de-DE"/>
              </w:rPr>
              <w:t>GB/T 30595</w:t>
            </w:r>
            <w:r>
              <w:rPr>
                <w:szCs w:val="21"/>
              </w:rPr>
              <w:t>—</w:t>
            </w:r>
            <w:r>
              <w:rPr>
                <w:rFonts w:hint="eastAsia"/>
                <w:lang w:val="de-DE"/>
              </w:rPr>
              <w:t>2024</w:t>
            </w:r>
          </w:p>
          <w:p w14:paraId="60524BAB">
            <w:pPr>
              <w:jc w:val="center"/>
              <w:rPr>
                <w:lang w:val="de-DE"/>
              </w:rPr>
            </w:pPr>
            <w:r>
              <w:rPr>
                <w:lang w:val="de-DE"/>
              </w:rPr>
              <w:t>GB/T 10801.2—2018</w:t>
            </w:r>
          </w:p>
          <w:p w14:paraId="502DDA3A">
            <w:pPr>
              <w:jc w:val="center"/>
              <w:rPr>
                <w:lang w:val="de-DE"/>
              </w:rPr>
            </w:pPr>
            <w:r>
              <w:rPr>
                <w:lang w:val="de-DE"/>
              </w:rPr>
              <w:t>GB/T 8810—2005</w:t>
            </w:r>
          </w:p>
        </w:tc>
      </w:tr>
      <w:tr w14:paraId="6A14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06" w:type="dxa"/>
            <w:vAlign w:val="center"/>
          </w:tcPr>
          <w:p w14:paraId="1AF20B7B">
            <w:pPr>
              <w:snapToGrid w:val="0"/>
              <w:spacing w:line="300" w:lineRule="exact"/>
              <w:jc w:val="center"/>
              <w:rPr>
                <w:szCs w:val="21"/>
              </w:rPr>
            </w:pPr>
            <w:r>
              <w:rPr>
                <w:rFonts w:hint="eastAsia"/>
                <w:szCs w:val="21"/>
              </w:rPr>
              <w:t>4</w:t>
            </w:r>
          </w:p>
        </w:tc>
        <w:tc>
          <w:tcPr>
            <w:tcW w:w="2900" w:type="dxa"/>
            <w:vAlign w:val="center"/>
          </w:tcPr>
          <w:p w14:paraId="52AF226F">
            <w:pPr>
              <w:spacing w:line="300" w:lineRule="exact"/>
              <w:jc w:val="center"/>
              <w:rPr>
                <w:szCs w:val="21"/>
              </w:rPr>
            </w:pPr>
            <w:r>
              <w:rPr>
                <w:szCs w:val="21"/>
              </w:rPr>
              <w:t>氧指数</w:t>
            </w:r>
          </w:p>
        </w:tc>
        <w:tc>
          <w:tcPr>
            <w:tcW w:w="2835" w:type="dxa"/>
            <w:vAlign w:val="center"/>
          </w:tcPr>
          <w:p w14:paraId="46D81DAE">
            <w:pPr>
              <w:jc w:val="center"/>
              <w:rPr>
                <w:lang w:val="de-DE"/>
              </w:rPr>
            </w:pPr>
            <w:r>
              <w:rPr>
                <w:lang w:val="de-DE"/>
              </w:rPr>
              <w:t>GB/T 30595</w:t>
            </w:r>
            <w:r>
              <w:rPr>
                <w:szCs w:val="21"/>
              </w:rPr>
              <w:t>—</w:t>
            </w:r>
            <w:r>
              <w:rPr>
                <w:rFonts w:hint="eastAsia"/>
                <w:lang w:val="de-DE"/>
              </w:rPr>
              <w:t>2014或</w:t>
            </w:r>
          </w:p>
          <w:p w14:paraId="3452CE79">
            <w:pPr>
              <w:spacing w:line="300" w:lineRule="exact"/>
              <w:jc w:val="center"/>
              <w:rPr>
                <w:szCs w:val="21"/>
              </w:rPr>
            </w:pPr>
            <w:r>
              <w:rPr>
                <w:rFonts w:hint="eastAsia"/>
                <w:lang w:val="de-DE"/>
              </w:rPr>
              <w:t>GB/T 30595</w:t>
            </w:r>
            <w:r>
              <w:rPr>
                <w:szCs w:val="21"/>
              </w:rPr>
              <w:t>—</w:t>
            </w:r>
            <w:r>
              <w:rPr>
                <w:rFonts w:hint="eastAsia"/>
                <w:lang w:val="de-DE"/>
              </w:rPr>
              <w:t>2024</w:t>
            </w:r>
          </w:p>
        </w:tc>
        <w:tc>
          <w:tcPr>
            <w:tcW w:w="2233" w:type="dxa"/>
            <w:vAlign w:val="center"/>
          </w:tcPr>
          <w:p w14:paraId="23C8D15F">
            <w:pPr>
              <w:jc w:val="center"/>
              <w:rPr>
                <w:lang w:val="de-DE"/>
              </w:rPr>
            </w:pPr>
            <w:r>
              <w:rPr>
                <w:lang w:val="de-DE"/>
              </w:rPr>
              <w:t>GB/T 2406.2—2009</w:t>
            </w:r>
          </w:p>
        </w:tc>
      </w:tr>
      <w:tr w14:paraId="4E95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06" w:type="dxa"/>
            <w:vAlign w:val="center"/>
          </w:tcPr>
          <w:p w14:paraId="3E5D3CD9">
            <w:pPr>
              <w:snapToGrid w:val="0"/>
              <w:spacing w:line="300" w:lineRule="exact"/>
              <w:jc w:val="center"/>
              <w:rPr>
                <w:szCs w:val="21"/>
              </w:rPr>
            </w:pPr>
            <w:r>
              <w:rPr>
                <w:rFonts w:hint="eastAsia"/>
                <w:szCs w:val="21"/>
              </w:rPr>
              <w:t>5</w:t>
            </w:r>
          </w:p>
        </w:tc>
        <w:tc>
          <w:tcPr>
            <w:tcW w:w="2900" w:type="dxa"/>
            <w:vAlign w:val="center"/>
          </w:tcPr>
          <w:p w14:paraId="19F42D72">
            <w:pPr>
              <w:spacing w:line="300" w:lineRule="exact"/>
              <w:jc w:val="center"/>
              <w:rPr>
                <w:szCs w:val="21"/>
              </w:rPr>
            </w:pPr>
            <w:r>
              <w:rPr>
                <w:szCs w:val="21"/>
              </w:rPr>
              <w:t>燃烧性能等级</w:t>
            </w:r>
          </w:p>
        </w:tc>
        <w:tc>
          <w:tcPr>
            <w:tcW w:w="2835" w:type="dxa"/>
            <w:vAlign w:val="center"/>
          </w:tcPr>
          <w:p w14:paraId="0F05A792">
            <w:pPr>
              <w:jc w:val="center"/>
              <w:rPr>
                <w:lang w:val="de-DE"/>
              </w:rPr>
            </w:pPr>
            <w:r>
              <w:rPr>
                <w:lang w:val="de-DE"/>
              </w:rPr>
              <w:t>GB/T 30595</w:t>
            </w:r>
            <w:r>
              <w:rPr>
                <w:szCs w:val="21"/>
              </w:rPr>
              <w:t>—</w:t>
            </w:r>
            <w:r>
              <w:rPr>
                <w:rFonts w:hint="eastAsia"/>
                <w:lang w:val="de-DE"/>
              </w:rPr>
              <w:t>2014或</w:t>
            </w:r>
          </w:p>
          <w:p w14:paraId="2F893FBD">
            <w:pPr>
              <w:spacing w:line="300" w:lineRule="exact"/>
              <w:jc w:val="center"/>
              <w:rPr>
                <w:szCs w:val="21"/>
              </w:rPr>
            </w:pPr>
            <w:r>
              <w:rPr>
                <w:rFonts w:hint="eastAsia"/>
                <w:lang w:val="de-DE"/>
              </w:rPr>
              <w:t>GB/T 30595</w:t>
            </w:r>
            <w:r>
              <w:rPr>
                <w:szCs w:val="21"/>
              </w:rPr>
              <w:t>—</w:t>
            </w:r>
            <w:r>
              <w:rPr>
                <w:rFonts w:hint="eastAsia"/>
                <w:lang w:val="de-DE"/>
              </w:rPr>
              <w:t>2024</w:t>
            </w:r>
          </w:p>
        </w:tc>
        <w:tc>
          <w:tcPr>
            <w:tcW w:w="2233" w:type="dxa"/>
            <w:vAlign w:val="center"/>
          </w:tcPr>
          <w:p w14:paraId="4780355F">
            <w:pPr>
              <w:jc w:val="center"/>
              <w:rPr>
                <w:lang w:val="de-DE"/>
              </w:rPr>
            </w:pPr>
            <w:r>
              <w:rPr>
                <w:lang w:val="de-DE"/>
              </w:rPr>
              <w:t>GB 8624—2012</w:t>
            </w:r>
          </w:p>
          <w:p w14:paraId="1C8C57E1">
            <w:pPr>
              <w:jc w:val="center"/>
              <w:rPr>
                <w:lang w:val="de-DE"/>
              </w:rPr>
            </w:pPr>
            <w:r>
              <w:rPr>
                <w:lang w:val="de-DE"/>
              </w:rPr>
              <w:t>GB/T 20284—2006</w:t>
            </w:r>
          </w:p>
          <w:p w14:paraId="4F140876">
            <w:pPr>
              <w:jc w:val="center"/>
              <w:rPr>
                <w:lang w:val="de-DE"/>
              </w:rPr>
            </w:pPr>
            <w:r>
              <w:rPr>
                <w:lang w:val="de-DE"/>
              </w:rPr>
              <w:t>GB/T 8626—2007</w:t>
            </w:r>
          </w:p>
        </w:tc>
      </w:tr>
      <w:bookmarkEnd w:id="0"/>
    </w:tbl>
    <w:p w14:paraId="24D5D841">
      <w:pPr>
        <w:snapToGrid w:val="0"/>
        <w:spacing w:line="440" w:lineRule="exact"/>
        <w:ind w:firstLine="417" w:firstLineChars="199"/>
        <w:jc w:val="center"/>
        <w:rPr>
          <w:szCs w:val="21"/>
        </w:rPr>
      </w:pPr>
    </w:p>
    <w:p w14:paraId="3AD5ECB0">
      <w:pPr>
        <w:snapToGrid w:val="0"/>
        <w:spacing w:line="440" w:lineRule="exact"/>
        <w:ind w:firstLine="417" w:firstLineChars="199"/>
        <w:jc w:val="center"/>
        <w:rPr>
          <w:szCs w:val="21"/>
        </w:rPr>
      </w:pPr>
      <w:r>
        <w:rPr>
          <w:szCs w:val="21"/>
        </w:rPr>
        <w:t>表</w:t>
      </w:r>
      <w:r>
        <w:rPr>
          <w:rFonts w:hint="eastAsia"/>
          <w:szCs w:val="21"/>
        </w:rPr>
        <w:t>2</w:t>
      </w:r>
      <w:r>
        <w:rPr>
          <w:szCs w:val="21"/>
        </w:rPr>
        <w:t>绝热用挤塑聚苯乙烯泡沫塑料</w:t>
      </w:r>
    </w:p>
    <w:tbl>
      <w:tblPr>
        <w:tblStyle w:val="6"/>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84"/>
        <w:gridCol w:w="863"/>
        <w:gridCol w:w="1417"/>
        <w:gridCol w:w="2693"/>
        <w:gridCol w:w="2375"/>
      </w:tblGrid>
      <w:tr w14:paraId="4E48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242" w:type="dxa"/>
            <w:vAlign w:val="center"/>
          </w:tcPr>
          <w:p w14:paraId="3BE5E2D2">
            <w:pPr>
              <w:jc w:val="center"/>
            </w:pPr>
            <w:r>
              <w:t>序号</w:t>
            </w:r>
          </w:p>
        </w:tc>
        <w:tc>
          <w:tcPr>
            <w:tcW w:w="2864" w:type="dxa"/>
            <w:gridSpan w:val="3"/>
            <w:vAlign w:val="center"/>
          </w:tcPr>
          <w:p w14:paraId="7D3B65AE">
            <w:pPr>
              <w:jc w:val="center"/>
            </w:pPr>
            <w:r>
              <w:t>检验项目</w:t>
            </w:r>
          </w:p>
        </w:tc>
        <w:tc>
          <w:tcPr>
            <w:tcW w:w="2693" w:type="dxa"/>
            <w:vAlign w:val="center"/>
          </w:tcPr>
          <w:p w14:paraId="3C99D10F">
            <w:pPr>
              <w:jc w:val="center"/>
              <w:rPr>
                <w:rFonts w:hint="eastAsia"/>
              </w:rPr>
            </w:pPr>
            <w:r>
              <w:rPr>
                <w:rFonts w:hint="eastAsia"/>
              </w:rPr>
              <w:t>检验依据</w:t>
            </w:r>
          </w:p>
        </w:tc>
        <w:tc>
          <w:tcPr>
            <w:tcW w:w="2375" w:type="dxa"/>
            <w:vAlign w:val="center"/>
          </w:tcPr>
          <w:p w14:paraId="6AB8CAC8">
            <w:pPr>
              <w:jc w:val="center"/>
            </w:pPr>
            <w:r>
              <w:rPr>
                <w:szCs w:val="21"/>
              </w:rPr>
              <w:t>检验方法</w:t>
            </w:r>
          </w:p>
        </w:tc>
      </w:tr>
      <w:tr w14:paraId="7F27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42" w:type="dxa"/>
            <w:vAlign w:val="center"/>
          </w:tcPr>
          <w:p w14:paraId="61CC2AAB">
            <w:pPr>
              <w:jc w:val="center"/>
            </w:pPr>
            <w:bookmarkStart w:id="1" w:name="_Hlk172041338"/>
            <w:r>
              <w:rPr>
                <w:rFonts w:hint="eastAsia"/>
              </w:rPr>
              <w:t>1</w:t>
            </w:r>
          </w:p>
        </w:tc>
        <w:tc>
          <w:tcPr>
            <w:tcW w:w="2864" w:type="dxa"/>
            <w:gridSpan w:val="3"/>
            <w:vAlign w:val="center"/>
          </w:tcPr>
          <w:p w14:paraId="708DD7C2">
            <w:pPr>
              <w:jc w:val="center"/>
            </w:pPr>
            <w:r>
              <w:t>压缩强度</w:t>
            </w:r>
          </w:p>
        </w:tc>
        <w:tc>
          <w:tcPr>
            <w:tcW w:w="2693" w:type="dxa"/>
            <w:vAlign w:val="center"/>
          </w:tcPr>
          <w:p w14:paraId="3230B2B4">
            <w:pPr>
              <w:jc w:val="center"/>
            </w:pPr>
            <w:r>
              <w:rPr>
                <w:lang w:val="de-DE"/>
              </w:rPr>
              <w:t>GB/T 10801.2—2018</w:t>
            </w:r>
          </w:p>
        </w:tc>
        <w:tc>
          <w:tcPr>
            <w:tcW w:w="2375" w:type="dxa"/>
            <w:vAlign w:val="center"/>
          </w:tcPr>
          <w:p w14:paraId="0C9B0E10">
            <w:pPr>
              <w:jc w:val="center"/>
            </w:pPr>
            <w:r>
              <w:t>GB/T 10801.2—2018</w:t>
            </w:r>
          </w:p>
          <w:p w14:paraId="33773489">
            <w:pPr>
              <w:jc w:val="center"/>
            </w:pPr>
            <w:r>
              <w:t>GB/T 8813—20</w:t>
            </w:r>
            <w:r>
              <w:rPr>
                <w:rFonts w:hint="eastAsia"/>
              </w:rPr>
              <w:t>20</w:t>
            </w:r>
          </w:p>
        </w:tc>
      </w:tr>
      <w:tr w14:paraId="3D4D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42" w:type="dxa"/>
            <w:vAlign w:val="center"/>
          </w:tcPr>
          <w:p w14:paraId="1DC94453">
            <w:pPr>
              <w:jc w:val="center"/>
            </w:pPr>
            <w:r>
              <w:rPr>
                <w:rFonts w:hint="eastAsia"/>
              </w:rPr>
              <w:t>2</w:t>
            </w:r>
          </w:p>
        </w:tc>
        <w:tc>
          <w:tcPr>
            <w:tcW w:w="2864" w:type="dxa"/>
            <w:gridSpan w:val="3"/>
            <w:vAlign w:val="center"/>
          </w:tcPr>
          <w:p w14:paraId="4D4EE650">
            <w:pPr>
              <w:jc w:val="center"/>
            </w:pPr>
            <w:r>
              <w:t>吸水率，浸水96h</w:t>
            </w:r>
          </w:p>
        </w:tc>
        <w:tc>
          <w:tcPr>
            <w:tcW w:w="2693" w:type="dxa"/>
            <w:vAlign w:val="center"/>
          </w:tcPr>
          <w:p w14:paraId="63360E65">
            <w:pPr>
              <w:jc w:val="center"/>
            </w:pPr>
            <w:r>
              <w:rPr>
                <w:lang w:val="de-DE"/>
              </w:rPr>
              <w:t>GB/T 10801.2—2018</w:t>
            </w:r>
          </w:p>
        </w:tc>
        <w:tc>
          <w:tcPr>
            <w:tcW w:w="2375" w:type="dxa"/>
            <w:vAlign w:val="center"/>
          </w:tcPr>
          <w:p w14:paraId="66E673CF">
            <w:pPr>
              <w:jc w:val="center"/>
            </w:pPr>
            <w:r>
              <w:t>GB/T 10801.2—2018</w:t>
            </w:r>
          </w:p>
          <w:p w14:paraId="31F5C9DB">
            <w:pPr>
              <w:jc w:val="center"/>
            </w:pPr>
            <w:r>
              <w:t>GB/T 8810—2005</w:t>
            </w:r>
          </w:p>
        </w:tc>
      </w:tr>
      <w:tr w14:paraId="45FC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42" w:type="dxa"/>
            <w:vMerge w:val="restart"/>
            <w:vAlign w:val="center"/>
          </w:tcPr>
          <w:p w14:paraId="66390476">
            <w:pPr>
              <w:jc w:val="center"/>
            </w:pPr>
            <w:r>
              <w:rPr>
                <w:rFonts w:hint="eastAsia"/>
              </w:rPr>
              <w:t>3</w:t>
            </w:r>
          </w:p>
        </w:tc>
        <w:tc>
          <w:tcPr>
            <w:tcW w:w="584" w:type="dxa"/>
            <w:vMerge w:val="restart"/>
            <w:vAlign w:val="center"/>
          </w:tcPr>
          <w:p w14:paraId="346D0AB8">
            <w:pPr>
              <w:jc w:val="center"/>
            </w:pPr>
            <w:r>
              <w:t>绝热性能</w:t>
            </w:r>
          </w:p>
        </w:tc>
        <w:tc>
          <w:tcPr>
            <w:tcW w:w="863" w:type="dxa"/>
            <w:vMerge w:val="restart"/>
            <w:vAlign w:val="center"/>
          </w:tcPr>
          <w:p w14:paraId="5641053E">
            <w:pPr>
              <w:jc w:val="center"/>
            </w:pPr>
            <w:r>
              <w:t>导热系数</w:t>
            </w:r>
          </w:p>
        </w:tc>
        <w:tc>
          <w:tcPr>
            <w:tcW w:w="1417" w:type="dxa"/>
            <w:vAlign w:val="center"/>
          </w:tcPr>
          <w:p w14:paraId="1772F18B">
            <w:pPr>
              <w:jc w:val="center"/>
            </w:pPr>
            <w:r>
              <w:t>平均温度10</w:t>
            </w:r>
            <w:r>
              <w:rPr>
                <w:rFonts w:hint="eastAsia" w:ascii="宋体" w:hAnsi="宋体" w:cs="宋体"/>
              </w:rPr>
              <w:t>℃</w:t>
            </w:r>
          </w:p>
        </w:tc>
        <w:tc>
          <w:tcPr>
            <w:tcW w:w="2693" w:type="dxa"/>
            <w:vMerge w:val="restart"/>
            <w:vAlign w:val="center"/>
          </w:tcPr>
          <w:p w14:paraId="6AC24475">
            <w:pPr>
              <w:jc w:val="center"/>
            </w:pPr>
            <w:r>
              <w:rPr>
                <w:lang w:val="de-DE"/>
              </w:rPr>
              <w:t>GB/T 10801.2—2018</w:t>
            </w:r>
          </w:p>
        </w:tc>
        <w:tc>
          <w:tcPr>
            <w:tcW w:w="2375" w:type="dxa"/>
            <w:vMerge w:val="restart"/>
            <w:vAlign w:val="center"/>
          </w:tcPr>
          <w:p w14:paraId="2FA9290E">
            <w:pPr>
              <w:jc w:val="center"/>
              <w:rPr>
                <w:lang w:val="de-DE"/>
              </w:rPr>
            </w:pPr>
            <w:r>
              <w:rPr>
                <w:lang w:val="de-DE"/>
              </w:rPr>
              <w:t>GB/T 10801.2—2018</w:t>
            </w:r>
          </w:p>
          <w:p w14:paraId="0798C379">
            <w:pPr>
              <w:jc w:val="center"/>
              <w:rPr>
                <w:lang w:val="de-DE"/>
              </w:rPr>
            </w:pPr>
            <w:r>
              <w:rPr>
                <w:lang w:val="de-DE"/>
              </w:rPr>
              <w:t>GB/T 10294—2008</w:t>
            </w:r>
          </w:p>
          <w:p w14:paraId="0A8FB414">
            <w:pPr>
              <w:jc w:val="center"/>
              <w:rPr>
                <w:lang w:val="de-DE"/>
              </w:rPr>
            </w:pPr>
            <w:r>
              <w:rPr>
                <w:lang w:val="de-DE"/>
              </w:rPr>
              <w:t>GB/T 10295—2008</w:t>
            </w:r>
          </w:p>
        </w:tc>
      </w:tr>
      <w:tr w14:paraId="698D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42" w:type="dxa"/>
            <w:vMerge w:val="continue"/>
            <w:vAlign w:val="center"/>
          </w:tcPr>
          <w:p w14:paraId="74D013DF">
            <w:pPr>
              <w:jc w:val="center"/>
              <w:rPr>
                <w:lang w:val="de-DE"/>
              </w:rPr>
            </w:pPr>
          </w:p>
        </w:tc>
        <w:tc>
          <w:tcPr>
            <w:tcW w:w="584" w:type="dxa"/>
            <w:vMerge w:val="continue"/>
            <w:vAlign w:val="center"/>
          </w:tcPr>
          <w:p w14:paraId="6D974673">
            <w:pPr>
              <w:jc w:val="center"/>
              <w:rPr>
                <w:lang w:val="de-DE"/>
              </w:rPr>
            </w:pPr>
          </w:p>
        </w:tc>
        <w:tc>
          <w:tcPr>
            <w:tcW w:w="863" w:type="dxa"/>
            <w:vMerge w:val="continue"/>
            <w:vAlign w:val="center"/>
          </w:tcPr>
          <w:p w14:paraId="5F768E1B">
            <w:pPr>
              <w:jc w:val="center"/>
              <w:rPr>
                <w:lang w:val="de-DE"/>
              </w:rPr>
            </w:pPr>
          </w:p>
        </w:tc>
        <w:tc>
          <w:tcPr>
            <w:tcW w:w="1417" w:type="dxa"/>
            <w:vAlign w:val="center"/>
          </w:tcPr>
          <w:p w14:paraId="6236840A">
            <w:pPr>
              <w:jc w:val="center"/>
            </w:pPr>
            <w:r>
              <w:t>平均温度25</w:t>
            </w:r>
            <w:r>
              <w:rPr>
                <w:rFonts w:hint="eastAsia" w:ascii="宋体" w:hAnsi="宋体" w:cs="宋体"/>
              </w:rPr>
              <w:t>℃</w:t>
            </w:r>
          </w:p>
        </w:tc>
        <w:tc>
          <w:tcPr>
            <w:tcW w:w="2693" w:type="dxa"/>
            <w:vMerge w:val="continue"/>
            <w:vAlign w:val="center"/>
          </w:tcPr>
          <w:p w14:paraId="717678C9">
            <w:pPr>
              <w:jc w:val="center"/>
            </w:pPr>
          </w:p>
        </w:tc>
        <w:tc>
          <w:tcPr>
            <w:tcW w:w="2375" w:type="dxa"/>
            <w:vMerge w:val="continue"/>
            <w:vAlign w:val="center"/>
          </w:tcPr>
          <w:p w14:paraId="6074527E">
            <w:pPr>
              <w:jc w:val="center"/>
            </w:pPr>
          </w:p>
        </w:tc>
      </w:tr>
      <w:tr w14:paraId="38DB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42" w:type="dxa"/>
            <w:vMerge w:val="continue"/>
            <w:vAlign w:val="center"/>
          </w:tcPr>
          <w:p w14:paraId="750C6C8D">
            <w:pPr>
              <w:jc w:val="center"/>
            </w:pPr>
          </w:p>
        </w:tc>
        <w:tc>
          <w:tcPr>
            <w:tcW w:w="584" w:type="dxa"/>
            <w:vMerge w:val="continue"/>
            <w:vAlign w:val="center"/>
          </w:tcPr>
          <w:p w14:paraId="78AD448C">
            <w:pPr>
              <w:jc w:val="center"/>
            </w:pPr>
          </w:p>
        </w:tc>
        <w:tc>
          <w:tcPr>
            <w:tcW w:w="863" w:type="dxa"/>
            <w:vMerge w:val="restart"/>
            <w:vAlign w:val="center"/>
          </w:tcPr>
          <w:p w14:paraId="2A2B9B48">
            <w:pPr>
              <w:jc w:val="center"/>
            </w:pPr>
            <w:r>
              <w:t>热阻</w:t>
            </w:r>
          </w:p>
          <w:p w14:paraId="65F0ECB3">
            <w:pPr>
              <w:jc w:val="center"/>
            </w:pPr>
            <w:r>
              <w:t>（厚度25mm时）</w:t>
            </w:r>
          </w:p>
        </w:tc>
        <w:tc>
          <w:tcPr>
            <w:tcW w:w="1417" w:type="dxa"/>
            <w:vAlign w:val="center"/>
          </w:tcPr>
          <w:p w14:paraId="66B57D2B">
            <w:pPr>
              <w:jc w:val="center"/>
            </w:pPr>
            <w:r>
              <w:t>平均温度10</w:t>
            </w:r>
            <w:r>
              <w:rPr>
                <w:rFonts w:hint="eastAsia" w:ascii="宋体" w:hAnsi="宋体" w:cs="宋体"/>
              </w:rPr>
              <w:t>℃</w:t>
            </w:r>
          </w:p>
        </w:tc>
        <w:tc>
          <w:tcPr>
            <w:tcW w:w="2693" w:type="dxa"/>
            <w:vMerge w:val="continue"/>
            <w:vAlign w:val="center"/>
          </w:tcPr>
          <w:p w14:paraId="0396A0E4">
            <w:pPr>
              <w:jc w:val="center"/>
            </w:pPr>
          </w:p>
        </w:tc>
        <w:tc>
          <w:tcPr>
            <w:tcW w:w="2375" w:type="dxa"/>
            <w:vMerge w:val="continue"/>
            <w:vAlign w:val="center"/>
          </w:tcPr>
          <w:p w14:paraId="5B8FDB46">
            <w:pPr>
              <w:jc w:val="center"/>
            </w:pPr>
          </w:p>
        </w:tc>
      </w:tr>
      <w:tr w14:paraId="38224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42" w:type="dxa"/>
            <w:vMerge w:val="continue"/>
            <w:vAlign w:val="center"/>
          </w:tcPr>
          <w:p w14:paraId="66689EE2">
            <w:pPr>
              <w:jc w:val="center"/>
            </w:pPr>
          </w:p>
        </w:tc>
        <w:tc>
          <w:tcPr>
            <w:tcW w:w="584" w:type="dxa"/>
            <w:vMerge w:val="continue"/>
            <w:vAlign w:val="center"/>
          </w:tcPr>
          <w:p w14:paraId="56A43AF0">
            <w:pPr>
              <w:jc w:val="center"/>
            </w:pPr>
          </w:p>
        </w:tc>
        <w:tc>
          <w:tcPr>
            <w:tcW w:w="863" w:type="dxa"/>
            <w:vMerge w:val="continue"/>
            <w:vAlign w:val="center"/>
          </w:tcPr>
          <w:p w14:paraId="7575E62C">
            <w:pPr>
              <w:jc w:val="center"/>
            </w:pPr>
          </w:p>
        </w:tc>
        <w:tc>
          <w:tcPr>
            <w:tcW w:w="1417" w:type="dxa"/>
            <w:vAlign w:val="center"/>
          </w:tcPr>
          <w:p w14:paraId="470C0FC8">
            <w:pPr>
              <w:jc w:val="center"/>
            </w:pPr>
            <w:r>
              <w:t>平均温度25</w:t>
            </w:r>
            <w:r>
              <w:rPr>
                <w:rFonts w:hint="eastAsia" w:ascii="宋体" w:hAnsi="宋体" w:cs="宋体"/>
              </w:rPr>
              <w:t>℃</w:t>
            </w:r>
          </w:p>
        </w:tc>
        <w:tc>
          <w:tcPr>
            <w:tcW w:w="2693" w:type="dxa"/>
            <w:vMerge w:val="continue"/>
            <w:vAlign w:val="center"/>
          </w:tcPr>
          <w:p w14:paraId="188073CF">
            <w:pPr>
              <w:jc w:val="center"/>
            </w:pPr>
          </w:p>
        </w:tc>
        <w:tc>
          <w:tcPr>
            <w:tcW w:w="2375" w:type="dxa"/>
            <w:vMerge w:val="continue"/>
            <w:vAlign w:val="center"/>
          </w:tcPr>
          <w:p w14:paraId="34C657C7">
            <w:pPr>
              <w:jc w:val="center"/>
            </w:pPr>
          </w:p>
        </w:tc>
      </w:tr>
      <w:tr w14:paraId="3C658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42" w:type="dxa"/>
            <w:vAlign w:val="center"/>
          </w:tcPr>
          <w:p w14:paraId="16ADCDEA">
            <w:pPr>
              <w:jc w:val="center"/>
            </w:pPr>
            <w:r>
              <w:rPr>
                <w:rFonts w:hint="eastAsia"/>
              </w:rPr>
              <w:t>4</w:t>
            </w:r>
          </w:p>
        </w:tc>
        <w:tc>
          <w:tcPr>
            <w:tcW w:w="2864" w:type="dxa"/>
            <w:gridSpan w:val="3"/>
            <w:vAlign w:val="center"/>
          </w:tcPr>
          <w:p w14:paraId="24C1408F">
            <w:pPr>
              <w:jc w:val="center"/>
            </w:pPr>
            <w:r>
              <w:t>燃烧性能</w:t>
            </w:r>
          </w:p>
        </w:tc>
        <w:tc>
          <w:tcPr>
            <w:tcW w:w="2693" w:type="dxa"/>
            <w:vAlign w:val="center"/>
          </w:tcPr>
          <w:p w14:paraId="69373A74">
            <w:pPr>
              <w:jc w:val="center"/>
            </w:pPr>
            <w:r>
              <w:rPr>
                <w:lang w:val="de-DE"/>
              </w:rPr>
              <w:t>GB/T 10801.2—2018</w:t>
            </w:r>
          </w:p>
        </w:tc>
        <w:tc>
          <w:tcPr>
            <w:tcW w:w="2375" w:type="dxa"/>
            <w:vAlign w:val="center"/>
          </w:tcPr>
          <w:p w14:paraId="24D66A6B">
            <w:pPr>
              <w:jc w:val="center"/>
              <w:rPr>
                <w:szCs w:val="21"/>
                <w:lang w:val="de-DE"/>
              </w:rPr>
            </w:pPr>
            <w:r>
              <w:rPr>
                <w:szCs w:val="21"/>
                <w:lang w:val="de-DE"/>
              </w:rPr>
              <w:t>GB 8624—2012</w:t>
            </w:r>
          </w:p>
          <w:p w14:paraId="50BD54C0">
            <w:pPr>
              <w:snapToGrid w:val="0"/>
              <w:spacing w:line="300" w:lineRule="exact"/>
              <w:jc w:val="center"/>
              <w:rPr>
                <w:szCs w:val="21"/>
                <w:lang w:val="de-DE"/>
              </w:rPr>
            </w:pPr>
            <w:r>
              <w:rPr>
                <w:szCs w:val="21"/>
                <w:lang w:val="de-DE"/>
              </w:rPr>
              <w:t>GB/T 20284—2006</w:t>
            </w:r>
          </w:p>
          <w:p w14:paraId="0A692757">
            <w:pPr>
              <w:jc w:val="center"/>
              <w:rPr>
                <w:szCs w:val="21"/>
                <w:lang w:val="de-DE"/>
              </w:rPr>
            </w:pPr>
            <w:r>
              <w:rPr>
                <w:szCs w:val="21"/>
                <w:lang w:val="de-DE"/>
              </w:rPr>
              <w:t xml:space="preserve">GB/T 11785—2005 </w:t>
            </w:r>
          </w:p>
          <w:p w14:paraId="7F16E30F">
            <w:pPr>
              <w:jc w:val="center"/>
              <w:rPr>
                <w:szCs w:val="21"/>
                <w:lang w:val="de-DE"/>
              </w:rPr>
            </w:pPr>
            <w:r>
              <w:rPr>
                <w:szCs w:val="21"/>
                <w:lang w:val="de-DE"/>
              </w:rPr>
              <w:t>GB/T 8626—2007</w:t>
            </w:r>
          </w:p>
          <w:p w14:paraId="2C11A7F8">
            <w:pPr>
              <w:jc w:val="center"/>
            </w:pPr>
            <w:r>
              <w:rPr>
                <w:szCs w:val="21"/>
                <w:lang w:val="de-DE"/>
              </w:rPr>
              <w:t>GB/T 2406.2—2009</w:t>
            </w:r>
          </w:p>
        </w:tc>
      </w:tr>
      <w:bookmarkEnd w:id="1"/>
    </w:tbl>
    <w:p w14:paraId="1737692F">
      <w:pPr>
        <w:adjustRightInd w:val="0"/>
        <w:snapToGrid w:val="0"/>
        <w:spacing w:line="440" w:lineRule="exact"/>
        <w:ind w:firstLine="420" w:firstLineChars="200"/>
        <w:rPr>
          <w:color w:val="000000"/>
        </w:rPr>
      </w:pPr>
      <w:r>
        <w:rPr>
          <w:rFonts w:hint="eastAsia"/>
          <w:color w:val="000000"/>
        </w:rPr>
        <w:t>执行企业标准、团体标准、地方标准的产品，检验项目参照上述内容执行。</w:t>
      </w:r>
      <w:r>
        <w:rPr>
          <w:rFonts w:hint="eastAsia"/>
          <w:color w:val="000000"/>
        </w:rPr>
        <w:cr/>
      </w:r>
      <w:r>
        <w:rPr>
          <w:rFonts w:hint="eastAsia"/>
          <w:color w:val="000000"/>
        </w:rPr>
        <w:t xml:space="preserve">    凡是注日期的文件，其随后所有的修改单（不包括勘误的内容）或修订版不适用于本细则。凡是不注日期的文件，其最新版本适用于本细则。</w:t>
      </w:r>
      <w:r>
        <w:rPr>
          <w:rFonts w:hint="eastAsia"/>
          <w:color w:val="000000"/>
        </w:rPr>
        <w:cr/>
      </w:r>
      <w:r>
        <w:rPr>
          <w:rFonts w:hint="eastAsia"/>
          <w:color w:val="000000"/>
        </w:rPr>
        <w:t xml:space="preserve">    复检用样品均使用备样。</w:t>
      </w:r>
    </w:p>
    <w:p w14:paraId="59D8E646">
      <w:pPr>
        <w:spacing w:line="360" w:lineRule="auto"/>
        <w:rPr>
          <w:rFonts w:eastAsia="黑体"/>
          <w:color w:val="000000"/>
          <w:szCs w:val="21"/>
        </w:rPr>
      </w:pPr>
      <w:r>
        <w:rPr>
          <w:rFonts w:eastAsia="黑体"/>
          <w:color w:val="000000"/>
          <w:szCs w:val="21"/>
        </w:rPr>
        <w:t>3 判定规则</w:t>
      </w:r>
    </w:p>
    <w:p w14:paraId="7106E484">
      <w:pPr>
        <w:snapToGrid w:val="0"/>
        <w:spacing w:line="440" w:lineRule="exact"/>
        <w:ind w:firstLine="420" w:firstLineChars="200"/>
        <w:rPr>
          <w:color w:val="000000"/>
          <w:szCs w:val="21"/>
        </w:rPr>
      </w:pPr>
      <w:r>
        <w:rPr>
          <w:color w:val="000000"/>
          <w:szCs w:val="21"/>
        </w:rPr>
        <w:t>3.1依据标准</w:t>
      </w:r>
    </w:p>
    <w:p w14:paraId="2B1E7D46">
      <w:pPr>
        <w:spacing w:line="440" w:lineRule="exact"/>
        <w:ind w:right="142" w:firstLine="420"/>
        <w:rPr>
          <w:szCs w:val="21"/>
        </w:rPr>
      </w:pPr>
      <w:r>
        <w:rPr>
          <w:szCs w:val="21"/>
        </w:rPr>
        <w:t>GB/T 30595—</w:t>
      </w:r>
      <w:r>
        <w:rPr>
          <w:rFonts w:hint="eastAsia"/>
          <w:szCs w:val="21"/>
        </w:rPr>
        <w:t xml:space="preserve">2014   </w:t>
      </w:r>
      <w:r>
        <w:rPr>
          <w:szCs w:val="21"/>
        </w:rPr>
        <w:t>挤塑聚苯板（XPS）薄抹灰外墙外保温系统材料</w:t>
      </w:r>
    </w:p>
    <w:p w14:paraId="4BB8A6F1">
      <w:pPr>
        <w:spacing w:line="440" w:lineRule="exact"/>
        <w:ind w:right="142" w:firstLine="420"/>
        <w:rPr>
          <w:szCs w:val="21"/>
        </w:rPr>
      </w:pPr>
      <w:r>
        <w:rPr>
          <w:rFonts w:hint="eastAsia"/>
          <w:szCs w:val="21"/>
        </w:rPr>
        <w:t>GB/T 30595</w:t>
      </w:r>
      <w:r>
        <w:rPr>
          <w:szCs w:val="21"/>
        </w:rPr>
        <w:t>—</w:t>
      </w:r>
      <w:r>
        <w:rPr>
          <w:rFonts w:hint="eastAsia"/>
          <w:szCs w:val="21"/>
        </w:rPr>
        <w:t>2024   建筑保温用挤塑聚苯板（XPS）系统材料</w:t>
      </w:r>
    </w:p>
    <w:p w14:paraId="2E0BD557">
      <w:pPr>
        <w:snapToGrid w:val="0"/>
        <w:spacing w:line="440" w:lineRule="exact"/>
        <w:ind w:firstLine="420" w:firstLineChars="200"/>
        <w:rPr>
          <w:color w:val="000000"/>
          <w:szCs w:val="21"/>
        </w:rPr>
      </w:pPr>
      <w:r>
        <w:rPr>
          <w:color w:val="000000"/>
          <w:szCs w:val="21"/>
        </w:rPr>
        <w:t>GB/T 10801.2—2018 绝热用挤塑聚苯乙烯泡沫塑料（XPS）</w:t>
      </w:r>
    </w:p>
    <w:p w14:paraId="57236FCB">
      <w:pPr>
        <w:snapToGrid w:val="0"/>
        <w:spacing w:line="440" w:lineRule="exact"/>
        <w:ind w:firstLine="420" w:firstLineChars="200"/>
        <w:rPr>
          <w:color w:val="000000"/>
          <w:szCs w:val="21"/>
        </w:rPr>
      </w:pPr>
      <w:r>
        <w:rPr>
          <w:color w:val="000000"/>
          <w:szCs w:val="21"/>
        </w:rPr>
        <w:t>行有效的企业标准、团体标准、地方标准及产品明示质量要求</w:t>
      </w:r>
    </w:p>
    <w:p w14:paraId="4BD5B90B">
      <w:pPr>
        <w:snapToGrid w:val="0"/>
        <w:spacing w:line="440" w:lineRule="exact"/>
        <w:ind w:firstLine="420" w:firstLineChars="200"/>
        <w:rPr>
          <w:color w:val="000000"/>
          <w:szCs w:val="21"/>
        </w:rPr>
      </w:pPr>
      <w:r>
        <w:rPr>
          <w:rFonts w:hint="eastAsia"/>
        </w:rPr>
        <w:t>3.2判定原则</w:t>
      </w:r>
    </w:p>
    <w:p w14:paraId="6128AB3E">
      <w:pPr>
        <w:snapToGrid w:val="0"/>
        <w:spacing w:line="440" w:lineRule="exact"/>
        <w:ind w:firstLine="417" w:firstLineChars="199"/>
      </w:pPr>
      <w:r>
        <w:rPr>
          <w:rFonts w:hint="eastAsia"/>
        </w:rPr>
        <w:t>若被检产品明示的质量要求高于本细则中检验项目依据的标准要求时，应按被检产品明示的质量要求判定。</w:t>
      </w:r>
    </w:p>
    <w:p w14:paraId="703E57F7">
      <w:pPr>
        <w:snapToGrid w:val="0"/>
        <w:spacing w:line="440" w:lineRule="exact"/>
        <w:ind w:firstLine="417" w:firstLineChars="199"/>
      </w:pPr>
      <w:r>
        <w:rPr>
          <w:rFonts w:hint="eastAsia"/>
        </w:rPr>
        <w:t>若被检产品明示的质量要求低于本细则中检验项目依据的强制性标准要求时，应按照强制性标准要求判定。</w:t>
      </w:r>
    </w:p>
    <w:p w14:paraId="22C194E5">
      <w:pPr>
        <w:snapToGrid w:val="0"/>
        <w:spacing w:line="440" w:lineRule="exact"/>
        <w:ind w:firstLine="417" w:firstLineChars="199"/>
      </w:pPr>
      <w:r>
        <w:rPr>
          <w:rFonts w:hint="eastAsia"/>
        </w:rPr>
        <w:t>若被检产品明示的质量要求低于或包含本细则中检验项目依据的推荐性标准要求时，应以被检产品明示的质量要求判定。但应在检验报告中注明该项目的实测值以及推荐性标准的标准值。</w:t>
      </w:r>
    </w:p>
    <w:p w14:paraId="7779D9E6">
      <w:pPr>
        <w:snapToGrid w:val="0"/>
        <w:spacing w:line="440" w:lineRule="exact"/>
        <w:ind w:firstLine="417" w:firstLineChars="199"/>
      </w:pPr>
      <w:r>
        <w:rPr>
          <w:rFonts w:hint="eastAsia"/>
        </w:rPr>
        <w:t>若被检产品明示的质量要求缺少本细则中检验项目依据的强制性标准要求时，应按照强制性标准要求判定。</w:t>
      </w:r>
    </w:p>
    <w:p w14:paraId="18A93C0D">
      <w:pPr>
        <w:snapToGrid w:val="0"/>
        <w:spacing w:line="440" w:lineRule="exact"/>
        <w:ind w:firstLine="417" w:firstLineChars="199"/>
      </w:pPr>
      <w:r>
        <w:rPr>
          <w:rFonts w:hint="eastAsia"/>
        </w:rPr>
        <w:t>若被检产品明示的质量要求缺少本细则中检验项目依据的推荐性标准要求时，该项目不参与判定。但应在检验报告中注明该项目的实测值以及推荐性标准的标准值。</w:t>
      </w:r>
    </w:p>
    <w:p w14:paraId="2F717CFD">
      <w:pPr>
        <w:snapToGrid w:val="0"/>
        <w:spacing w:line="440" w:lineRule="exact"/>
        <w:ind w:firstLine="417" w:firstLineChars="199"/>
      </w:pPr>
    </w:p>
    <w:p w14:paraId="2FD4CD94">
      <w:pPr>
        <w:snapToGrid w:val="0"/>
        <w:spacing w:line="440" w:lineRule="exact"/>
        <w:ind w:firstLine="417" w:firstLineChars="199"/>
      </w:pPr>
      <w:r>
        <w:rPr>
          <w:rFonts w:hint="eastAsia"/>
        </w:rPr>
        <w:t>3.3 综合结论判定</w:t>
      </w:r>
    </w:p>
    <w:p w14:paraId="11DF6E2D">
      <w:pPr>
        <w:snapToGrid w:val="0"/>
        <w:spacing w:line="440" w:lineRule="exact"/>
        <w:ind w:firstLine="417" w:firstLineChars="199"/>
      </w:pPr>
      <w:r>
        <w:rPr>
          <w:rFonts w:hint="eastAsia"/>
        </w:rPr>
        <w:t>经检验，检验项目中任一项或一项以上不合格，判定被抽查产品为“不合格”；</w:t>
      </w:r>
    </w:p>
    <w:p w14:paraId="43926BCB">
      <w:pPr>
        <w:snapToGrid w:val="0"/>
        <w:spacing w:line="440" w:lineRule="exact"/>
        <w:ind w:firstLine="417" w:firstLineChars="199"/>
      </w:pPr>
      <w:r>
        <w:rPr>
          <w:rFonts w:hint="eastAsia"/>
        </w:rPr>
        <w:t>检验项目全部符合明示质量要求，但不符合本细则检验项目依据的推荐性标准，判定被抽查产品为“所检项目符合明示质量要求，未达到××标准规定”。（注：××为具体标准名称）</w:t>
      </w:r>
    </w:p>
    <w:p w14:paraId="633E3478">
      <w:pPr>
        <w:snapToGrid w:val="0"/>
        <w:spacing w:line="440" w:lineRule="exact"/>
        <w:ind w:firstLine="417" w:firstLineChars="199"/>
      </w:pPr>
      <w:r>
        <w:rPr>
          <w:rFonts w:hint="eastAsia"/>
        </w:rPr>
        <w:t>检验项目全部符合明示质量要求，且符合本细则检验项目依据的推荐性标准，判定为“被抽查产品所检项目未发现不合格”。</w:t>
      </w:r>
    </w:p>
    <w:sectPr>
      <w:headerReference r:id="rId3" w:type="default"/>
      <w:footerReference r:id="rId4" w:type="default"/>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F2C835-9980-4029-AAE0-A6FC5080BF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AC1E80C-7DCA-430E-A67F-74C3DAFF3B89}"/>
  </w:font>
  <w:font w:name="方正小标宋简体">
    <w:panose1 w:val="02010600010101010101"/>
    <w:charset w:val="86"/>
    <w:family w:val="script"/>
    <w:pitch w:val="default"/>
    <w:sig w:usb0="00000001" w:usb1="080E0000" w:usb2="00000000" w:usb3="00000000" w:csb0="00040000" w:csb1="00000000"/>
    <w:embedRegular r:id="rId3" w:fontKey="{8CFCA94C-93E7-43D0-855F-D2ECA63665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0928348"/>
    </w:sdtPr>
    <w:sdtContent>
      <w:p w14:paraId="4DCAFBA2">
        <w:pPr>
          <w:pStyle w:val="4"/>
          <w:jc w:val="center"/>
        </w:pPr>
        <w:r>
          <w:fldChar w:fldCharType="begin"/>
        </w:r>
        <w:r>
          <w:instrText xml:space="preserve">PAGE   \* MERGEFORMAT</w:instrText>
        </w:r>
        <w:r>
          <w:fldChar w:fldCharType="separate"/>
        </w:r>
        <w:r>
          <w:rPr>
            <w:lang w:val="zh-CN"/>
          </w:rPr>
          <w:t>17</w:t>
        </w:r>
        <w:r>
          <w:rPr>
            <w:lang w:val="zh-CN"/>
          </w:rPr>
          <w:fldChar w:fldCharType="end"/>
        </w:r>
      </w:p>
    </w:sdtContent>
  </w:sdt>
  <w:p w14:paraId="7F2451A3">
    <w:pPr>
      <w:pStyle w:val="12"/>
      <w:ind w:right="360"/>
      <w:rPr>
        <w:rStyle w:val="1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C364B">
    <w:pPr>
      <w:pStyle w:val="13"/>
      <w:pBdr>
        <w:bottom w:val="none" w:color="auto" w:sz="0" w:space="0"/>
      </w:pBdr>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9B5"/>
    <w:rsid w:val="00004D40"/>
    <w:rsid w:val="00006752"/>
    <w:rsid w:val="00007719"/>
    <w:rsid w:val="00007C7C"/>
    <w:rsid w:val="000161C3"/>
    <w:rsid w:val="0001622D"/>
    <w:rsid w:val="00023234"/>
    <w:rsid w:val="00031950"/>
    <w:rsid w:val="00032885"/>
    <w:rsid w:val="00034DCB"/>
    <w:rsid w:val="00035F05"/>
    <w:rsid w:val="00037942"/>
    <w:rsid w:val="00042628"/>
    <w:rsid w:val="00044EED"/>
    <w:rsid w:val="000456DB"/>
    <w:rsid w:val="000473FB"/>
    <w:rsid w:val="00054664"/>
    <w:rsid w:val="000554AF"/>
    <w:rsid w:val="00060681"/>
    <w:rsid w:val="0006269F"/>
    <w:rsid w:val="00067F7A"/>
    <w:rsid w:val="00083238"/>
    <w:rsid w:val="00090D45"/>
    <w:rsid w:val="00093182"/>
    <w:rsid w:val="000A0271"/>
    <w:rsid w:val="000B06FF"/>
    <w:rsid w:val="000B10D4"/>
    <w:rsid w:val="000C0F62"/>
    <w:rsid w:val="000C3D1B"/>
    <w:rsid w:val="000C49B5"/>
    <w:rsid w:val="000C4D8D"/>
    <w:rsid w:val="000D535D"/>
    <w:rsid w:val="000E301B"/>
    <w:rsid w:val="000F5619"/>
    <w:rsid w:val="000F770F"/>
    <w:rsid w:val="00100923"/>
    <w:rsid w:val="00100A15"/>
    <w:rsid w:val="00105A5C"/>
    <w:rsid w:val="00113C24"/>
    <w:rsid w:val="00117075"/>
    <w:rsid w:val="00120665"/>
    <w:rsid w:val="00121935"/>
    <w:rsid w:val="0012622F"/>
    <w:rsid w:val="00127843"/>
    <w:rsid w:val="0013054B"/>
    <w:rsid w:val="00131FA0"/>
    <w:rsid w:val="00132B2F"/>
    <w:rsid w:val="00135071"/>
    <w:rsid w:val="00146151"/>
    <w:rsid w:val="00161276"/>
    <w:rsid w:val="00162C20"/>
    <w:rsid w:val="00164244"/>
    <w:rsid w:val="001674EE"/>
    <w:rsid w:val="001709F2"/>
    <w:rsid w:val="00176887"/>
    <w:rsid w:val="0017788B"/>
    <w:rsid w:val="001800E3"/>
    <w:rsid w:val="00180AF4"/>
    <w:rsid w:val="001862D6"/>
    <w:rsid w:val="00194F81"/>
    <w:rsid w:val="00195F36"/>
    <w:rsid w:val="00196CF2"/>
    <w:rsid w:val="001A7918"/>
    <w:rsid w:val="001B0245"/>
    <w:rsid w:val="001C1CC2"/>
    <w:rsid w:val="001C3A7F"/>
    <w:rsid w:val="001C58D8"/>
    <w:rsid w:val="001C5BA6"/>
    <w:rsid w:val="001C6683"/>
    <w:rsid w:val="001D013C"/>
    <w:rsid w:val="001D2265"/>
    <w:rsid w:val="001D2831"/>
    <w:rsid w:val="001D2D31"/>
    <w:rsid w:val="001D4769"/>
    <w:rsid w:val="001D64E2"/>
    <w:rsid w:val="001D72AC"/>
    <w:rsid w:val="001E0322"/>
    <w:rsid w:val="001E0D0A"/>
    <w:rsid w:val="001E2E95"/>
    <w:rsid w:val="001E4850"/>
    <w:rsid w:val="001F6AAF"/>
    <w:rsid w:val="001F7885"/>
    <w:rsid w:val="00204BFA"/>
    <w:rsid w:val="00206D67"/>
    <w:rsid w:val="00216782"/>
    <w:rsid w:val="00217685"/>
    <w:rsid w:val="00224DA1"/>
    <w:rsid w:val="00224E1E"/>
    <w:rsid w:val="00225BA7"/>
    <w:rsid w:val="00231916"/>
    <w:rsid w:val="00233507"/>
    <w:rsid w:val="00233EDD"/>
    <w:rsid w:val="00257697"/>
    <w:rsid w:val="00261EFF"/>
    <w:rsid w:val="00263824"/>
    <w:rsid w:val="00265071"/>
    <w:rsid w:val="00267301"/>
    <w:rsid w:val="00275C01"/>
    <w:rsid w:val="00280709"/>
    <w:rsid w:val="00281139"/>
    <w:rsid w:val="00285CA0"/>
    <w:rsid w:val="00294AC3"/>
    <w:rsid w:val="002A42A3"/>
    <w:rsid w:val="002A45B2"/>
    <w:rsid w:val="002B1AFF"/>
    <w:rsid w:val="002B1B07"/>
    <w:rsid w:val="002C0062"/>
    <w:rsid w:val="002C012E"/>
    <w:rsid w:val="002C08E6"/>
    <w:rsid w:val="002C58D0"/>
    <w:rsid w:val="002D5113"/>
    <w:rsid w:val="002D7532"/>
    <w:rsid w:val="002E3BF4"/>
    <w:rsid w:val="002F1863"/>
    <w:rsid w:val="002F199B"/>
    <w:rsid w:val="002F1D32"/>
    <w:rsid w:val="002F52DF"/>
    <w:rsid w:val="002F7E97"/>
    <w:rsid w:val="003010AB"/>
    <w:rsid w:val="00301203"/>
    <w:rsid w:val="003050E9"/>
    <w:rsid w:val="00306DFB"/>
    <w:rsid w:val="00310DE4"/>
    <w:rsid w:val="003121EC"/>
    <w:rsid w:val="003129A6"/>
    <w:rsid w:val="00320974"/>
    <w:rsid w:val="00320A43"/>
    <w:rsid w:val="00326A42"/>
    <w:rsid w:val="003276FF"/>
    <w:rsid w:val="003317C5"/>
    <w:rsid w:val="003317CA"/>
    <w:rsid w:val="00336B8C"/>
    <w:rsid w:val="003379FD"/>
    <w:rsid w:val="00346FFE"/>
    <w:rsid w:val="003506CA"/>
    <w:rsid w:val="0035164D"/>
    <w:rsid w:val="00352FDC"/>
    <w:rsid w:val="0035416A"/>
    <w:rsid w:val="00354C49"/>
    <w:rsid w:val="00356F1D"/>
    <w:rsid w:val="00357F33"/>
    <w:rsid w:val="00360FAE"/>
    <w:rsid w:val="0036440C"/>
    <w:rsid w:val="00365A5A"/>
    <w:rsid w:val="00367176"/>
    <w:rsid w:val="0038286B"/>
    <w:rsid w:val="00386B5A"/>
    <w:rsid w:val="003872AF"/>
    <w:rsid w:val="00395DBB"/>
    <w:rsid w:val="003A715A"/>
    <w:rsid w:val="003B10A3"/>
    <w:rsid w:val="003C6217"/>
    <w:rsid w:val="003D0D5F"/>
    <w:rsid w:val="003D604A"/>
    <w:rsid w:val="003D6F50"/>
    <w:rsid w:val="003E00FF"/>
    <w:rsid w:val="003E0E9A"/>
    <w:rsid w:val="003E44AC"/>
    <w:rsid w:val="003E7273"/>
    <w:rsid w:val="003F492A"/>
    <w:rsid w:val="003F63DD"/>
    <w:rsid w:val="003F7A4C"/>
    <w:rsid w:val="004046E4"/>
    <w:rsid w:val="00415E89"/>
    <w:rsid w:val="00422512"/>
    <w:rsid w:val="00426D97"/>
    <w:rsid w:val="00431966"/>
    <w:rsid w:val="00432D41"/>
    <w:rsid w:val="00441553"/>
    <w:rsid w:val="004530A0"/>
    <w:rsid w:val="004530C6"/>
    <w:rsid w:val="004616A3"/>
    <w:rsid w:val="00462740"/>
    <w:rsid w:val="00471293"/>
    <w:rsid w:val="00471F96"/>
    <w:rsid w:val="00472398"/>
    <w:rsid w:val="00475505"/>
    <w:rsid w:val="004772F1"/>
    <w:rsid w:val="00477F1D"/>
    <w:rsid w:val="00484724"/>
    <w:rsid w:val="004854C8"/>
    <w:rsid w:val="0048748D"/>
    <w:rsid w:val="0049042D"/>
    <w:rsid w:val="0049112E"/>
    <w:rsid w:val="00492156"/>
    <w:rsid w:val="00492F20"/>
    <w:rsid w:val="00492FAF"/>
    <w:rsid w:val="00496773"/>
    <w:rsid w:val="004A1235"/>
    <w:rsid w:val="004A2128"/>
    <w:rsid w:val="004A451D"/>
    <w:rsid w:val="004B10D0"/>
    <w:rsid w:val="004B1FB6"/>
    <w:rsid w:val="004B3068"/>
    <w:rsid w:val="004C0267"/>
    <w:rsid w:val="004C1648"/>
    <w:rsid w:val="004D2CED"/>
    <w:rsid w:val="004D5B43"/>
    <w:rsid w:val="004D5D2F"/>
    <w:rsid w:val="004E04F3"/>
    <w:rsid w:val="004E08B5"/>
    <w:rsid w:val="004E14D0"/>
    <w:rsid w:val="004E2CB0"/>
    <w:rsid w:val="004E468F"/>
    <w:rsid w:val="004E668B"/>
    <w:rsid w:val="004F0653"/>
    <w:rsid w:val="004F3725"/>
    <w:rsid w:val="00500698"/>
    <w:rsid w:val="0050199B"/>
    <w:rsid w:val="005059C9"/>
    <w:rsid w:val="00511415"/>
    <w:rsid w:val="00513F0B"/>
    <w:rsid w:val="00513F36"/>
    <w:rsid w:val="005201B6"/>
    <w:rsid w:val="005220B1"/>
    <w:rsid w:val="00524D94"/>
    <w:rsid w:val="00526C21"/>
    <w:rsid w:val="00530363"/>
    <w:rsid w:val="005319B4"/>
    <w:rsid w:val="00543E5C"/>
    <w:rsid w:val="005452B3"/>
    <w:rsid w:val="0054551F"/>
    <w:rsid w:val="00546F3E"/>
    <w:rsid w:val="00547006"/>
    <w:rsid w:val="005505B2"/>
    <w:rsid w:val="005620A5"/>
    <w:rsid w:val="00564EF2"/>
    <w:rsid w:val="0056652E"/>
    <w:rsid w:val="00570516"/>
    <w:rsid w:val="0058163B"/>
    <w:rsid w:val="0058563B"/>
    <w:rsid w:val="005902E1"/>
    <w:rsid w:val="00590CD7"/>
    <w:rsid w:val="005931F1"/>
    <w:rsid w:val="0059413B"/>
    <w:rsid w:val="005A1A8B"/>
    <w:rsid w:val="005A484B"/>
    <w:rsid w:val="005B08B9"/>
    <w:rsid w:val="005B17F0"/>
    <w:rsid w:val="005D0DDF"/>
    <w:rsid w:val="005D310A"/>
    <w:rsid w:val="005E1611"/>
    <w:rsid w:val="005E1C41"/>
    <w:rsid w:val="005E3877"/>
    <w:rsid w:val="005F3F13"/>
    <w:rsid w:val="005F3FA1"/>
    <w:rsid w:val="00600116"/>
    <w:rsid w:val="00613B0C"/>
    <w:rsid w:val="0061471F"/>
    <w:rsid w:val="00621BCE"/>
    <w:rsid w:val="006245F3"/>
    <w:rsid w:val="00632FBD"/>
    <w:rsid w:val="00640474"/>
    <w:rsid w:val="00644C79"/>
    <w:rsid w:val="00650AE8"/>
    <w:rsid w:val="006531F9"/>
    <w:rsid w:val="00655099"/>
    <w:rsid w:val="00657FB6"/>
    <w:rsid w:val="00660D64"/>
    <w:rsid w:val="00661F67"/>
    <w:rsid w:val="00662281"/>
    <w:rsid w:val="00662A67"/>
    <w:rsid w:val="00662CE3"/>
    <w:rsid w:val="006677B8"/>
    <w:rsid w:val="006726EB"/>
    <w:rsid w:val="00672B95"/>
    <w:rsid w:val="00672D1F"/>
    <w:rsid w:val="00673E6D"/>
    <w:rsid w:val="0067423B"/>
    <w:rsid w:val="00674E87"/>
    <w:rsid w:val="00676FDA"/>
    <w:rsid w:val="006807D0"/>
    <w:rsid w:val="00680B28"/>
    <w:rsid w:val="0068529D"/>
    <w:rsid w:val="00697961"/>
    <w:rsid w:val="006A4126"/>
    <w:rsid w:val="006B4438"/>
    <w:rsid w:val="006B6816"/>
    <w:rsid w:val="006B7FDC"/>
    <w:rsid w:val="006C147D"/>
    <w:rsid w:val="006C3835"/>
    <w:rsid w:val="006C4CC5"/>
    <w:rsid w:val="006D45CA"/>
    <w:rsid w:val="006D7699"/>
    <w:rsid w:val="006E04C2"/>
    <w:rsid w:val="006E09CB"/>
    <w:rsid w:val="006E5772"/>
    <w:rsid w:val="006E6E55"/>
    <w:rsid w:val="006F054C"/>
    <w:rsid w:val="006F0571"/>
    <w:rsid w:val="006F1398"/>
    <w:rsid w:val="006F312D"/>
    <w:rsid w:val="006F32CB"/>
    <w:rsid w:val="00702EDF"/>
    <w:rsid w:val="0070512A"/>
    <w:rsid w:val="0070514E"/>
    <w:rsid w:val="00706B60"/>
    <w:rsid w:val="00720BA3"/>
    <w:rsid w:val="00720C0B"/>
    <w:rsid w:val="00722754"/>
    <w:rsid w:val="007232D5"/>
    <w:rsid w:val="0072365C"/>
    <w:rsid w:val="00727399"/>
    <w:rsid w:val="00740339"/>
    <w:rsid w:val="00740C8C"/>
    <w:rsid w:val="00742A27"/>
    <w:rsid w:val="0075355E"/>
    <w:rsid w:val="007560F5"/>
    <w:rsid w:val="007566CE"/>
    <w:rsid w:val="00757862"/>
    <w:rsid w:val="0076127A"/>
    <w:rsid w:val="0076372D"/>
    <w:rsid w:val="007660C4"/>
    <w:rsid w:val="00766160"/>
    <w:rsid w:val="007664B4"/>
    <w:rsid w:val="00777579"/>
    <w:rsid w:val="007821A5"/>
    <w:rsid w:val="00784355"/>
    <w:rsid w:val="007848D8"/>
    <w:rsid w:val="00784A69"/>
    <w:rsid w:val="00785824"/>
    <w:rsid w:val="0079107C"/>
    <w:rsid w:val="007910EC"/>
    <w:rsid w:val="00793A1B"/>
    <w:rsid w:val="00797163"/>
    <w:rsid w:val="00797AC1"/>
    <w:rsid w:val="007A03C5"/>
    <w:rsid w:val="007A2BD9"/>
    <w:rsid w:val="007A51F9"/>
    <w:rsid w:val="007B38C1"/>
    <w:rsid w:val="007C0C4F"/>
    <w:rsid w:val="007C2D6E"/>
    <w:rsid w:val="007C47B2"/>
    <w:rsid w:val="007C5180"/>
    <w:rsid w:val="007D4523"/>
    <w:rsid w:val="007D5142"/>
    <w:rsid w:val="007E0F3C"/>
    <w:rsid w:val="007E475A"/>
    <w:rsid w:val="007E5892"/>
    <w:rsid w:val="007F3014"/>
    <w:rsid w:val="007F646B"/>
    <w:rsid w:val="007F6BE7"/>
    <w:rsid w:val="007F72A7"/>
    <w:rsid w:val="00811E58"/>
    <w:rsid w:val="00812DD6"/>
    <w:rsid w:val="00812DF9"/>
    <w:rsid w:val="0081373E"/>
    <w:rsid w:val="00815E12"/>
    <w:rsid w:val="00817A69"/>
    <w:rsid w:val="00832F82"/>
    <w:rsid w:val="008450C9"/>
    <w:rsid w:val="00847BD4"/>
    <w:rsid w:val="0085322B"/>
    <w:rsid w:val="008533CB"/>
    <w:rsid w:val="008574DE"/>
    <w:rsid w:val="00862960"/>
    <w:rsid w:val="008629A6"/>
    <w:rsid w:val="008658F6"/>
    <w:rsid w:val="00873142"/>
    <w:rsid w:val="00876786"/>
    <w:rsid w:val="008809FA"/>
    <w:rsid w:val="00881CF6"/>
    <w:rsid w:val="0088262D"/>
    <w:rsid w:val="00892175"/>
    <w:rsid w:val="00892860"/>
    <w:rsid w:val="00893D38"/>
    <w:rsid w:val="00895659"/>
    <w:rsid w:val="008971EC"/>
    <w:rsid w:val="008A28B8"/>
    <w:rsid w:val="008A6E23"/>
    <w:rsid w:val="008A6EBA"/>
    <w:rsid w:val="008B0A6B"/>
    <w:rsid w:val="008B4651"/>
    <w:rsid w:val="008B5689"/>
    <w:rsid w:val="008C02BC"/>
    <w:rsid w:val="008C36B7"/>
    <w:rsid w:val="008C3F3B"/>
    <w:rsid w:val="008D5BCF"/>
    <w:rsid w:val="008E056C"/>
    <w:rsid w:val="008E1E10"/>
    <w:rsid w:val="008E3F39"/>
    <w:rsid w:val="008E4896"/>
    <w:rsid w:val="008F038F"/>
    <w:rsid w:val="008F2527"/>
    <w:rsid w:val="008F557E"/>
    <w:rsid w:val="009008A8"/>
    <w:rsid w:val="009133F3"/>
    <w:rsid w:val="00915120"/>
    <w:rsid w:val="00920444"/>
    <w:rsid w:val="009250FC"/>
    <w:rsid w:val="00925C8C"/>
    <w:rsid w:val="0093273F"/>
    <w:rsid w:val="0093351A"/>
    <w:rsid w:val="0094510D"/>
    <w:rsid w:val="00947AD7"/>
    <w:rsid w:val="009527D6"/>
    <w:rsid w:val="00953AF3"/>
    <w:rsid w:val="00955ED5"/>
    <w:rsid w:val="00960A11"/>
    <w:rsid w:val="009660E7"/>
    <w:rsid w:val="00967121"/>
    <w:rsid w:val="00972298"/>
    <w:rsid w:val="00983C4D"/>
    <w:rsid w:val="00985A73"/>
    <w:rsid w:val="00990743"/>
    <w:rsid w:val="00993038"/>
    <w:rsid w:val="0099702B"/>
    <w:rsid w:val="009978BD"/>
    <w:rsid w:val="009A0F54"/>
    <w:rsid w:val="009A63EC"/>
    <w:rsid w:val="009B123E"/>
    <w:rsid w:val="009B4CEC"/>
    <w:rsid w:val="009B54EB"/>
    <w:rsid w:val="009B6211"/>
    <w:rsid w:val="009B690E"/>
    <w:rsid w:val="009C05C7"/>
    <w:rsid w:val="009C15E9"/>
    <w:rsid w:val="009C2EF0"/>
    <w:rsid w:val="009C313E"/>
    <w:rsid w:val="009C4083"/>
    <w:rsid w:val="009D1A96"/>
    <w:rsid w:val="009F0F5C"/>
    <w:rsid w:val="009F2BC4"/>
    <w:rsid w:val="009F5523"/>
    <w:rsid w:val="00A002DD"/>
    <w:rsid w:val="00A00D03"/>
    <w:rsid w:val="00A014E9"/>
    <w:rsid w:val="00A016C2"/>
    <w:rsid w:val="00A10462"/>
    <w:rsid w:val="00A208BE"/>
    <w:rsid w:val="00A23153"/>
    <w:rsid w:val="00A269C6"/>
    <w:rsid w:val="00A30DD5"/>
    <w:rsid w:val="00A313F9"/>
    <w:rsid w:val="00A32663"/>
    <w:rsid w:val="00A34763"/>
    <w:rsid w:val="00A3625A"/>
    <w:rsid w:val="00A369F3"/>
    <w:rsid w:val="00A40720"/>
    <w:rsid w:val="00A41E95"/>
    <w:rsid w:val="00A44230"/>
    <w:rsid w:val="00A51487"/>
    <w:rsid w:val="00A5319A"/>
    <w:rsid w:val="00A55982"/>
    <w:rsid w:val="00A57234"/>
    <w:rsid w:val="00A611C1"/>
    <w:rsid w:val="00A619E1"/>
    <w:rsid w:val="00A620D7"/>
    <w:rsid w:val="00A62AA0"/>
    <w:rsid w:val="00A6623F"/>
    <w:rsid w:val="00A75B7B"/>
    <w:rsid w:val="00A82020"/>
    <w:rsid w:val="00A8681D"/>
    <w:rsid w:val="00A91CEB"/>
    <w:rsid w:val="00A924E7"/>
    <w:rsid w:val="00A95909"/>
    <w:rsid w:val="00AA3ED0"/>
    <w:rsid w:val="00AB4599"/>
    <w:rsid w:val="00AB52E2"/>
    <w:rsid w:val="00AC0158"/>
    <w:rsid w:val="00AC07B4"/>
    <w:rsid w:val="00AC0DA0"/>
    <w:rsid w:val="00AC1A80"/>
    <w:rsid w:val="00AC21E0"/>
    <w:rsid w:val="00AC2CFC"/>
    <w:rsid w:val="00AC366A"/>
    <w:rsid w:val="00AD6873"/>
    <w:rsid w:val="00AE0666"/>
    <w:rsid w:val="00AE38AD"/>
    <w:rsid w:val="00AE73B7"/>
    <w:rsid w:val="00AF42A4"/>
    <w:rsid w:val="00AF70EC"/>
    <w:rsid w:val="00B11BCC"/>
    <w:rsid w:val="00B1402D"/>
    <w:rsid w:val="00B16F61"/>
    <w:rsid w:val="00B2293A"/>
    <w:rsid w:val="00B40782"/>
    <w:rsid w:val="00B40CFD"/>
    <w:rsid w:val="00B41B63"/>
    <w:rsid w:val="00B430D8"/>
    <w:rsid w:val="00B504A1"/>
    <w:rsid w:val="00B5160E"/>
    <w:rsid w:val="00B56E17"/>
    <w:rsid w:val="00B72C78"/>
    <w:rsid w:val="00B75903"/>
    <w:rsid w:val="00B76191"/>
    <w:rsid w:val="00B8034F"/>
    <w:rsid w:val="00B82F7B"/>
    <w:rsid w:val="00B8781C"/>
    <w:rsid w:val="00B90BB7"/>
    <w:rsid w:val="00B92691"/>
    <w:rsid w:val="00B94CFE"/>
    <w:rsid w:val="00B95D2A"/>
    <w:rsid w:val="00BA1771"/>
    <w:rsid w:val="00BA1B94"/>
    <w:rsid w:val="00BA2AF5"/>
    <w:rsid w:val="00BA3F28"/>
    <w:rsid w:val="00BB46DA"/>
    <w:rsid w:val="00BC0F0A"/>
    <w:rsid w:val="00BC45AF"/>
    <w:rsid w:val="00BC7B51"/>
    <w:rsid w:val="00BD02FE"/>
    <w:rsid w:val="00BD4960"/>
    <w:rsid w:val="00BD58FB"/>
    <w:rsid w:val="00BE0F4C"/>
    <w:rsid w:val="00BE398F"/>
    <w:rsid w:val="00BE4784"/>
    <w:rsid w:val="00BE6C58"/>
    <w:rsid w:val="00BF1F7A"/>
    <w:rsid w:val="00BF2D24"/>
    <w:rsid w:val="00C03868"/>
    <w:rsid w:val="00C05B0E"/>
    <w:rsid w:val="00C2070E"/>
    <w:rsid w:val="00C21144"/>
    <w:rsid w:val="00C243C6"/>
    <w:rsid w:val="00C246A1"/>
    <w:rsid w:val="00C24A37"/>
    <w:rsid w:val="00C26BDD"/>
    <w:rsid w:val="00C31768"/>
    <w:rsid w:val="00C31B56"/>
    <w:rsid w:val="00C31B7C"/>
    <w:rsid w:val="00C3410F"/>
    <w:rsid w:val="00C3561D"/>
    <w:rsid w:val="00C37B06"/>
    <w:rsid w:val="00C4422A"/>
    <w:rsid w:val="00C45965"/>
    <w:rsid w:val="00C45EA8"/>
    <w:rsid w:val="00C50F7D"/>
    <w:rsid w:val="00C5219B"/>
    <w:rsid w:val="00C526CD"/>
    <w:rsid w:val="00C52D54"/>
    <w:rsid w:val="00C556D3"/>
    <w:rsid w:val="00C57D8C"/>
    <w:rsid w:val="00C63946"/>
    <w:rsid w:val="00C647E9"/>
    <w:rsid w:val="00C66C7D"/>
    <w:rsid w:val="00C706F7"/>
    <w:rsid w:val="00C72C7C"/>
    <w:rsid w:val="00C74969"/>
    <w:rsid w:val="00C76E74"/>
    <w:rsid w:val="00C7767A"/>
    <w:rsid w:val="00C800A1"/>
    <w:rsid w:val="00C8156D"/>
    <w:rsid w:val="00C82FCD"/>
    <w:rsid w:val="00C84C4C"/>
    <w:rsid w:val="00C85118"/>
    <w:rsid w:val="00C87027"/>
    <w:rsid w:val="00C9112D"/>
    <w:rsid w:val="00C91494"/>
    <w:rsid w:val="00C944BF"/>
    <w:rsid w:val="00C9666B"/>
    <w:rsid w:val="00C97DD4"/>
    <w:rsid w:val="00CA0CB9"/>
    <w:rsid w:val="00CC4616"/>
    <w:rsid w:val="00CC5A73"/>
    <w:rsid w:val="00CC6A5E"/>
    <w:rsid w:val="00CD3E76"/>
    <w:rsid w:val="00CD465A"/>
    <w:rsid w:val="00CD69A0"/>
    <w:rsid w:val="00CF2423"/>
    <w:rsid w:val="00CF47C1"/>
    <w:rsid w:val="00D017A2"/>
    <w:rsid w:val="00D07E66"/>
    <w:rsid w:val="00D141A8"/>
    <w:rsid w:val="00D22ABC"/>
    <w:rsid w:val="00D22BCD"/>
    <w:rsid w:val="00D25710"/>
    <w:rsid w:val="00D25AFD"/>
    <w:rsid w:val="00D30CD3"/>
    <w:rsid w:val="00D37E37"/>
    <w:rsid w:val="00D41BD2"/>
    <w:rsid w:val="00D52BE4"/>
    <w:rsid w:val="00D60E07"/>
    <w:rsid w:val="00D624FF"/>
    <w:rsid w:val="00D63BAE"/>
    <w:rsid w:val="00D70CB9"/>
    <w:rsid w:val="00D716F3"/>
    <w:rsid w:val="00D71949"/>
    <w:rsid w:val="00D73C2B"/>
    <w:rsid w:val="00D81A00"/>
    <w:rsid w:val="00D86B5B"/>
    <w:rsid w:val="00D90FC6"/>
    <w:rsid w:val="00D948C8"/>
    <w:rsid w:val="00D95649"/>
    <w:rsid w:val="00D978DF"/>
    <w:rsid w:val="00DA2F8D"/>
    <w:rsid w:val="00DB687B"/>
    <w:rsid w:val="00DB69DF"/>
    <w:rsid w:val="00DC0051"/>
    <w:rsid w:val="00DC4F73"/>
    <w:rsid w:val="00DD16C2"/>
    <w:rsid w:val="00DD2DCC"/>
    <w:rsid w:val="00DD6866"/>
    <w:rsid w:val="00DE2548"/>
    <w:rsid w:val="00DE6FFA"/>
    <w:rsid w:val="00DF1D2B"/>
    <w:rsid w:val="00DF2DC0"/>
    <w:rsid w:val="00DF3367"/>
    <w:rsid w:val="00E053A7"/>
    <w:rsid w:val="00E05CE9"/>
    <w:rsid w:val="00E062B4"/>
    <w:rsid w:val="00E10F84"/>
    <w:rsid w:val="00E11C04"/>
    <w:rsid w:val="00E12A9A"/>
    <w:rsid w:val="00E1329A"/>
    <w:rsid w:val="00E16A75"/>
    <w:rsid w:val="00E24934"/>
    <w:rsid w:val="00E25FEA"/>
    <w:rsid w:val="00E311E2"/>
    <w:rsid w:val="00E34F76"/>
    <w:rsid w:val="00E362E9"/>
    <w:rsid w:val="00E459A3"/>
    <w:rsid w:val="00E50EDE"/>
    <w:rsid w:val="00E576E6"/>
    <w:rsid w:val="00E60411"/>
    <w:rsid w:val="00E84D73"/>
    <w:rsid w:val="00E84F60"/>
    <w:rsid w:val="00E858B2"/>
    <w:rsid w:val="00E86FBC"/>
    <w:rsid w:val="00E93007"/>
    <w:rsid w:val="00E937EB"/>
    <w:rsid w:val="00EB40EF"/>
    <w:rsid w:val="00EB4C9F"/>
    <w:rsid w:val="00EC5272"/>
    <w:rsid w:val="00ED1644"/>
    <w:rsid w:val="00ED5E4E"/>
    <w:rsid w:val="00EE2768"/>
    <w:rsid w:val="00EE363F"/>
    <w:rsid w:val="00EE56A8"/>
    <w:rsid w:val="00EF099E"/>
    <w:rsid w:val="00EF0CF6"/>
    <w:rsid w:val="00EF6C91"/>
    <w:rsid w:val="00F130C7"/>
    <w:rsid w:val="00F13D5C"/>
    <w:rsid w:val="00F14260"/>
    <w:rsid w:val="00F20B8F"/>
    <w:rsid w:val="00F2225C"/>
    <w:rsid w:val="00F23DBC"/>
    <w:rsid w:val="00F4616F"/>
    <w:rsid w:val="00F46811"/>
    <w:rsid w:val="00F46CC0"/>
    <w:rsid w:val="00F51AFC"/>
    <w:rsid w:val="00F53DBB"/>
    <w:rsid w:val="00F54013"/>
    <w:rsid w:val="00F61395"/>
    <w:rsid w:val="00F6169B"/>
    <w:rsid w:val="00F649B3"/>
    <w:rsid w:val="00F653C6"/>
    <w:rsid w:val="00F679C0"/>
    <w:rsid w:val="00F70FB1"/>
    <w:rsid w:val="00F7551A"/>
    <w:rsid w:val="00F778EC"/>
    <w:rsid w:val="00F87960"/>
    <w:rsid w:val="00F93C7C"/>
    <w:rsid w:val="00F93F6D"/>
    <w:rsid w:val="00FA0A58"/>
    <w:rsid w:val="00FA0F7A"/>
    <w:rsid w:val="00FA3096"/>
    <w:rsid w:val="00FA3DC1"/>
    <w:rsid w:val="00FA5121"/>
    <w:rsid w:val="00FA55FE"/>
    <w:rsid w:val="00FA6A51"/>
    <w:rsid w:val="00FC3FC6"/>
    <w:rsid w:val="00FC76D5"/>
    <w:rsid w:val="00FD16E6"/>
    <w:rsid w:val="00FD2A90"/>
    <w:rsid w:val="00FD62CB"/>
    <w:rsid w:val="00FE01D1"/>
    <w:rsid w:val="00FE2BDE"/>
    <w:rsid w:val="00FE7F6F"/>
    <w:rsid w:val="00FF2148"/>
    <w:rsid w:val="09E75EDE"/>
    <w:rsid w:val="146938CB"/>
    <w:rsid w:val="17CB4F24"/>
    <w:rsid w:val="2B46087C"/>
    <w:rsid w:val="2D61111D"/>
    <w:rsid w:val="357D62D5"/>
    <w:rsid w:val="358D4A67"/>
    <w:rsid w:val="3D523160"/>
    <w:rsid w:val="451A6000"/>
    <w:rsid w:val="48587156"/>
    <w:rsid w:val="4B2B05CB"/>
    <w:rsid w:val="50036373"/>
    <w:rsid w:val="50687CFD"/>
    <w:rsid w:val="646625F9"/>
    <w:rsid w:val="6B735E70"/>
    <w:rsid w:val="72D059B7"/>
    <w:rsid w:val="7ED615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4"/>
    <w:semiHidden/>
    <w:unhideWhenUsed/>
    <w:uiPriority w:val="99"/>
    <w:rPr>
      <w:sz w:val="18"/>
      <w:szCs w:val="18"/>
    </w:rPr>
  </w:style>
  <w:style w:type="paragraph" w:styleId="4">
    <w:name w:val="footer"/>
    <w:basedOn w:val="1"/>
    <w:link w:val="10"/>
    <w:unhideWhenUsed/>
    <w:qFormat/>
    <w:uiPriority w:val="99"/>
    <w:pPr>
      <w:widowControl w:val="0"/>
      <w:tabs>
        <w:tab w:val="center" w:pos="4153"/>
        <w:tab w:val="right" w:pos="8306"/>
      </w:tabs>
      <w:snapToGrid w:val="0"/>
      <w:jc w:val="left"/>
      <w:textAlignment w:val="auto"/>
    </w:pPr>
    <w:rPr>
      <w:rFonts w:asciiTheme="minorHAnsi" w:hAnsiTheme="minorHAnsi" w:eastAsiaTheme="minorEastAsia" w:cstheme="minorBidi"/>
      <w:sz w:val="18"/>
      <w:szCs w:val="18"/>
    </w:rPr>
  </w:style>
  <w:style w:type="paragraph" w:styleId="5">
    <w:name w:val="header"/>
    <w:basedOn w:val="1"/>
    <w:link w:val="9"/>
    <w:unhideWhenUsed/>
    <w:qFormat/>
    <w:uiPriority w:val="99"/>
    <w:pPr>
      <w:widowControl w:val="0"/>
      <w:pBdr>
        <w:bottom w:val="single" w:color="auto" w:sz="6" w:space="1"/>
      </w:pBdr>
      <w:tabs>
        <w:tab w:val="center" w:pos="4153"/>
        <w:tab w:val="right" w:pos="8306"/>
      </w:tabs>
      <w:snapToGrid w:val="0"/>
      <w:jc w:val="center"/>
      <w:textAlignment w:val="auto"/>
    </w:pPr>
    <w:rPr>
      <w:rFonts w:asciiTheme="minorHAnsi" w:hAnsiTheme="minorHAnsi" w:eastAsiaTheme="minorEastAsia" w:cstheme="minorBidi"/>
      <w:sz w:val="18"/>
      <w:szCs w:val="18"/>
    </w:rPr>
  </w:style>
  <w:style w:type="character" w:styleId="8">
    <w:name w:val="annotation reference"/>
    <w:basedOn w:val="7"/>
    <w:semiHidden/>
    <w:unhideWhenUsed/>
    <w:uiPriority w:val="99"/>
    <w:rPr>
      <w:sz w:val="21"/>
      <w:szCs w:val="21"/>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NormalCharacter"/>
    <w:autoRedefine/>
    <w:semiHidden/>
    <w:qFormat/>
    <w:uiPriority w:val="0"/>
  </w:style>
  <w:style w:type="paragraph" w:customStyle="1" w:styleId="12">
    <w:name w:val="页脚1"/>
    <w:basedOn w:val="1"/>
    <w:autoRedefine/>
    <w:qFormat/>
    <w:uiPriority w:val="0"/>
    <w:pPr>
      <w:tabs>
        <w:tab w:val="center" w:pos="4153"/>
        <w:tab w:val="right" w:pos="8306"/>
      </w:tabs>
      <w:snapToGrid w:val="0"/>
      <w:jc w:val="left"/>
    </w:pPr>
    <w:rPr>
      <w:sz w:val="18"/>
      <w:szCs w:val="18"/>
    </w:rPr>
  </w:style>
  <w:style w:type="paragraph" w:customStyle="1" w:styleId="13">
    <w:name w:val="页眉1"/>
    <w:basedOn w:val="1"/>
    <w:autoRedefine/>
    <w:qFormat/>
    <w:uiPriority w:val="0"/>
    <w:pPr>
      <w:pBdr>
        <w:bottom w:val="single" w:color="000000" w:sz="6" w:space="1"/>
      </w:pBdr>
      <w:tabs>
        <w:tab w:val="center" w:pos="4153"/>
        <w:tab w:val="right" w:pos="8306"/>
      </w:tabs>
      <w:snapToGrid w:val="0"/>
      <w:jc w:val="center"/>
    </w:pPr>
    <w:rPr>
      <w:sz w:val="18"/>
      <w:szCs w:val="18"/>
    </w:rPr>
  </w:style>
  <w:style w:type="character" w:customStyle="1" w:styleId="14">
    <w:name w:val="批注框文本 字符"/>
    <w:basedOn w:val="7"/>
    <w:link w:val="3"/>
    <w:semiHidden/>
    <w:uiPriority w:val="99"/>
    <w:rPr>
      <w:rFonts w:ascii="Times New Roman" w:hAnsi="Times New Roman" w:eastAsia="宋体" w:cs="Times New Roman"/>
      <w:kern w:val="2"/>
      <w:sz w:val="18"/>
      <w:szCs w:val="18"/>
    </w:rPr>
  </w:style>
  <w:style w:type="paragraph" w:customStyle="1" w:styleId="15">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1E3B0-22B4-48FC-82FA-BA2B626286B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1143</Words>
  <Characters>1708</Characters>
  <Lines>167</Lines>
  <Paragraphs>172</Paragraphs>
  <TotalTime>6</TotalTime>
  <ScaleCrop>false</ScaleCrop>
  <LinksUpToDate>false</LinksUpToDate>
  <CharactersWithSpaces>1769</CharactersWithSpaces>
  <Application>WPS Office_12.1.0.21541_F1E327BC-269C-435d-A152-05C5408002CA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2025-06-11T08:36:00Z</dcterms:created>
  <dc:creator>陈清</dc:creator>
  <lastModifiedBy>菠萝啵啵</lastModifiedBy>
  <lastPrinted>2025-04-15T04:20:00Z</lastPrinted>
  <dcterms:modified xsi:type="dcterms:W3CDTF">2025-06-13T04:46:47Z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eyJoZGlkIjoiZTA3MzBmZTNmMDA4YWMzZjgzMTgxM2YwMjc1NjdjN2IiLCJ1c2VySWQiOiI4MzkzMDQ5MzYifQ==</vt:lpwstr>
  </property>
  <property fmtid="{D5CDD505-2E9C-101B-9397-08002B2CF9AE}" pid="3" name="KSOProductBuildVer">
    <vt:lpwstr>2052-12.1.0.21541</vt:lpwstr>
  </property>
  <property fmtid="{D5CDD505-2E9C-101B-9397-08002B2CF9AE}" pid="4" name="ICV">
    <vt:lpwstr>6677F7C839A7401CA2C620CEE1470C3D_13</vt:lpwstr>
  </property>
</Properties>
</file>