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9D57C">
      <w:pPr>
        <w:adjustRightInd w:val="0"/>
        <w:snapToGrid w:val="0"/>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auto"/>
          <w:sz w:val="32"/>
          <w:szCs w:val="32"/>
        </w:rPr>
        <w:t>202</w:t>
      </w:r>
      <w:r>
        <w:rPr>
          <w:rFonts w:hint="eastAsia" w:ascii="方正小标宋简体" w:hAnsi="方正小标宋简体" w:eastAsia="方正小标宋简体" w:cs="方正小标宋简体"/>
          <w:color w:val="auto"/>
          <w:sz w:val="32"/>
          <w:szCs w:val="32"/>
          <w:lang w:val="en-US" w:eastAsia="zh-CN"/>
        </w:rPr>
        <w:t>5</w:t>
      </w:r>
      <w:r>
        <w:rPr>
          <w:rFonts w:hint="eastAsia" w:ascii="方正小标宋简体" w:hAnsi="方正小标宋简体" w:eastAsia="方正小标宋简体" w:cs="方正小标宋简体"/>
          <w:color w:val="auto"/>
          <w:sz w:val="32"/>
          <w:szCs w:val="32"/>
        </w:rPr>
        <w:t>年</w:t>
      </w:r>
      <w:r>
        <w:rPr>
          <w:rFonts w:hint="eastAsia" w:ascii="方正小标宋简体" w:hAnsi="方正小标宋简体" w:eastAsia="方正小标宋简体" w:cs="方正小标宋简体"/>
          <w:color w:val="auto"/>
          <w:sz w:val="32"/>
          <w:szCs w:val="32"/>
          <w:lang w:val="en-US" w:eastAsia="zh-CN"/>
        </w:rPr>
        <w:t>德清县</w:t>
      </w:r>
      <w:r>
        <w:rPr>
          <w:rFonts w:hint="eastAsia" w:ascii="方正小标宋简体" w:hAnsi="方正小标宋简体" w:eastAsia="方正小标宋简体" w:cs="方正小标宋简体"/>
          <w:color w:val="auto"/>
          <w:kern w:val="2"/>
          <w:sz w:val="32"/>
          <w:szCs w:val="32"/>
          <w:lang w:val="en-US" w:eastAsia="zh-CN" w:bidi="ar"/>
        </w:rPr>
        <w:t>混凝土实心砖</w:t>
      </w:r>
      <w:bookmarkStart w:id="0" w:name="_GoBack"/>
      <w:bookmarkEnd w:id="0"/>
      <w:r>
        <w:rPr>
          <w:rFonts w:hint="eastAsia" w:ascii="方正小标宋简体" w:hAnsi="方正小标宋简体" w:eastAsia="方正小标宋简体" w:cs="方正小标宋简体"/>
          <w:color w:val="auto"/>
          <w:sz w:val="32"/>
          <w:szCs w:val="32"/>
        </w:rPr>
        <w:t>产品质量监督抽查实施细则</w:t>
      </w:r>
      <w:r>
        <w:rPr>
          <w:rFonts w:hint="eastAsia" w:ascii="方正小标宋简体" w:hAnsi="方正小标宋简体" w:eastAsia="方正小标宋简体" w:cs="方正小标宋简体"/>
          <w:sz w:val="32"/>
          <w:szCs w:val="32"/>
        </w:rPr>
        <w:t xml:space="preserve"> </w:t>
      </w:r>
    </w:p>
    <w:p w14:paraId="01EF82D9">
      <w:pPr>
        <w:adjustRightInd w:val="0"/>
        <w:snapToGrid w:val="0"/>
        <w:spacing w:line="440" w:lineRule="exact"/>
        <w:rPr>
          <w:rFonts w:hint="eastAsia" w:ascii="Times New Roman" w:hAnsi="Times New Roman" w:eastAsia="方正小标宋简体" w:cs="Times New Roman"/>
          <w:sz w:val="24"/>
          <w:szCs w:val="24"/>
        </w:rPr>
      </w:pPr>
    </w:p>
    <w:p w14:paraId="7E7C22A1">
      <w:pPr>
        <w:adjustRightInd w:val="0"/>
        <w:snapToGrid w:val="0"/>
        <w:spacing w:line="440" w:lineRule="exact"/>
        <w:rPr>
          <w:rFonts w:ascii="Times New Roman" w:hAnsi="Times New Roman" w:eastAsia="黑体" w:cs="Times New Roman"/>
        </w:rPr>
      </w:pPr>
      <w:r>
        <w:rPr>
          <w:rFonts w:ascii="Times New Roman" w:hAnsi="Times New Roman" w:eastAsia="黑体" w:cs="Times New Roman"/>
        </w:rPr>
        <w:t>1 抽样方法</w:t>
      </w:r>
    </w:p>
    <w:p w14:paraId="7AEDC28A">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以随机抽样的方式在被抽样生产者、销售者的待销产品中抽取。</w:t>
      </w:r>
    </w:p>
    <w:p w14:paraId="0E4D311B">
      <w:pPr>
        <w:adjustRightInd w:val="0"/>
        <w:snapToGrid w:val="0"/>
        <w:spacing w:line="440" w:lineRule="exact"/>
        <w:ind w:firstLine="420" w:firstLineChars="200"/>
        <w:rPr>
          <w:rFonts w:ascii="Times New Roman" w:hAnsi="Times New Roman" w:eastAsia="黑体"/>
          <w:color w:val="000000"/>
        </w:rPr>
      </w:pPr>
      <w:r>
        <w:rPr>
          <w:rFonts w:ascii="Times New Roman" w:hAnsi="Times New Roman"/>
        </w:rPr>
        <w:t>随机数一般可使用随机数表等方法产生。</w:t>
      </w:r>
    </w:p>
    <w:p w14:paraId="1CAAA816">
      <w:pPr>
        <w:snapToGrid w:val="0"/>
        <w:spacing w:line="440" w:lineRule="exact"/>
        <w:ind w:firstLine="420" w:firstLineChars="200"/>
        <w:rPr>
          <w:color w:val="000000"/>
          <w:szCs w:val="21"/>
        </w:rPr>
      </w:pPr>
      <w:r>
        <w:rPr>
          <w:color w:val="000000"/>
          <w:szCs w:val="21"/>
        </w:rPr>
        <w:t>每批次抽样数量见表1。</w:t>
      </w:r>
    </w:p>
    <w:p w14:paraId="387870C7">
      <w:pPr>
        <w:adjustRightInd w:val="0"/>
        <w:snapToGrid w:val="0"/>
        <w:spacing w:line="440" w:lineRule="exact"/>
        <w:jc w:val="center"/>
        <w:rPr>
          <w:szCs w:val="21"/>
        </w:rPr>
      </w:pPr>
      <w:r>
        <w:rPr>
          <w:szCs w:val="21"/>
        </w:rPr>
        <w:t>表1 抽样数量表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761"/>
        <w:gridCol w:w="1840"/>
        <w:gridCol w:w="1534"/>
        <w:gridCol w:w="1535"/>
      </w:tblGrid>
      <w:tr w14:paraId="12C9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65" w:type="dxa"/>
            <w:gridSpan w:val="2"/>
            <w:vMerge w:val="restart"/>
            <w:shd w:val="clear" w:color="auto" w:fill="FFFFFF"/>
            <w:noWrap w:val="0"/>
            <w:vAlign w:val="center"/>
          </w:tcPr>
          <w:p w14:paraId="5A06FC9E">
            <w:pPr>
              <w:keepNext w:val="0"/>
              <w:keepLines w:val="0"/>
              <w:suppressLineNumbers w:val="0"/>
              <w:spacing w:beforeAutospacing="0" w:after="0" w:afterAutospacing="0" w:line="302" w:lineRule="auto"/>
              <w:ind w:right="0"/>
              <w:jc w:val="center"/>
              <w:rPr>
                <w:rFonts w:hint="default"/>
                <w:szCs w:val="21"/>
              </w:rPr>
            </w:pPr>
            <w:r>
              <w:rPr>
                <w:rFonts w:hint="default"/>
                <w:szCs w:val="21"/>
              </w:rPr>
              <w:t>产品种类</w:t>
            </w:r>
          </w:p>
        </w:tc>
        <w:tc>
          <w:tcPr>
            <w:tcW w:w="4909" w:type="dxa"/>
            <w:gridSpan w:val="3"/>
            <w:shd w:val="clear" w:color="auto" w:fill="FFFFFF"/>
            <w:noWrap w:val="0"/>
            <w:vAlign w:val="top"/>
          </w:tcPr>
          <w:p w14:paraId="5FE1CCFA">
            <w:pPr>
              <w:keepNext w:val="0"/>
              <w:keepLines w:val="0"/>
              <w:suppressLineNumbers w:val="0"/>
              <w:spacing w:beforeAutospacing="0" w:after="0" w:afterAutospacing="0" w:line="302" w:lineRule="auto"/>
              <w:ind w:right="0"/>
              <w:jc w:val="center"/>
              <w:rPr>
                <w:rFonts w:hint="default"/>
                <w:szCs w:val="21"/>
              </w:rPr>
            </w:pPr>
            <w:r>
              <w:rPr>
                <w:rFonts w:hint="default"/>
                <w:szCs w:val="21"/>
              </w:rPr>
              <w:t>抽样数量（块）</w:t>
            </w:r>
          </w:p>
        </w:tc>
      </w:tr>
      <w:tr w14:paraId="3ACC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265" w:type="dxa"/>
            <w:gridSpan w:val="2"/>
            <w:vMerge w:val="continue"/>
            <w:shd w:val="clear" w:color="auto" w:fill="FFFFFF"/>
            <w:noWrap w:val="0"/>
            <w:vAlign w:val="center"/>
          </w:tcPr>
          <w:p w14:paraId="5B969A89">
            <w:pPr>
              <w:keepNext w:val="0"/>
              <w:keepLines w:val="0"/>
              <w:suppressLineNumbers w:val="0"/>
              <w:spacing w:beforeAutospacing="0" w:after="0" w:afterAutospacing="0" w:line="302" w:lineRule="auto"/>
              <w:ind w:right="0"/>
              <w:jc w:val="center"/>
              <w:rPr>
                <w:rFonts w:hint="default"/>
                <w:szCs w:val="21"/>
              </w:rPr>
            </w:pPr>
          </w:p>
        </w:tc>
        <w:tc>
          <w:tcPr>
            <w:tcW w:w="1840" w:type="dxa"/>
            <w:shd w:val="clear" w:color="auto" w:fill="FFFFFF"/>
            <w:noWrap w:val="0"/>
            <w:vAlign w:val="top"/>
          </w:tcPr>
          <w:p w14:paraId="09531DDF">
            <w:pPr>
              <w:keepNext w:val="0"/>
              <w:keepLines w:val="0"/>
              <w:suppressLineNumbers w:val="0"/>
              <w:spacing w:beforeAutospacing="0" w:after="0" w:afterAutospacing="0" w:line="302" w:lineRule="auto"/>
              <w:ind w:right="0"/>
              <w:jc w:val="center"/>
              <w:rPr>
                <w:rFonts w:hint="default"/>
                <w:szCs w:val="21"/>
              </w:rPr>
            </w:pPr>
            <w:r>
              <w:rPr>
                <w:rFonts w:hint="default"/>
                <w:szCs w:val="21"/>
              </w:rPr>
              <w:t>抽样总数量</w:t>
            </w:r>
          </w:p>
        </w:tc>
        <w:tc>
          <w:tcPr>
            <w:tcW w:w="1534" w:type="dxa"/>
            <w:shd w:val="clear" w:color="auto" w:fill="FFFFFF"/>
            <w:noWrap w:val="0"/>
            <w:vAlign w:val="center"/>
          </w:tcPr>
          <w:p w14:paraId="22800443">
            <w:pPr>
              <w:keepNext w:val="0"/>
              <w:keepLines w:val="0"/>
              <w:suppressLineNumbers w:val="0"/>
              <w:spacing w:beforeAutospacing="0" w:after="0" w:afterAutospacing="0" w:line="302" w:lineRule="auto"/>
              <w:ind w:right="0"/>
              <w:jc w:val="center"/>
              <w:rPr>
                <w:rFonts w:hint="default"/>
                <w:szCs w:val="21"/>
              </w:rPr>
            </w:pPr>
            <w:r>
              <w:rPr>
                <w:rFonts w:hint="default"/>
                <w:szCs w:val="21"/>
              </w:rPr>
              <w:t>检验样品</w:t>
            </w:r>
          </w:p>
        </w:tc>
        <w:tc>
          <w:tcPr>
            <w:tcW w:w="1535" w:type="dxa"/>
            <w:shd w:val="clear" w:color="auto" w:fill="FFFFFF"/>
            <w:noWrap w:val="0"/>
            <w:vAlign w:val="center"/>
          </w:tcPr>
          <w:p w14:paraId="694E82C5">
            <w:pPr>
              <w:keepNext w:val="0"/>
              <w:keepLines w:val="0"/>
              <w:suppressLineNumbers w:val="0"/>
              <w:spacing w:beforeAutospacing="0" w:after="0" w:afterAutospacing="0" w:line="302" w:lineRule="auto"/>
              <w:ind w:right="0"/>
              <w:jc w:val="center"/>
              <w:rPr>
                <w:rFonts w:hint="default"/>
                <w:szCs w:val="21"/>
              </w:rPr>
            </w:pPr>
            <w:r>
              <w:rPr>
                <w:rFonts w:hint="default"/>
                <w:szCs w:val="21"/>
              </w:rPr>
              <w:t>备用样品</w:t>
            </w:r>
          </w:p>
        </w:tc>
      </w:tr>
      <w:tr w14:paraId="40B9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504" w:type="dxa"/>
            <w:vMerge w:val="restart"/>
            <w:shd w:val="clear" w:color="auto" w:fill="FFFFFF"/>
            <w:noWrap w:val="0"/>
            <w:vAlign w:val="center"/>
          </w:tcPr>
          <w:p w14:paraId="1DF2FC7B">
            <w:pPr>
              <w:keepNext w:val="0"/>
              <w:keepLines w:val="0"/>
              <w:suppressLineNumbers w:val="0"/>
              <w:spacing w:beforeAutospacing="0" w:after="0" w:afterAutospacing="0" w:line="302" w:lineRule="auto"/>
              <w:ind w:right="0"/>
              <w:jc w:val="center"/>
              <w:rPr>
                <w:rFonts w:hint="default"/>
                <w:szCs w:val="21"/>
              </w:rPr>
            </w:pPr>
            <w:r>
              <w:rPr>
                <w:rFonts w:hint="eastAsia"/>
                <w:szCs w:val="21"/>
                <w:lang w:val="en-US" w:eastAsia="zh-CN"/>
              </w:rPr>
              <w:t>混凝土实心砖</w:t>
            </w:r>
          </w:p>
        </w:tc>
        <w:tc>
          <w:tcPr>
            <w:tcW w:w="2761" w:type="dxa"/>
            <w:shd w:val="clear" w:color="auto" w:fill="FFFFFF"/>
            <w:noWrap w:val="0"/>
            <w:vAlign w:val="center"/>
          </w:tcPr>
          <w:p w14:paraId="7CD84474">
            <w:pPr>
              <w:keepNext w:val="0"/>
              <w:keepLines w:val="0"/>
              <w:suppressLineNumbers w:val="0"/>
              <w:spacing w:beforeAutospacing="0" w:after="0" w:afterAutospacing="0" w:line="302" w:lineRule="auto"/>
              <w:ind w:right="0"/>
              <w:jc w:val="center"/>
              <w:rPr>
                <w:rFonts w:hint="default" w:eastAsia="宋体"/>
                <w:szCs w:val="21"/>
                <w:lang w:val="en-US" w:eastAsia="zh-CN"/>
              </w:rPr>
            </w:pPr>
            <w:r>
              <w:rPr>
                <w:rFonts w:hint="default"/>
                <w:szCs w:val="21"/>
              </w:rPr>
              <w:t>H/B</w:t>
            </w:r>
            <w:r>
              <w:rPr>
                <w:rFonts w:hint="default" w:ascii="宋体" w:hAnsi="宋体"/>
                <w:szCs w:val="21"/>
              </w:rPr>
              <w:t>≥</w:t>
            </w:r>
            <w:r>
              <w:rPr>
                <w:rFonts w:hint="default"/>
                <w:szCs w:val="21"/>
              </w:rPr>
              <w:t>0.6</w:t>
            </w:r>
            <w:r>
              <w:rPr>
                <w:rFonts w:hint="eastAsia"/>
                <w:szCs w:val="21"/>
                <w:lang w:val="en-US" w:eastAsia="zh-CN"/>
              </w:rPr>
              <w:t>或</w:t>
            </w:r>
            <w:r>
              <w:rPr>
                <w:rFonts w:hint="default"/>
                <w:szCs w:val="21"/>
              </w:rPr>
              <w:t>H/B＜0.6</w:t>
            </w:r>
            <w:r>
              <w:rPr>
                <w:rFonts w:hint="eastAsia"/>
                <w:szCs w:val="21"/>
                <w:lang w:eastAsia="zh-CN"/>
              </w:rPr>
              <w:t>（</w:t>
            </w:r>
            <w:r>
              <w:rPr>
                <w:rFonts w:hint="eastAsia"/>
                <w:szCs w:val="21"/>
                <w:lang w:val="en-US" w:eastAsia="zh-CN"/>
              </w:rPr>
              <w:t>L</w:t>
            </w:r>
            <w:r>
              <w:rPr>
                <w:rFonts w:hint="default" w:ascii="宋体" w:hAnsi="宋体"/>
                <w:szCs w:val="21"/>
              </w:rPr>
              <w:t>≥</w:t>
            </w:r>
            <w:r>
              <w:rPr>
                <w:rFonts w:hint="eastAsia" w:ascii="宋体" w:hAnsi="宋体"/>
                <w:szCs w:val="21"/>
                <w:lang w:val="en-US" w:eastAsia="zh-CN"/>
              </w:rPr>
              <w:t>190mm)</w:t>
            </w:r>
          </w:p>
        </w:tc>
        <w:tc>
          <w:tcPr>
            <w:tcW w:w="1840" w:type="dxa"/>
            <w:shd w:val="clear" w:color="auto" w:fill="FFFFFF"/>
            <w:noWrap w:val="0"/>
            <w:vAlign w:val="center"/>
          </w:tcPr>
          <w:p w14:paraId="18C80882">
            <w:pPr>
              <w:keepNext w:val="0"/>
              <w:keepLines w:val="0"/>
              <w:suppressLineNumbers w:val="0"/>
              <w:spacing w:beforeAutospacing="0" w:after="0" w:afterAutospacing="0" w:line="302" w:lineRule="auto"/>
              <w:ind w:right="0"/>
              <w:jc w:val="center"/>
              <w:rPr>
                <w:rFonts w:hint="default"/>
                <w:szCs w:val="21"/>
              </w:rPr>
            </w:pPr>
            <w:r>
              <w:rPr>
                <w:rFonts w:hint="default"/>
                <w:szCs w:val="21"/>
              </w:rPr>
              <w:t>42</w:t>
            </w:r>
          </w:p>
        </w:tc>
        <w:tc>
          <w:tcPr>
            <w:tcW w:w="1534" w:type="dxa"/>
            <w:shd w:val="clear" w:color="auto" w:fill="FFFFFF"/>
            <w:noWrap w:val="0"/>
            <w:vAlign w:val="center"/>
          </w:tcPr>
          <w:p w14:paraId="120C5BD8">
            <w:pPr>
              <w:keepNext w:val="0"/>
              <w:keepLines w:val="0"/>
              <w:suppressLineNumbers w:val="0"/>
              <w:spacing w:beforeAutospacing="0" w:after="0" w:afterAutospacing="0" w:line="302" w:lineRule="auto"/>
              <w:ind w:right="0"/>
              <w:jc w:val="center"/>
              <w:rPr>
                <w:rFonts w:hint="default"/>
                <w:szCs w:val="21"/>
              </w:rPr>
            </w:pPr>
            <w:r>
              <w:rPr>
                <w:rFonts w:hint="default"/>
                <w:szCs w:val="21"/>
              </w:rPr>
              <w:t>30</w:t>
            </w:r>
          </w:p>
        </w:tc>
        <w:tc>
          <w:tcPr>
            <w:tcW w:w="1535" w:type="dxa"/>
            <w:shd w:val="clear" w:color="auto" w:fill="FFFFFF"/>
            <w:noWrap w:val="0"/>
            <w:vAlign w:val="center"/>
          </w:tcPr>
          <w:p w14:paraId="055F5EDA">
            <w:pPr>
              <w:keepNext w:val="0"/>
              <w:keepLines w:val="0"/>
              <w:suppressLineNumbers w:val="0"/>
              <w:spacing w:beforeAutospacing="0" w:after="0" w:afterAutospacing="0" w:line="302" w:lineRule="auto"/>
              <w:ind w:right="0"/>
              <w:jc w:val="center"/>
              <w:rPr>
                <w:rFonts w:hint="default"/>
                <w:szCs w:val="21"/>
              </w:rPr>
            </w:pPr>
            <w:r>
              <w:rPr>
                <w:rFonts w:hint="default"/>
                <w:szCs w:val="21"/>
              </w:rPr>
              <w:t>12</w:t>
            </w:r>
          </w:p>
        </w:tc>
      </w:tr>
      <w:tr w14:paraId="159A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04" w:type="dxa"/>
            <w:vMerge w:val="continue"/>
            <w:shd w:val="clear" w:color="auto" w:fill="FFFFFF"/>
            <w:noWrap w:val="0"/>
            <w:vAlign w:val="center"/>
          </w:tcPr>
          <w:p w14:paraId="6C2CB484">
            <w:pPr>
              <w:keepNext w:val="0"/>
              <w:keepLines w:val="0"/>
              <w:suppressLineNumbers w:val="0"/>
              <w:spacing w:beforeAutospacing="0" w:after="0" w:afterAutospacing="0" w:line="302" w:lineRule="auto"/>
              <w:ind w:right="0"/>
              <w:jc w:val="center"/>
              <w:rPr>
                <w:rFonts w:hint="default"/>
                <w:szCs w:val="21"/>
              </w:rPr>
            </w:pPr>
          </w:p>
        </w:tc>
        <w:tc>
          <w:tcPr>
            <w:tcW w:w="2761" w:type="dxa"/>
            <w:shd w:val="clear" w:color="auto" w:fill="FFFFFF"/>
            <w:noWrap w:val="0"/>
            <w:vAlign w:val="center"/>
          </w:tcPr>
          <w:p w14:paraId="77315758">
            <w:pPr>
              <w:keepNext w:val="0"/>
              <w:keepLines w:val="0"/>
              <w:suppressLineNumbers w:val="0"/>
              <w:spacing w:beforeAutospacing="0" w:after="0" w:afterAutospacing="0" w:line="302" w:lineRule="auto"/>
              <w:ind w:right="0"/>
              <w:jc w:val="center"/>
              <w:rPr>
                <w:rFonts w:hint="default"/>
                <w:szCs w:val="21"/>
              </w:rPr>
            </w:pPr>
            <w:r>
              <w:rPr>
                <w:rFonts w:hint="default"/>
                <w:szCs w:val="21"/>
              </w:rPr>
              <w:t>H/B＜0.6</w:t>
            </w:r>
            <w:r>
              <w:rPr>
                <w:rFonts w:hint="eastAsia"/>
                <w:szCs w:val="21"/>
                <w:lang w:eastAsia="zh-CN"/>
              </w:rPr>
              <w:t>（</w:t>
            </w:r>
            <w:r>
              <w:rPr>
                <w:rFonts w:hint="eastAsia"/>
                <w:szCs w:val="21"/>
                <w:lang w:val="en-US" w:eastAsia="zh-CN"/>
              </w:rPr>
              <w:t>L</w:t>
            </w:r>
            <w:r>
              <w:rPr>
                <w:rFonts w:hint="default"/>
                <w:szCs w:val="21"/>
              </w:rPr>
              <w:t>＜</w:t>
            </w:r>
            <w:r>
              <w:rPr>
                <w:rFonts w:hint="eastAsia" w:ascii="宋体" w:hAnsi="宋体"/>
                <w:szCs w:val="21"/>
                <w:lang w:val="en-US" w:eastAsia="zh-CN"/>
              </w:rPr>
              <w:t>190mm)</w:t>
            </w:r>
          </w:p>
        </w:tc>
        <w:tc>
          <w:tcPr>
            <w:tcW w:w="1840" w:type="dxa"/>
            <w:shd w:val="clear" w:color="auto" w:fill="FFFFFF"/>
            <w:noWrap w:val="0"/>
            <w:vAlign w:val="center"/>
          </w:tcPr>
          <w:p w14:paraId="20FB17EC">
            <w:pPr>
              <w:keepNext w:val="0"/>
              <w:keepLines w:val="0"/>
              <w:suppressLineNumbers w:val="0"/>
              <w:spacing w:beforeAutospacing="0" w:after="0" w:afterAutospacing="0" w:line="302" w:lineRule="auto"/>
              <w:ind w:right="0"/>
              <w:jc w:val="center"/>
              <w:rPr>
                <w:rFonts w:hint="default"/>
                <w:szCs w:val="21"/>
              </w:rPr>
            </w:pPr>
            <w:r>
              <w:rPr>
                <w:rFonts w:hint="default"/>
                <w:szCs w:val="21"/>
              </w:rPr>
              <w:t>72</w:t>
            </w:r>
          </w:p>
        </w:tc>
        <w:tc>
          <w:tcPr>
            <w:tcW w:w="1534" w:type="dxa"/>
            <w:shd w:val="clear" w:color="auto" w:fill="FFFFFF"/>
            <w:noWrap w:val="0"/>
            <w:vAlign w:val="center"/>
          </w:tcPr>
          <w:p w14:paraId="0804FD16">
            <w:pPr>
              <w:keepNext w:val="0"/>
              <w:keepLines w:val="0"/>
              <w:suppressLineNumbers w:val="0"/>
              <w:spacing w:beforeAutospacing="0" w:after="0" w:afterAutospacing="0" w:line="302" w:lineRule="auto"/>
              <w:ind w:right="0"/>
              <w:jc w:val="center"/>
              <w:rPr>
                <w:rFonts w:hint="default"/>
                <w:szCs w:val="21"/>
              </w:rPr>
            </w:pPr>
            <w:r>
              <w:rPr>
                <w:rFonts w:hint="default"/>
                <w:szCs w:val="21"/>
              </w:rPr>
              <w:t>50</w:t>
            </w:r>
          </w:p>
        </w:tc>
        <w:tc>
          <w:tcPr>
            <w:tcW w:w="1535" w:type="dxa"/>
            <w:shd w:val="clear" w:color="auto" w:fill="FFFFFF"/>
            <w:noWrap w:val="0"/>
            <w:vAlign w:val="center"/>
          </w:tcPr>
          <w:p w14:paraId="4249B003">
            <w:pPr>
              <w:keepNext w:val="0"/>
              <w:keepLines w:val="0"/>
              <w:suppressLineNumbers w:val="0"/>
              <w:spacing w:beforeAutospacing="0" w:after="0" w:afterAutospacing="0" w:line="302" w:lineRule="auto"/>
              <w:ind w:right="0"/>
              <w:jc w:val="center"/>
              <w:rPr>
                <w:rFonts w:hint="default"/>
                <w:szCs w:val="21"/>
              </w:rPr>
            </w:pPr>
            <w:r>
              <w:rPr>
                <w:rFonts w:hint="default"/>
                <w:szCs w:val="21"/>
              </w:rPr>
              <w:t>22</w:t>
            </w:r>
          </w:p>
        </w:tc>
      </w:tr>
    </w:tbl>
    <w:p w14:paraId="4D60CA08">
      <w:pPr>
        <w:adjustRightInd w:val="0"/>
        <w:snapToGrid w:val="0"/>
        <w:spacing w:line="440" w:lineRule="exact"/>
        <w:ind w:firstLine="420" w:firstLineChars="200"/>
        <w:rPr>
          <w:rFonts w:hint="eastAsia" w:ascii="Times New Roman" w:hAnsi="Times New Roman"/>
        </w:rPr>
      </w:pPr>
    </w:p>
    <w:p w14:paraId="66A0E98F">
      <w:pPr>
        <w:adjustRightInd w:val="0"/>
        <w:snapToGrid w:val="0"/>
        <w:spacing w:line="440" w:lineRule="exact"/>
        <w:rPr>
          <w:rFonts w:ascii="Times New Roman" w:hAnsi="Times New Roman" w:eastAsia="黑体" w:cs="Times New Roman"/>
        </w:rPr>
      </w:pPr>
      <w:r>
        <w:rPr>
          <w:rFonts w:ascii="Times New Roman" w:hAnsi="Times New Roman" w:cs="Times New Roman"/>
        </w:rPr>
        <w:t xml:space="preserve">2 </w:t>
      </w:r>
      <w:r>
        <w:rPr>
          <w:rFonts w:ascii="Times New Roman" w:hAnsi="Times New Roman" w:eastAsia="黑体" w:cs="Times New Roman"/>
        </w:rPr>
        <w:t>检验依据</w:t>
      </w:r>
    </w:p>
    <w:p w14:paraId="78C950E9">
      <w:pPr>
        <w:adjustRightInd w:val="0"/>
        <w:snapToGrid w:val="0"/>
        <w:jc w:val="center"/>
        <w:rPr>
          <w:rFonts w:hint="eastAsia" w:ascii="Times New Roman" w:hAnsi="Times New Roman" w:cs="Times New Roman"/>
          <w:highlight w:val="yellow"/>
        </w:rPr>
      </w:pPr>
      <w:r>
        <w:rPr>
          <w:rFonts w:hint="eastAsia" w:ascii="Times New Roman" w:hAnsi="Times New Roman" w:cs="Times New Roman"/>
          <w:highlight w:val="none"/>
        </w:rPr>
        <w:t>表2</w:t>
      </w:r>
      <w:r>
        <w:rPr>
          <w:rFonts w:ascii="Times New Roman" w:hAnsi="Times New Roman" w:cs="Times New Roman"/>
          <w:highlight w:val="none"/>
        </w:rPr>
        <w:t>检验项目表</w:t>
      </w:r>
    </w:p>
    <w:tbl>
      <w:tblPr>
        <w:tblStyle w:val="21"/>
        <w:tblW w:w="4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823"/>
        <w:gridCol w:w="2428"/>
        <w:gridCol w:w="2294"/>
      </w:tblGrid>
      <w:tr w14:paraId="5448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1" w:type="pct"/>
            <w:vAlign w:val="center"/>
          </w:tcPr>
          <w:p w14:paraId="57F27307">
            <w:pPr>
              <w:keepNext w:val="0"/>
              <w:keepLines w:val="0"/>
              <w:suppressLineNumbers w:val="0"/>
              <w:snapToGrid w:val="0"/>
              <w:spacing w:beforeAutospacing="0" w:after="0" w:afterAutospacing="0"/>
              <w:ind w:right="0"/>
              <w:jc w:val="center"/>
              <w:rPr>
                <w:rFonts w:hint="default"/>
              </w:rPr>
            </w:pPr>
            <w:r>
              <w:rPr>
                <w:rFonts w:hint="default"/>
              </w:rPr>
              <w:t>序号</w:t>
            </w:r>
          </w:p>
        </w:tc>
        <w:tc>
          <w:tcPr>
            <w:tcW w:w="1687" w:type="pct"/>
            <w:vAlign w:val="center"/>
          </w:tcPr>
          <w:p w14:paraId="0B33B2A1">
            <w:pPr>
              <w:keepNext w:val="0"/>
              <w:keepLines w:val="0"/>
              <w:suppressLineNumbers w:val="0"/>
              <w:snapToGrid w:val="0"/>
              <w:spacing w:beforeAutospacing="0" w:after="0" w:afterAutospacing="0"/>
              <w:ind w:right="0"/>
              <w:jc w:val="center"/>
              <w:rPr>
                <w:rFonts w:hint="default"/>
              </w:rPr>
            </w:pPr>
            <w:r>
              <w:rPr>
                <w:rFonts w:hint="default"/>
              </w:rPr>
              <w:t>检验项目</w:t>
            </w:r>
          </w:p>
        </w:tc>
        <w:tc>
          <w:tcPr>
            <w:tcW w:w="1451" w:type="pct"/>
          </w:tcPr>
          <w:p w14:paraId="59589138">
            <w:pPr>
              <w:keepNext w:val="0"/>
              <w:keepLines w:val="0"/>
              <w:suppressLineNumbers w:val="0"/>
              <w:snapToGrid w:val="0"/>
              <w:spacing w:beforeAutospacing="0" w:after="0" w:afterAutospacing="0"/>
              <w:ind w:right="0"/>
              <w:jc w:val="center"/>
              <w:rPr>
                <w:rFonts w:hint="default"/>
              </w:rPr>
            </w:pPr>
            <w:r>
              <w:rPr>
                <w:rFonts w:hint="eastAsia"/>
              </w:rPr>
              <w:t>检验依据</w:t>
            </w:r>
          </w:p>
        </w:tc>
        <w:tc>
          <w:tcPr>
            <w:tcW w:w="1372" w:type="pct"/>
            <w:vAlign w:val="center"/>
          </w:tcPr>
          <w:p w14:paraId="35C7FD2B">
            <w:pPr>
              <w:keepNext w:val="0"/>
              <w:keepLines w:val="0"/>
              <w:suppressLineNumbers w:val="0"/>
              <w:snapToGrid w:val="0"/>
              <w:spacing w:beforeAutospacing="0" w:after="0" w:afterAutospacing="0"/>
              <w:ind w:right="0"/>
              <w:jc w:val="center"/>
              <w:rPr>
                <w:rFonts w:hint="default"/>
              </w:rPr>
            </w:pPr>
            <w:r>
              <w:rPr>
                <w:rFonts w:hint="default"/>
              </w:rPr>
              <w:t>检验方法</w:t>
            </w:r>
          </w:p>
        </w:tc>
      </w:tr>
      <w:tr w14:paraId="624E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6D822D88">
            <w:pPr>
              <w:keepNext w:val="0"/>
              <w:keepLines w:val="0"/>
              <w:suppressLineNumbers w:val="0"/>
              <w:autoSpaceDE w:val="0"/>
              <w:snapToGrid w:val="0"/>
              <w:spacing w:beforeAutospacing="0" w:after="0" w:afterAutospacing="0"/>
              <w:ind w:right="0"/>
              <w:jc w:val="center"/>
              <w:rPr>
                <w:rFonts w:hint="default" w:eastAsia="仿宋"/>
              </w:rPr>
            </w:pPr>
            <w:r>
              <w:rPr>
                <w:rFonts w:hint="default"/>
              </w:rPr>
              <w:t>1</w:t>
            </w:r>
          </w:p>
        </w:tc>
        <w:tc>
          <w:tcPr>
            <w:tcW w:w="1687" w:type="pct"/>
            <w:vAlign w:val="center"/>
          </w:tcPr>
          <w:p w14:paraId="3619BC2F">
            <w:pPr>
              <w:keepNext w:val="0"/>
              <w:keepLines w:val="0"/>
              <w:suppressLineNumbers w:val="0"/>
              <w:adjustRightInd w:val="0"/>
              <w:snapToGrid w:val="0"/>
              <w:spacing w:beforeAutospacing="0" w:after="0" w:afterAutospacing="0" w:line="440" w:lineRule="exact"/>
              <w:ind w:right="0" w:firstLine="420" w:firstLineChars="200"/>
              <w:jc w:val="center"/>
              <w:rPr>
                <w:rFonts w:hint="default" w:ascii="Times New Roman" w:hAnsi="Times New Roman" w:eastAsia="宋体"/>
              </w:rPr>
            </w:pPr>
            <w:r>
              <w:rPr>
                <w:rFonts w:hint="eastAsia" w:ascii="Times New Roman" w:hAnsi="Times New Roman" w:eastAsia="宋体"/>
                <w:lang w:val="en-US" w:eastAsia="zh-CN"/>
              </w:rPr>
              <w:t>密度等级</w:t>
            </w:r>
          </w:p>
        </w:tc>
        <w:tc>
          <w:tcPr>
            <w:tcW w:w="1451" w:type="pct"/>
            <w:vAlign w:val="center"/>
          </w:tcPr>
          <w:p w14:paraId="145521A2">
            <w:pPr>
              <w:keepNext w:val="0"/>
              <w:keepLines w:val="0"/>
              <w:suppressLineNumbers w:val="0"/>
              <w:spacing w:beforeAutospacing="0" w:after="0" w:afterAutospacing="0"/>
              <w:ind w:right="0"/>
              <w:jc w:val="center"/>
              <w:rPr>
                <w:rFonts w:hint="default"/>
              </w:rPr>
            </w:pPr>
            <w:r>
              <w:rPr>
                <w:rFonts w:hint="eastAsia" w:ascii="宋体" w:hAnsi="宋体" w:eastAsia="宋体" w:cs="Courier New"/>
                <w:color w:val="000000"/>
                <w:kern w:val="2"/>
                <w:sz w:val="21"/>
                <w:szCs w:val="21"/>
                <w:lang w:val="en-US" w:eastAsia="zh-CN" w:bidi="ar"/>
              </w:rPr>
              <w:t>GB/T 21144-2023</w:t>
            </w:r>
          </w:p>
        </w:tc>
        <w:tc>
          <w:tcPr>
            <w:tcW w:w="1372" w:type="pct"/>
            <w:vAlign w:val="center"/>
          </w:tcPr>
          <w:p w14:paraId="20F7ED10">
            <w:pPr>
              <w:keepNext w:val="0"/>
              <w:keepLines w:val="0"/>
              <w:suppressLineNumbers w:val="0"/>
              <w:spacing w:beforeAutospacing="0" w:after="0" w:afterAutospacing="0"/>
              <w:ind w:right="0"/>
              <w:jc w:val="center"/>
              <w:rPr>
                <w:rFonts w:hint="default" w:ascii="宋体" w:hAnsi="宋体" w:eastAsia="宋体" w:cs="Courier New"/>
                <w:color w:val="000000"/>
                <w:kern w:val="2"/>
                <w:sz w:val="21"/>
                <w:szCs w:val="21"/>
                <w:lang w:val="en-US" w:eastAsia="zh-CN" w:bidi="ar"/>
              </w:rPr>
            </w:pPr>
            <w:r>
              <w:rPr>
                <w:rFonts w:hint="eastAsia" w:ascii="宋体" w:hAnsi="宋体" w:eastAsia="宋体" w:cs="Courier New"/>
                <w:color w:val="000000"/>
                <w:kern w:val="2"/>
                <w:sz w:val="21"/>
                <w:szCs w:val="21"/>
                <w:lang w:val="en-US" w:eastAsia="zh-CN" w:bidi="ar"/>
              </w:rPr>
              <w:t>GB/T 4111-2013</w:t>
            </w:r>
          </w:p>
        </w:tc>
      </w:tr>
      <w:tr w14:paraId="5BCE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91" w:type="pct"/>
            <w:vAlign w:val="center"/>
          </w:tcPr>
          <w:p w14:paraId="721C16CE">
            <w:pPr>
              <w:keepNext w:val="0"/>
              <w:keepLines w:val="0"/>
              <w:suppressLineNumbers w:val="0"/>
              <w:autoSpaceDE w:val="0"/>
              <w:snapToGrid w:val="0"/>
              <w:spacing w:beforeAutospacing="0" w:after="0" w:afterAutospacing="0"/>
              <w:ind w:right="0"/>
              <w:jc w:val="center"/>
              <w:rPr>
                <w:rFonts w:hint="default" w:eastAsia="仿宋"/>
              </w:rPr>
            </w:pPr>
            <w:r>
              <w:rPr>
                <w:rFonts w:hint="default"/>
              </w:rPr>
              <w:t>2</w:t>
            </w:r>
          </w:p>
        </w:tc>
        <w:tc>
          <w:tcPr>
            <w:tcW w:w="1687" w:type="pct"/>
            <w:vAlign w:val="center"/>
          </w:tcPr>
          <w:p w14:paraId="3AA3C476">
            <w:pPr>
              <w:keepNext w:val="0"/>
              <w:keepLines w:val="0"/>
              <w:suppressLineNumbers w:val="0"/>
              <w:adjustRightInd w:val="0"/>
              <w:snapToGrid w:val="0"/>
              <w:spacing w:beforeAutospacing="0" w:after="0" w:afterAutospacing="0" w:line="440" w:lineRule="exact"/>
              <w:ind w:right="0" w:firstLine="420" w:firstLineChars="200"/>
              <w:jc w:val="center"/>
              <w:rPr>
                <w:rFonts w:hint="default" w:ascii="Times New Roman" w:hAnsi="Times New Roman" w:eastAsia="宋体"/>
              </w:rPr>
            </w:pPr>
            <w:r>
              <w:rPr>
                <w:rFonts w:hint="eastAsia" w:ascii="Times New Roman" w:hAnsi="Times New Roman" w:eastAsia="宋体"/>
                <w:lang w:val="en-US" w:eastAsia="zh-CN"/>
              </w:rPr>
              <w:t>强度等级</w:t>
            </w:r>
          </w:p>
        </w:tc>
        <w:tc>
          <w:tcPr>
            <w:tcW w:w="1451" w:type="pct"/>
            <w:vAlign w:val="center"/>
          </w:tcPr>
          <w:p w14:paraId="37B4C4CD">
            <w:pPr>
              <w:keepNext w:val="0"/>
              <w:keepLines w:val="0"/>
              <w:suppressLineNumbers w:val="0"/>
              <w:spacing w:beforeAutospacing="0" w:after="0" w:afterAutospacing="0"/>
              <w:ind w:right="0"/>
              <w:jc w:val="center"/>
              <w:rPr>
                <w:rFonts w:hint="default"/>
              </w:rPr>
            </w:pPr>
            <w:r>
              <w:rPr>
                <w:rFonts w:hint="eastAsia" w:ascii="宋体" w:hAnsi="宋体" w:eastAsia="宋体" w:cs="Courier New"/>
                <w:color w:val="000000"/>
                <w:kern w:val="2"/>
                <w:sz w:val="21"/>
                <w:szCs w:val="21"/>
                <w:lang w:val="en-US" w:eastAsia="zh-CN" w:bidi="ar"/>
              </w:rPr>
              <w:t>GB/T 21144-2023</w:t>
            </w:r>
          </w:p>
        </w:tc>
        <w:tc>
          <w:tcPr>
            <w:tcW w:w="1372" w:type="pct"/>
            <w:vAlign w:val="center"/>
          </w:tcPr>
          <w:p w14:paraId="7C607845">
            <w:pPr>
              <w:keepNext w:val="0"/>
              <w:keepLines w:val="0"/>
              <w:suppressLineNumbers w:val="0"/>
              <w:spacing w:beforeAutospacing="0" w:after="0" w:afterAutospacing="0"/>
              <w:ind w:right="0"/>
              <w:jc w:val="center"/>
              <w:rPr>
                <w:rFonts w:hint="eastAsia" w:ascii="宋体" w:hAnsi="宋体" w:eastAsia="宋体" w:cs="Courier New"/>
                <w:color w:val="000000"/>
                <w:kern w:val="2"/>
                <w:sz w:val="21"/>
                <w:szCs w:val="21"/>
                <w:lang w:val="en-US" w:eastAsia="zh-CN" w:bidi="ar"/>
              </w:rPr>
            </w:pPr>
            <w:r>
              <w:rPr>
                <w:rFonts w:hint="eastAsia" w:ascii="宋体" w:hAnsi="宋体" w:eastAsia="宋体" w:cs="Courier New"/>
                <w:color w:val="000000"/>
                <w:kern w:val="2"/>
                <w:sz w:val="21"/>
                <w:szCs w:val="21"/>
                <w:lang w:val="en-US" w:eastAsia="zh-CN" w:bidi="ar"/>
              </w:rPr>
              <w:t>GB/T 21144-2023</w:t>
            </w:r>
          </w:p>
          <w:p w14:paraId="2CEEAF76">
            <w:pPr>
              <w:keepNext w:val="0"/>
              <w:keepLines w:val="0"/>
              <w:suppressLineNumbers w:val="0"/>
              <w:spacing w:beforeAutospacing="0" w:after="0" w:afterAutospacing="0"/>
              <w:ind w:right="0"/>
              <w:jc w:val="center"/>
              <w:rPr>
                <w:rFonts w:hint="eastAsia" w:ascii="宋体" w:hAnsi="宋体" w:eastAsia="宋体" w:cs="Courier New"/>
                <w:color w:val="000000"/>
                <w:kern w:val="2"/>
                <w:sz w:val="21"/>
                <w:szCs w:val="21"/>
                <w:lang w:val="en-US" w:eastAsia="zh-CN" w:bidi="ar"/>
              </w:rPr>
            </w:pPr>
            <w:r>
              <w:rPr>
                <w:rFonts w:hint="eastAsia" w:ascii="宋体" w:hAnsi="宋体" w:eastAsia="宋体" w:cs="Courier New"/>
                <w:color w:val="000000"/>
                <w:kern w:val="2"/>
                <w:sz w:val="21"/>
                <w:szCs w:val="21"/>
                <w:lang w:val="en-US" w:eastAsia="zh-CN" w:bidi="ar"/>
              </w:rPr>
              <w:t>GB/T 4111-2013</w:t>
            </w:r>
          </w:p>
        </w:tc>
      </w:tr>
      <w:tr w14:paraId="341C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0983290A">
            <w:pPr>
              <w:keepNext w:val="0"/>
              <w:keepLines w:val="0"/>
              <w:suppressLineNumbers w:val="0"/>
              <w:autoSpaceDE w:val="0"/>
              <w:snapToGrid w:val="0"/>
              <w:spacing w:beforeAutospacing="0" w:after="0" w:afterAutospacing="0"/>
              <w:ind w:right="0"/>
              <w:jc w:val="center"/>
              <w:rPr>
                <w:rFonts w:hint="default" w:eastAsia="仿宋"/>
              </w:rPr>
            </w:pPr>
            <w:r>
              <w:rPr>
                <w:rFonts w:hint="default"/>
              </w:rPr>
              <w:t>3</w:t>
            </w:r>
          </w:p>
        </w:tc>
        <w:tc>
          <w:tcPr>
            <w:tcW w:w="1687" w:type="pct"/>
            <w:vAlign w:val="center"/>
          </w:tcPr>
          <w:p w14:paraId="07CA0D53">
            <w:pPr>
              <w:keepNext w:val="0"/>
              <w:keepLines w:val="0"/>
              <w:suppressLineNumbers w:val="0"/>
              <w:adjustRightInd w:val="0"/>
              <w:snapToGrid w:val="0"/>
              <w:spacing w:beforeAutospacing="0" w:after="0" w:afterAutospacing="0" w:line="440" w:lineRule="exact"/>
              <w:ind w:right="0" w:firstLine="420" w:firstLineChars="200"/>
              <w:jc w:val="center"/>
              <w:rPr>
                <w:rFonts w:hint="default" w:ascii="Times New Roman" w:hAnsi="Times New Roman" w:eastAsia="宋体"/>
              </w:rPr>
            </w:pPr>
            <w:r>
              <w:rPr>
                <w:rFonts w:hint="eastAsia" w:ascii="Times New Roman" w:hAnsi="Times New Roman" w:eastAsia="宋体"/>
                <w:lang w:val="en-US" w:eastAsia="zh-CN"/>
              </w:rPr>
              <w:t>吸水率</w:t>
            </w:r>
          </w:p>
        </w:tc>
        <w:tc>
          <w:tcPr>
            <w:tcW w:w="1451" w:type="pct"/>
            <w:vAlign w:val="center"/>
          </w:tcPr>
          <w:p w14:paraId="6D6DCE77">
            <w:pPr>
              <w:keepNext w:val="0"/>
              <w:keepLines w:val="0"/>
              <w:suppressLineNumbers w:val="0"/>
              <w:spacing w:beforeAutospacing="0" w:after="0" w:afterAutospacing="0"/>
              <w:ind w:right="0"/>
              <w:jc w:val="center"/>
              <w:rPr>
                <w:rFonts w:hint="default"/>
              </w:rPr>
            </w:pPr>
            <w:r>
              <w:rPr>
                <w:rFonts w:hint="eastAsia" w:ascii="宋体" w:hAnsi="宋体" w:eastAsia="宋体" w:cs="Courier New"/>
                <w:color w:val="000000"/>
                <w:kern w:val="2"/>
                <w:sz w:val="21"/>
                <w:szCs w:val="21"/>
                <w:lang w:val="en-US" w:eastAsia="zh-CN" w:bidi="ar"/>
              </w:rPr>
              <w:t>GB/T 21144-2023</w:t>
            </w:r>
          </w:p>
        </w:tc>
        <w:tc>
          <w:tcPr>
            <w:tcW w:w="1372" w:type="pct"/>
            <w:vAlign w:val="center"/>
          </w:tcPr>
          <w:p w14:paraId="2896969B">
            <w:pPr>
              <w:keepNext w:val="0"/>
              <w:keepLines w:val="0"/>
              <w:suppressLineNumbers w:val="0"/>
              <w:spacing w:beforeAutospacing="0" w:after="0" w:afterAutospacing="0"/>
              <w:ind w:right="0"/>
              <w:jc w:val="center"/>
              <w:rPr>
                <w:rFonts w:hint="eastAsia" w:ascii="宋体" w:hAnsi="宋体" w:eastAsia="宋体" w:cs="Courier New"/>
                <w:color w:val="000000"/>
                <w:kern w:val="2"/>
                <w:sz w:val="21"/>
                <w:szCs w:val="21"/>
                <w:lang w:val="en-US" w:eastAsia="zh-CN" w:bidi="ar"/>
              </w:rPr>
            </w:pPr>
            <w:r>
              <w:rPr>
                <w:rFonts w:hint="eastAsia" w:ascii="宋体" w:hAnsi="宋体" w:eastAsia="宋体" w:cs="Courier New"/>
                <w:color w:val="000000"/>
                <w:kern w:val="2"/>
                <w:sz w:val="21"/>
                <w:szCs w:val="21"/>
                <w:lang w:val="en-US" w:eastAsia="zh-CN" w:bidi="ar"/>
              </w:rPr>
              <w:t>GB/T 4111-2013</w:t>
            </w:r>
          </w:p>
        </w:tc>
      </w:tr>
      <w:tr w14:paraId="325C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430EFC4B">
            <w:pPr>
              <w:keepNext w:val="0"/>
              <w:keepLines w:val="0"/>
              <w:suppressLineNumbers w:val="0"/>
              <w:autoSpaceDE w:val="0"/>
              <w:snapToGrid w:val="0"/>
              <w:spacing w:beforeAutospacing="0" w:after="0" w:afterAutospacing="0"/>
              <w:ind w:right="0"/>
              <w:jc w:val="center"/>
              <w:rPr>
                <w:rFonts w:hint="default" w:eastAsia="仿宋"/>
              </w:rPr>
            </w:pPr>
            <w:r>
              <w:rPr>
                <w:rFonts w:hint="default"/>
              </w:rPr>
              <w:t>4</w:t>
            </w:r>
          </w:p>
        </w:tc>
        <w:tc>
          <w:tcPr>
            <w:tcW w:w="1687" w:type="pct"/>
            <w:vAlign w:val="center"/>
          </w:tcPr>
          <w:p w14:paraId="30F19E4A">
            <w:pPr>
              <w:keepNext w:val="0"/>
              <w:keepLines w:val="0"/>
              <w:suppressLineNumbers w:val="0"/>
              <w:adjustRightInd w:val="0"/>
              <w:snapToGrid w:val="0"/>
              <w:spacing w:beforeAutospacing="0" w:after="0" w:afterAutospacing="0" w:line="440" w:lineRule="exact"/>
              <w:ind w:right="0" w:firstLine="420" w:firstLineChars="200"/>
              <w:jc w:val="center"/>
              <w:rPr>
                <w:rFonts w:hint="default" w:ascii="Times New Roman" w:hAnsi="Times New Roman" w:eastAsia="宋体"/>
              </w:rPr>
            </w:pPr>
            <w:r>
              <w:rPr>
                <w:rFonts w:hint="eastAsia" w:ascii="Times New Roman" w:hAnsi="Times New Roman" w:eastAsia="宋体"/>
                <w:lang w:val="en-US" w:eastAsia="zh-CN"/>
              </w:rPr>
              <w:t>干燥收缩率</w:t>
            </w:r>
          </w:p>
        </w:tc>
        <w:tc>
          <w:tcPr>
            <w:tcW w:w="1451" w:type="pct"/>
            <w:vAlign w:val="center"/>
          </w:tcPr>
          <w:p w14:paraId="40525CF1">
            <w:pPr>
              <w:keepNext w:val="0"/>
              <w:keepLines w:val="0"/>
              <w:suppressLineNumbers w:val="0"/>
              <w:spacing w:beforeAutospacing="0" w:after="0" w:afterAutospacing="0"/>
              <w:ind w:right="0"/>
              <w:jc w:val="center"/>
              <w:rPr>
                <w:rFonts w:hint="default"/>
              </w:rPr>
            </w:pPr>
            <w:r>
              <w:rPr>
                <w:rFonts w:hint="eastAsia" w:ascii="宋体" w:hAnsi="宋体" w:eastAsia="宋体" w:cs="Courier New"/>
                <w:color w:val="000000"/>
                <w:kern w:val="2"/>
                <w:sz w:val="21"/>
                <w:szCs w:val="21"/>
                <w:lang w:val="en-US" w:eastAsia="zh-CN" w:bidi="ar"/>
              </w:rPr>
              <w:t>GB/T 21144-2023</w:t>
            </w:r>
          </w:p>
        </w:tc>
        <w:tc>
          <w:tcPr>
            <w:tcW w:w="1372" w:type="pct"/>
            <w:vAlign w:val="center"/>
          </w:tcPr>
          <w:p w14:paraId="32C45E25">
            <w:pPr>
              <w:keepNext w:val="0"/>
              <w:keepLines w:val="0"/>
              <w:suppressLineNumbers w:val="0"/>
              <w:spacing w:beforeAutospacing="0" w:after="0" w:afterAutospacing="0"/>
              <w:ind w:right="0"/>
              <w:jc w:val="center"/>
              <w:rPr>
                <w:rFonts w:hint="eastAsia" w:ascii="宋体" w:hAnsi="宋体" w:eastAsia="宋体" w:cs="Courier New"/>
                <w:color w:val="000000"/>
                <w:kern w:val="2"/>
                <w:sz w:val="21"/>
                <w:szCs w:val="21"/>
                <w:lang w:val="en-US" w:eastAsia="zh-CN" w:bidi="ar"/>
              </w:rPr>
            </w:pPr>
            <w:r>
              <w:rPr>
                <w:rFonts w:hint="eastAsia" w:ascii="宋体" w:hAnsi="宋体" w:eastAsia="宋体" w:cs="Courier New"/>
                <w:color w:val="000000"/>
                <w:kern w:val="2"/>
                <w:sz w:val="21"/>
                <w:szCs w:val="21"/>
                <w:lang w:val="en-US" w:eastAsia="zh-CN" w:bidi="ar"/>
              </w:rPr>
              <w:t>GB/T 4111-2013</w:t>
            </w:r>
          </w:p>
        </w:tc>
      </w:tr>
      <w:tr w14:paraId="5D0C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23C2760C">
            <w:pPr>
              <w:keepNext w:val="0"/>
              <w:keepLines w:val="0"/>
              <w:suppressLineNumbers w:val="0"/>
              <w:autoSpaceDE w:val="0"/>
              <w:snapToGrid w:val="0"/>
              <w:spacing w:beforeAutospacing="0" w:after="0" w:afterAutospacing="0"/>
              <w:ind w:right="0"/>
              <w:jc w:val="center"/>
              <w:rPr>
                <w:rFonts w:hint="default" w:eastAsia="仿宋"/>
              </w:rPr>
            </w:pPr>
            <w:r>
              <w:rPr>
                <w:rFonts w:hint="default"/>
              </w:rPr>
              <w:t>5</w:t>
            </w:r>
          </w:p>
        </w:tc>
        <w:tc>
          <w:tcPr>
            <w:tcW w:w="1687" w:type="pct"/>
            <w:vAlign w:val="center"/>
          </w:tcPr>
          <w:p w14:paraId="76375E5B">
            <w:pPr>
              <w:keepNext w:val="0"/>
              <w:keepLines w:val="0"/>
              <w:suppressLineNumbers w:val="0"/>
              <w:adjustRightInd w:val="0"/>
              <w:snapToGrid w:val="0"/>
              <w:spacing w:beforeAutospacing="0" w:after="0" w:afterAutospacing="0" w:line="440" w:lineRule="exact"/>
              <w:ind w:right="0" w:firstLine="420" w:firstLineChars="200"/>
              <w:jc w:val="center"/>
              <w:rPr>
                <w:rFonts w:hint="default" w:ascii="Times New Roman" w:hAnsi="Times New Roman" w:eastAsia="宋体"/>
              </w:rPr>
            </w:pPr>
            <w:r>
              <w:rPr>
                <w:rFonts w:hint="eastAsia" w:ascii="Times New Roman" w:hAnsi="Times New Roman" w:eastAsia="宋体"/>
                <w:lang w:val="en-US" w:eastAsia="zh-CN"/>
              </w:rPr>
              <w:t>相对含水率</w:t>
            </w:r>
          </w:p>
        </w:tc>
        <w:tc>
          <w:tcPr>
            <w:tcW w:w="1451" w:type="pct"/>
            <w:vAlign w:val="center"/>
          </w:tcPr>
          <w:p w14:paraId="452BCB82">
            <w:pPr>
              <w:keepNext w:val="0"/>
              <w:keepLines w:val="0"/>
              <w:suppressLineNumbers w:val="0"/>
              <w:spacing w:beforeAutospacing="0" w:after="0" w:afterAutospacing="0"/>
              <w:ind w:right="0"/>
              <w:jc w:val="center"/>
              <w:rPr>
                <w:rFonts w:hint="default"/>
              </w:rPr>
            </w:pPr>
            <w:r>
              <w:rPr>
                <w:rFonts w:hint="eastAsia" w:ascii="宋体" w:hAnsi="宋体" w:eastAsia="宋体" w:cs="Courier New"/>
                <w:color w:val="000000"/>
                <w:kern w:val="2"/>
                <w:sz w:val="21"/>
                <w:szCs w:val="21"/>
                <w:lang w:val="en-US" w:eastAsia="zh-CN" w:bidi="ar"/>
              </w:rPr>
              <w:t>GB/T 21144-2023</w:t>
            </w:r>
          </w:p>
        </w:tc>
        <w:tc>
          <w:tcPr>
            <w:tcW w:w="1372" w:type="pct"/>
            <w:vAlign w:val="center"/>
          </w:tcPr>
          <w:p w14:paraId="3C2B1D35">
            <w:pPr>
              <w:keepNext w:val="0"/>
              <w:keepLines w:val="0"/>
              <w:suppressLineNumbers w:val="0"/>
              <w:spacing w:beforeAutospacing="0" w:after="0" w:afterAutospacing="0"/>
              <w:ind w:right="0"/>
              <w:jc w:val="center"/>
              <w:rPr>
                <w:rFonts w:hint="eastAsia" w:ascii="宋体" w:hAnsi="宋体" w:eastAsia="宋体" w:cs="Courier New"/>
                <w:color w:val="000000"/>
                <w:kern w:val="2"/>
                <w:sz w:val="21"/>
                <w:szCs w:val="21"/>
                <w:lang w:val="en-US" w:eastAsia="zh-CN" w:bidi="ar"/>
              </w:rPr>
            </w:pPr>
            <w:r>
              <w:rPr>
                <w:rFonts w:hint="eastAsia" w:ascii="宋体" w:hAnsi="宋体" w:eastAsia="宋体" w:cs="Courier New"/>
                <w:color w:val="000000"/>
                <w:kern w:val="2"/>
                <w:sz w:val="21"/>
                <w:szCs w:val="21"/>
                <w:lang w:val="en-US" w:eastAsia="zh-CN" w:bidi="ar"/>
              </w:rPr>
              <w:t>GB/T 4111-2013</w:t>
            </w:r>
          </w:p>
        </w:tc>
      </w:tr>
      <w:tr w14:paraId="08E3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0B1F03F1">
            <w:pPr>
              <w:keepNext w:val="0"/>
              <w:keepLines w:val="0"/>
              <w:suppressLineNumbers w:val="0"/>
              <w:autoSpaceDE w:val="0"/>
              <w:snapToGrid w:val="0"/>
              <w:spacing w:beforeAutospacing="0" w:after="0" w:afterAutospacing="0"/>
              <w:ind w:right="0"/>
              <w:jc w:val="center"/>
              <w:rPr>
                <w:rFonts w:hint="eastAsia" w:eastAsia="宋体"/>
                <w:lang w:val="en-US" w:eastAsia="zh-CN"/>
              </w:rPr>
            </w:pPr>
            <w:r>
              <w:rPr>
                <w:rFonts w:hint="eastAsia"/>
                <w:lang w:val="en-US" w:eastAsia="zh-CN"/>
              </w:rPr>
              <w:t>6</w:t>
            </w:r>
          </w:p>
        </w:tc>
        <w:tc>
          <w:tcPr>
            <w:tcW w:w="1687" w:type="pct"/>
            <w:vAlign w:val="center"/>
          </w:tcPr>
          <w:p w14:paraId="7DC8719B">
            <w:pPr>
              <w:keepNext w:val="0"/>
              <w:keepLines w:val="0"/>
              <w:suppressLineNumbers w:val="0"/>
              <w:adjustRightInd w:val="0"/>
              <w:snapToGrid w:val="0"/>
              <w:spacing w:beforeAutospacing="0" w:after="0" w:afterAutospacing="0" w:line="440" w:lineRule="exact"/>
              <w:ind w:right="0" w:firstLine="420" w:firstLineChars="200"/>
              <w:jc w:val="center"/>
              <w:rPr>
                <w:rFonts w:hint="default" w:ascii="Times New Roman" w:hAnsi="Times New Roman" w:eastAsia="宋体"/>
              </w:rPr>
            </w:pPr>
            <w:r>
              <w:rPr>
                <w:rFonts w:hint="eastAsia" w:ascii="Times New Roman" w:hAnsi="Times New Roman" w:eastAsia="宋体"/>
                <w:lang w:val="en-US" w:eastAsia="zh-CN"/>
              </w:rPr>
              <w:t>软化系数</w:t>
            </w:r>
          </w:p>
        </w:tc>
        <w:tc>
          <w:tcPr>
            <w:tcW w:w="1451" w:type="pct"/>
            <w:vAlign w:val="center"/>
          </w:tcPr>
          <w:p w14:paraId="304FBFE8">
            <w:pPr>
              <w:keepNext w:val="0"/>
              <w:keepLines w:val="0"/>
              <w:suppressLineNumbers w:val="0"/>
              <w:spacing w:beforeAutospacing="0" w:after="0" w:afterAutospacing="0"/>
              <w:ind w:right="0"/>
              <w:jc w:val="center"/>
              <w:rPr>
                <w:rFonts w:hint="default"/>
              </w:rPr>
            </w:pPr>
            <w:r>
              <w:rPr>
                <w:rFonts w:hint="eastAsia" w:ascii="宋体" w:hAnsi="宋体" w:eastAsia="宋体" w:cs="Courier New"/>
                <w:color w:val="000000"/>
                <w:kern w:val="2"/>
                <w:sz w:val="21"/>
                <w:szCs w:val="21"/>
                <w:lang w:val="en-US" w:eastAsia="zh-CN" w:bidi="ar"/>
              </w:rPr>
              <w:t>GB/T 21144-2023</w:t>
            </w:r>
          </w:p>
        </w:tc>
        <w:tc>
          <w:tcPr>
            <w:tcW w:w="1372" w:type="pct"/>
            <w:vAlign w:val="center"/>
          </w:tcPr>
          <w:p w14:paraId="59D80D4E">
            <w:pPr>
              <w:keepNext w:val="0"/>
              <w:keepLines w:val="0"/>
              <w:suppressLineNumbers w:val="0"/>
              <w:spacing w:beforeAutospacing="0" w:after="0" w:afterAutospacing="0"/>
              <w:ind w:right="0"/>
              <w:jc w:val="center"/>
              <w:rPr>
                <w:rFonts w:hint="eastAsia" w:ascii="宋体" w:hAnsi="宋体" w:eastAsia="宋体" w:cs="Courier New"/>
                <w:color w:val="000000"/>
                <w:kern w:val="2"/>
                <w:sz w:val="21"/>
                <w:szCs w:val="21"/>
                <w:lang w:val="en-US" w:eastAsia="zh-CN" w:bidi="ar"/>
              </w:rPr>
            </w:pPr>
            <w:r>
              <w:rPr>
                <w:rFonts w:hint="eastAsia" w:ascii="宋体" w:hAnsi="宋体" w:eastAsia="宋体" w:cs="Courier New"/>
                <w:color w:val="000000"/>
                <w:kern w:val="2"/>
                <w:sz w:val="21"/>
                <w:szCs w:val="21"/>
                <w:lang w:val="en-US" w:eastAsia="zh-CN" w:bidi="ar"/>
              </w:rPr>
              <w:t>GB/T 21144-2023</w:t>
            </w:r>
          </w:p>
          <w:p w14:paraId="79474DFA">
            <w:pPr>
              <w:keepNext w:val="0"/>
              <w:keepLines w:val="0"/>
              <w:suppressLineNumbers w:val="0"/>
              <w:spacing w:beforeAutospacing="0" w:after="0" w:afterAutospacing="0"/>
              <w:ind w:right="0"/>
              <w:jc w:val="center"/>
              <w:rPr>
                <w:rFonts w:hint="eastAsia" w:ascii="宋体" w:hAnsi="宋体" w:eastAsia="宋体" w:cs="Courier New"/>
                <w:color w:val="000000"/>
                <w:kern w:val="2"/>
                <w:sz w:val="21"/>
                <w:szCs w:val="21"/>
                <w:lang w:val="en-US" w:eastAsia="zh-CN" w:bidi="ar"/>
              </w:rPr>
            </w:pPr>
            <w:r>
              <w:rPr>
                <w:rFonts w:hint="eastAsia" w:ascii="宋体" w:hAnsi="宋体" w:eastAsia="宋体" w:cs="Courier New"/>
                <w:color w:val="000000"/>
                <w:kern w:val="2"/>
                <w:sz w:val="21"/>
                <w:szCs w:val="21"/>
                <w:lang w:val="en-US" w:eastAsia="zh-CN" w:bidi="ar"/>
              </w:rPr>
              <w:t>GB/T 4111-2013</w:t>
            </w:r>
          </w:p>
        </w:tc>
      </w:tr>
      <w:tr w14:paraId="2AC1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259B5FF9">
            <w:pPr>
              <w:keepNext w:val="0"/>
              <w:keepLines w:val="0"/>
              <w:suppressLineNumbers w:val="0"/>
              <w:autoSpaceDE w:val="0"/>
              <w:snapToGrid w:val="0"/>
              <w:spacing w:beforeAutospacing="0" w:after="0" w:afterAutospacing="0"/>
              <w:ind w:right="0"/>
              <w:jc w:val="center"/>
              <w:rPr>
                <w:rFonts w:hint="eastAsia" w:eastAsia="宋体"/>
                <w:lang w:val="en-US" w:eastAsia="zh-CN"/>
              </w:rPr>
            </w:pPr>
            <w:r>
              <w:rPr>
                <w:rFonts w:hint="eastAsia"/>
                <w:lang w:val="en-US" w:eastAsia="zh-CN"/>
              </w:rPr>
              <w:t>7</w:t>
            </w:r>
          </w:p>
        </w:tc>
        <w:tc>
          <w:tcPr>
            <w:tcW w:w="1687" w:type="pct"/>
            <w:vAlign w:val="center"/>
          </w:tcPr>
          <w:p w14:paraId="7F55A148">
            <w:pPr>
              <w:keepNext w:val="0"/>
              <w:keepLines w:val="0"/>
              <w:suppressLineNumbers w:val="0"/>
              <w:adjustRightInd w:val="0"/>
              <w:snapToGrid w:val="0"/>
              <w:spacing w:beforeAutospacing="0" w:after="0" w:afterAutospacing="0" w:line="440" w:lineRule="exact"/>
              <w:ind w:right="0" w:firstLine="420" w:firstLineChars="200"/>
              <w:jc w:val="center"/>
              <w:rPr>
                <w:rFonts w:hint="default" w:ascii="Times New Roman" w:hAnsi="Times New Roman" w:eastAsia="宋体"/>
              </w:rPr>
            </w:pPr>
            <w:r>
              <w:rPr>
                <w:rFonts w:hint="eastAsia" w:ascii="Times New Roman" w:hAnsi="Times New Roman" w:eastAsia="宋体"/>
                <w:lang w:val="en-US" w:eastAsia="zh-CN"/>
              </w:rPr>
              <w:t>放射性核素限量</w:t>
            </w:r>
          </w:p>
        </w:tc>
        <w:tc>
          <w:tcPr>
            <w:tcW w:w="1451" w:type="pct"/>
            <w:vAlign w:val="center"/>
          </w:tcPr>
          <w:p w14:paraId="26002302">
            <w:pPr>
              <w:keepNext w:val="0"/>
              <w:keepLines w:val="0"/>
              <w:suppressLineNumbers w:val="0"/>
              <w:spacing w:beforeAutospacing="0" w:after="0" w:afterAutospacing="0"/>
              <w:ind w:right="0"/>
              <w:jc w:val="center"/>
              <w:rPr>
                <w:rFonts w:hint="default"/>
              </w:rPr>
            </w:pPr>
            <w:r>
              <w:rPr>
                <w:rFonts w:hint="eastAsia" w:ascii="宋体" w:hAnsi="宋体" w:eastAsia="宋体" w:cs="Courier New"/>
                <w:color w:val="000000"/>
                <w:kern w:val="2"/>
                <w:sz w:val="21"/>
                <w:szCs w:val="21"/>
                <w:lang w:val="en-US" w:eastAsia="zh-CN" w:bidi="ar"/>
              </w:rPr>
              <w:t>GB/T 21144-2023</w:t>
            </w:r>
          </w:p>
        </w:tc>
        <w:tc>
          <w:tcPr>
            <w:tcW w:w="1372" w:type="pct"/>
            <w:vAlign w:val="center"/>
          </w:tcPr>
          <w:p w14:paraId="74E048FA">
            <w:pPr>
              <w:keepNext w:val="0"/>
              <w:keepLines w:val="0"/>
              <w:suppressLineNumbers w:val="0"/>
              <w:spacing w:beforeAutospacing="0" w:after="0" w:afterAutospacing="0"/>
              <w:ind w:right="0"/>
              <w:jc w:val="center"/>
              <w:rPr>
                <w:rFonts w:hint="eastAsia" w:ascii="宋体" w:hAnsi="宋体" w:eastAsia="宋体" w:cs="Courier New"/>
                <w:color w:val="000000"/>
                <w:kern w:val="2"/>
                <w:sz w:val="21"/>
                <w:szCs w:val="21"/>
                <w:lang w:val="en-US" w:eastAsia="zh-CN" w:bidi="ar"/>
              </w:rPr>
            </w:pPr>
            <w:r>
              <w:rPr>
                <w:rFonts w:hint="eastAsia" w:ascii="宋体" w:hAnsi="宋体" w:eastAsia="宋体" w:cs="Courier New"/>
                <w:color w:val="000000"/>
                <w:kern w:val="2"/>
                <w:sz w:val="21"/>
                <w:szCs w:val="21"/>
                <w:lang w:val="en-US" w:eastAsia="zh-CN" w:bidi="ar"/>
              </w:rPr>
              <w:t>GB 6566-2010</w:t>
            </w:r>
          </w:p>
        </w:tc>
      </w:tr>
    </w:tbl>
    <w:p w14:paraId="111E10D5">
      <w:pPr>
        <w:rPr>
          <w:rFonts w:hint="eastAsia"/>
        </w:rPr>
      </w:pPr>
    </w:p>
    <w:p w14:paraId="7B9E81A6">
      <w:pPr>
        <w:widowControl/>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执行企业标准、团体标准、地方标准的产品，检验项目参照上述内容执行。</w:t>
      </w:r>
    </w:p>
    <w:p w14:paraId="0AE0B92A">
      <w:pPr>
        <w:snapToGrid w:val="0"/>
        <w:spacing w:line="440" w:lineRule="exact"/>
        <w:ind w:firstLine="359" w:firstLineChars="171"/>
        <w:rPr>
          <w:color w:val="000000"/>
        </w:rPr>
      </w:pPr>
      <w:r>
        <w:rPr>
          <w:rFonts w:ascii="Times New Roman" w:hAnsi="Times New Roman"/>
          <w:color w:val="000000"/>
        </w:rPr>
        <w:t>凡是注日期的文件，其随后所有的修改单（不包括勘误的内容）或修订版不适用于本细则。凡是不注日期的文件，其最新版本适用于本细则。</w:t>
      </w:r>
    </w:p>
    <w:p w14:paraId="6A2C3D79">
      <w:pPr>
        <w:snapToGrid w:val="0"/>
        <w:spacing w:line="440" w:lineRule="exact"/>
        <w:ind w:firstLine="359" w:firstLineChars="171"/>
        <w:rPr>
          <w:color w:val="000000"/>
        </w:rPr>
      </w:pPr>
      <w:r>
        <w:rPr>
          <w:rFonts w:hint="eastAsia"/>
          <w:color w:val="000000"/>
        </w:rPr>
        <w:t>复检时所检测的样品为备用样品。</w:t>
      </w:r>
    </w:p>
    <w:p w14:paraId="4DDE208A">
      <w:pPr>
        <w:rPr>
          <w:rFonts w:hint="eastAsia"/>
        </w:rPr>
      </w:pPr>
    </w:p>
    <w:p w14:paraId="66837ED7">
      <w:pPr>
        <w:adjustRightInd w:val="0"/>
        <w:snapToGrid w:val="0"/>
        <w:spacing w:line="440" w:lineRule="exact"/>
        <w:outlineLvl w:val="1"/>
        <w:rPr>
          <w:rFonts w:eastAsia="黑体" w:cs="黑体"/>
        </w:rPr>
      </w:pPr>
      <w:r>
        <w:rPr>
          <w:rFonts w:hint="eastAsia" w:eastAsia="黑体" w:cs="黑体"/>
        </w:rPr>
        <w:t>3 判定规则</w:t>
      </w:r>
    </w:p>
    <w:p w14:paraId="5DA5E954">
      <w:pPr>
        <w:adjustRightInd w:val="0"/>
        <w:snapToGrid w:val="0"/>
        <w:spacing w:line="440" w:lineRule="exact"/>
        <w:jc w:val="left"/>
        <w:rPr>
          <w:rFonts w:ascii="Times New Roman" w:hAnsi="宋体" w:cs="Times New Roman"/>
        </w:rPr>
      </w:pPr>
      <w:r>
        <w:rPr>
          <w:rFonts w:hint="eastAsia" w:ascii="Times New Roman" w:hAnsi="宋体" w:cs="Times New Roman"/>
        </w:rPr>
        <w:t>3.1依据标准</w:t>
      </w:r>
    </w:p>
    <w:p w14:paraId="40F51E0C">
      <w:pPr>
        <w:adjustRightInd w:val="0"/>
        <w:snapToGrid w:val="0"/>
        <w:spacing w:line="360" w:lineRule="auto"/>
        <w:ind w:firstLine="420" w:firstLineChars="200"/>
        <w:rPr>
          <w:rFonts w:ascii="Times New Roman" w:hAnsi="Times New Roman"/>
        </w:rPr>
      </w:pPr>
      <w:r>
        <w:rPr>
          <w:rFonts w:hint="eastAsia" w:ascii="宋体" w:hAnsi="宋体" w:eastAsia="宋体" w:cs="Courier New"/>
          <w:color w:val="000000"/>
          <w:kern w:val="2"/>
          <w:sz w:val="21"/>
          <w:szCs w:val="21"/>
          <w:lang w:val="en-US" w:eastAsia="zh-CN" w:bidi="ar"/>
        </w:rPr>
        <w:t>GB/T 21144-2023</w:t>
      </w:r>
      <w:r>
        <w:rPr>
          <w:rFonts w:hint="eastAsia" w:ascii="宋体" w:hAnsi="宋体" w:eastAsia="宋体" w:cs="Courier New"/>
          <w:kern w:val="2"/>
          <w:sz w:val="21"/>
          <w:szCs w:val="22"/>
          <w:lang w:val="en-US" w:eastAsia="zh-CN" w:bidi="ar"/>
        </w:rPr>
        <w:t xml:space="preserve">  </w:t>
      </w:r>
      <w:r>
        <w:rPr>
          <w:rFonts w:hint="eastAsia" w:ascii="Times New Roman" w:hAnsi="宋体" w:eastAsia="宋体" w:cs="Times New Roman"/>
          <w:color w:val="000000"/>
          <w:kern w:val="2"/>
          <w:sz w:val="21"/>
          <w:szCs w:val="22"/>
          <w:lang w:val="en-US" w:eastAsia="zh-CN" w:bidi="ar"/>
        </w:rPr>
        <w:t>混凝土实心砖</w:t>
      </w:r>
    </w:p>
    <w:p w14:paraId="703B15E5">
      <w:pPr>
        <w:adjustRightInd w:val="0"/>
        <w:snapToGrid w:val="0"/>
        <w:spacing w:line="360" w:lineRule="auto"/>
        <w:ind w:firstLine="420" w:firstLineChars="200"/>
        <w:rPr>
          <w:color w:val="000000"/>
        </w:rPr>
      </w:pPr>
      <w:r>
        <w:rPr>
          <w:rFonts w:ascii="Times New Roman" w:hAnsi="Times New Roman"/>
          <w:color w:val="000000"/>
        </w:rPr>
        <w:t>现行有效的企业标准、团体标准、地方标准及产品明示质量要求</w:t>
      </w:r>
    </w:p>
    <w:p w14:paraId="25C3F1CC">
      <w:pPr>
        <w:adjustRightInd w:val="0"/>
        <w:snapToGrid w:val="0"/>
        <w:spacing w:line="440" w:lineRule="exact"/>
        <w:jc w:val="left"/>
        <w:rPr>
          <w:rFonts w:hAnsi="宋体"/>
        </w:rPr>
      </w:pPr>
      <w:r>
        <w:rPr>
          <w:rFonts w:hint="eastAsia" w:hAnsi="宋体"/>
        </w:rPr>
        <w:t>3.2判定原则</w:t>
      </w:r>
    </w:p>
    <w:p w14:paraId="691FDF78">
      <w:pPr>
        <w:adjustRightInd w:val="0"/>
        <w:snapToGrid w:val="0"/>
        <w:spacing w:line="440" w:lineRule="exact"/>
        <w:ind w:firstLine="420" w:firstLineChars="200"/>
        <w:rPr>
          <w:color w:val="000000"/>
        </w:rPr>
      </w:pPr>
      <w:r>
        <w:rPr>
          <w:rFonts w:hint="eastAsia"/>
          <w:color w:val="000000"/>
        </w:rPr>
        <w:t>若被检产品明示的质量要求高于本细则中检验项目依据的标准要求时，应按被检产品明示的质量要求判定。</w:t>
      </w:r>
    </w:p>
    <w:p w14:paraId="06CCFFEC">
      <w:pPr>
        <w:adjustRightInd w:val="0"/>
        <w:snapToGrid w:val="0"/>
        <w:spacing w:line="440" w:lineRule="exact"/>
        <w:ind w:firstLine="420" w:firstLineChars="200"/>
        <w:rPr>
          <w:color w:val="000000"/>
        </w:rPr>
      </w:pPr>
      <w:r>
        <w:rPr>
          <w:rFonts w:hint="eastAsia"/>
          <w:color w:val="000000"/>
        </w:rPr>
        <w:t>若被检产品明示的质量要求低于本细则中检验项目依据的强制性标准要求时，应按照强制性标准要求判定。</w:t>
      </w:r>
    </w:p>
    <w:p w14:paraId="0182C7D8">
      <w:pPr>
        <w:adjustRightInd w:val="0"/>
        <w:snapToGrid w:val="0"/>
        <w:spacing w:line="440" w:lineRule="exact"/>
        <w:ind w:firstLine="420" w:firstLineChars="200"/>
        <w:rPr>
          <w:color w:val="000000"/>
        </w:rPr>
      </w:pPr>
      <w:r>
        <w:rPr>
          <w:rFonts w:hint="eastAsia"/>
          <w:color w:val="000000"/>
        </w:rPr>
        <w:t>若被检产品明示的质量要求低于或包含本细则中检验项目依据的推荐性标准要求时，应以被检产品明示的质量要求判定。但应在检验报告中注明该项目的实测值以及推荐性标准的标准值。</w:t>
      </w:r>
    </w:p>
    <w:p w14:paraId="11396B69">
      <w:pPr>
        <w:adjustRightInd w:val="0"/>
        <w:snapToGrid w:val="0"/>
        <w:spacing w:line="440" w:lineRule="exact"/>
        <w:ind w:firstLine="420" w:firstLineChars="200"/>
        <w:rPr>
          <w:color w:val="000000"/>
        </w:rPr>
      </w:pPr>
      <w:r>
        <w:rPr>
          <w:rFonts w:hint="eastAsia"/>
          <w:color w:val="000000"/>
        </w:rPr>
        <w:t>若被检产品明示的质量要求缺少本细则中检验项目依据的强制性标准要求时，应按照强制性标准要求判定。</w:t>
      </w:r>
    </w:p>
    <w:p w14:paraId="62DA48A0">
      <w:pPr>
        <w:adjustRightInd w:val="0"/>
        <w:snapToGrid w:val="0"/>
        <w:spacing w:line="440" w:lineRule="exact"/>
        <w:ind w:firstLine="420" w:firstLineChars="200"/>
        <w:rPr>
          <w:color w:val="000000"/>
        </w:rPr>
      </w:pPr>
      <w:r>
        <w:rPr>
          <w:rFonts w:hint="eastAsia"/>
          <w:color w:val="000000"/>
        </w:rPr>
        <w:t>若被检产品明示的质量要求缺少本细则中检验项目依据的推荐性标准要求时，该项目不参与判定。但应在检验报告中注明该项目的实测值以及推荐性标准的标准值。</w:t>
      </w:r>
    </w:p>
    <w:p w14:paraId="6B211147">
      <w:pPr>
        <w:adjustRightInd w:val="0"/>
        <w:snapToGrid w:val="0"/>
        <w:spacing w:line="440" w:lineRule="exact"/>
        <w:ind w:firstLine="420" w:firstLineChars="200"/>
        <w:rPr>
          <w:color w:val="000000"/>
        </w:rPr>
      </w:pPr>
    </w:p>
    <w:p w14:paraId="6EA0CF92">
      <w:pPr>
        <w:adjustRightInd w:val="0"/>
        <w:snapToGrid w:val="0"/>
        <w:spacing w:line="440" w:lineRule="exact"/>
        <w:rPr>
          <w:color w:val="000000"/>
        </w:rPr>
      </w:pPr>
      <w:r>
        <w:rPr>
          <w:rFonts w:hint="eastAsia"/>
          <w:color w:val="000000"/>
        </w:rPr>
        <w:t>3</w:t>
      </w:r>
      <w:r>
        <w:rPr>
          <w:color w:val="000000"/>
        </w:rPr>
        <w:t xml:space="preserve">.3 </w:t>
      </w:r>
      <w:r>
        <w:rPr>
          <w:rFonts w:hint="eastAsia"/>
          <w:color w:val="000000"/>
        </w:rPr>
        <w:t>综合结论判定</w:t>
      </w:r>
    </w:p>
    <w:p w14:paraId="2A47FAC4">
      <w:pPr>
        <w:snapToGrid w:val="0"/>
        <w:spacing w:line="440" w:lineRule="exact"/>
        <w:ind w:firstLine="420" w:firstLineChars="200"/>
        <w:rPr>
          <w:color w:val="000000"/>
        </w:rPr>
      </w:pPr>
      <w:r>
        <w:rPr>
          <w:color w:val="000000"/>
        </w:rPr>
        <w:t>经检验，检验项目中任一项或一项以上不合格，判定被抽查产品为</w:t>
      </w:r>
      <w:r>
        <w:rPr>
          <w:rFonts w:hint="eastAsia"/>
          <w:color w:val="000000"/>
        </w:rPr>
        <w:t>“</w:t>
      </w:r>
      <w:r>
        <w:rPr>
          <w:color w:val="000000"/>
        </w:rPr>
        <w:t>不合格</w:t>
      </w:r>
      <w:r>
        <w:rPr>
          <w:rFonts w:hint="eastAsia"/>
          <w:color w:val="000000"/>
        </w:rPr>
        <w:t>”；</w:t>
      </w:r>
    </w:p>
    <w:p w14:paraId="266C0C3E">
      <w:pPr>
        <w:snapToGrid w:val="0"/>
        <w:spacing w:line="440" w:lineRule="exact"/>
        <w:ind w:firstLine="420" w:firstLineChars="200"/>
        <w:rPr>
          <w:rFonts w:hAnsi="宋体"/>
        </w:rPr>
      </w:pPr>
      <w:r>
        <w:rPr>
          <w:color w:val="000000"/>
        </w:rPr>
        <w:t>检验项目全部</w:t>
      </w:r>
      <w:r>
        <w:rPr>
          <w:rFonts w:hint="eastAsia"/>
          <w:color w:val="000000"/>
        </w:rPr>
        <w:t>符合明示质量要求</w:t>
      </w:r>
      <w:r>
        <w:rPr>
          <w:color w:val="000000"/>
        </w:rPr>
        <w:t>，</w:t>
      </w:r>
      <w:r>
        <w:rPr>
          <w:rFonts w:hint="eastAsia"/>
          <w:color w:val="000000"/>
        </w:rPr>
        <w:t>但不符合本细则检验项目依据的推荐性标准，</w:t>
      </w:r>
      <w:r>
        <w:rPr>
          <w:color w:val="000000"/>
        </w:rPr>
        <w:t>判定被抽查产品</w:t>
      </w:r>
      <w:r>
        <w:rPr>
          <w:rFonts w:hint="eastAsia"/>
          <w:color w:val="000000"/>
        </w:rPr>
        <w:t>“</w:t>
      </w:r>
      <w:r>
        <w:rPr>
          <w:rFonts w:hint="eastAsia" w:hAnsi="宋体"/>
        </w:rPr>
        <w:t>所检项目符合企业标准，未达到国家、行业、地方标准规定”；</w:t>
      </w:r>
    </w:p>
    <w:p w14:paraId="1D6BF5C3">
      <w:pPr>
        <w:snapToGrid w:val="0"/>
        <w:spacing w:line="440" w:lineRule="exact"/>
        <w:ind w:firstLine="420" w:firstLineChars="200"/>
        <w:rPr>
          <w:color w:val="000000"/>
        </w:rPr>
      </w:pPr>
      <w:r>
        <w:rPr>
          <w:color w:val="000000"/>
        </w:rPr>
        <w:t>检验项目全部</w:t>
      </w:r>
      <w:r>
        <w:rPr>
          <w:rFonts w:hint="eastAsia"/>
          <w:color w:val="000000"/>
        </w:rPr>
        <w:t>符合明示质量要求</w:t>
      </w:r>
      <w:r>
        <w:rPr>
          <w:color w:val="000000"/>
        </w:rPr>
        <w:t>，</w:t>
      </w:r>
      <w:r>
        <w:rPr>
          <w:rFonts w:hint="eastAsia"/>
          <w:color w:val="000000"/>
        </w:rPr>
        <w:t>且符合本细则检验项目依据的推荐性标准，</w:t>
      </w:r>
      <w:r>
        <w:rPr>
          <w:rFonts w:hint="eastAsia" w:hAnsi="宋体"/>
        </w:rPr>
        <w:t>判定被抽查产品为</w:t>
      </w:r>
      <w:r>
        <w:rPr>
          <w:rFonts w:hint="eastAsia"/>
          <w:color w:val="000000"/>
        </w:rPr>
        <w:t>“所检项目符合本次监督抽查要求”。</w:t>
      </w:r>
    </w:p>
    <w:p w14:paraId="51C00E0F">
      <w:pPr>
        <w:adjustRightInd w:val="0"/>
        <w:snapToGrid w:val="0"/>
        <w:spacing w:line="440" w:lineRule="exact"/>
        <w:rPr>
          <w:rFonts w:hAnsi="宋体"/>
        </w:rPr>
      </w:pPr>
    </w:p>
    <w:p w14:paraId="2204657E"/>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C3C845-282A-4593-9F57-D9676639CA59}"/>
  </w:font>
  <w:font w:name="Courier New">
    <w:panose1 w:val="02070309020205020404"/>
    <w:charset w:val="01"/>
    <w:family w:val="modern"/>
    <w:pitch w:val="default"/>
    <w:sig w:usb0="E0002EFF" w:usb1="C0007843" w:usb2="00000009" w:usb3="00000000" w:csb0="400001FF" w:csb1="FFFF0000"/>
    <w:embedRegular r:id="rId2" w:fontKey="{9EFDB9EC-140C-4A4C-B52B-E7AC02A1671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0010101010101"/>
    <w:charset w:val="86"/>
    <w:family w:val="script"/>
    <w:pitch w:val="default"/>
    <w:sig w:usb0="00000001" w:usb1="080E0000" w:usb2="00000000" w:usb3="00000000" w:csb0="00040000" w:csb1="00000000"/>
    <w:embedRegular r:id="rId3" w:fontKey="{1A1E90D1-D812-4579-845F-B5C82329EBE8}"/>
  </w:font>
  <w:font w:name="方正仿宋简体">
    <w:altName w:val="微软雅黑"/>
    <w:panose1 w:val="00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4" w:fontKey="{B20E2265-6E46-44AF-BAD4-EE14F8CE8AC7}"/>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D0E09"/>
    <w:multiLevelType w:val="multilevel"/>
    <w:tmpl w:val="20CD0E09"/>
    <w:lvl w:ilvl="0" w:tentative="0">
      <w:start w:val="1"/>
      <w:numFmt w:val="decimal"/>
      <w:pStyle w:val="61"/>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14B6843"/>
    <w:multiLevelType w:val="multilevel"/>
    <w:tmpl w:val="214B6843"/>
    <w:lvl w:ilvl="0" w:tentative="0">
      <w:start w:val="1"/>
      <w:numFmt w:val="decimal"/>
      <w:pStyle w:val="2"/>
      <w:lvlText w:val="%1"/>
      <w:lvlJc w:val="left"/>
      <w:pPr>
        <w:ind w:left="578" w:hanging="578"/>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2">
    <w:nsid w:val="70D15105"/>
    <w:multiLevelType w:val="multilevel"/>
    <w:tmpl w:val="70D15105"/>
    <w:lvl w:ilvl="0" w:tentative="0">
      <w:start w:val="1"/>
      <w:numFmt w:val="bullet"/>
      <w:pStyle w:val="5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0"/>
  <w:displayVerticalDrawingGridEvery w:val="2"/>
  <w:characterSpacingControl w:val="doNotCompress"/>
  <w:footnotePr>
    <w:footnote w:id="0"/>
    <w:footnote w:id="1"/>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FE"/>
    <w:rsid w:val="0001524D"/>
    <w:rsid w:val="0003311D"/>
    <w:rsid w:val="00051572"/>
    <w:rsid w:val="000551F0"/>
    <w:rsid w:val="000723E1"/>
    <w:rsid w:val="000732FD"/>
    <w:rsid w:val="000A394A"/>
    <w:rsid w:val="000A7B13"/>
    <w:rsid w:val="000B032A"/>
    <w:rsid w:val="000B0FED"/>
    <w:rsid w:val="000B50AA"/>
    <w:rsid w:val="000B5B1E"/>
    <w:rsid w:val="000B5F22"/>
    <w:rsid w:val="000C45DC"/>
    <w:rsid w:val="000E5BAF"/>
    <w:rsid w:val="000F7F91"/>
    <w:rsid w:val="001000FA"/>
    <w:rsid w:val="001130C7"/>
    <w:rsid w:val="001163C2"/>
    <w:rsid w:val="00124F98"/>
    <w:rsid w:val="00155265"/>
    <w:rsid w:val="00164EAB"/>
    <w:rsid w:val="0017011F"/>
    <w:rsid w:val="00175800"/>
    <w:rsid w:val="001B03D9"/>
    <w:rsid w:val="001B189F"/>
    <w:rsid w:val="001B6633"/>
    <w:rsid w:val="001B702B"/>
    <w:rsid w:val="001C685E"/>
    <w:rsid w:val="001D0B06"/>
    <w:rsid w:val="001D49ED"/>
    <w:rsid w:val="001E3D3B"/>
    <w:rsid w:val="00205687"/>
    <w:rsid w:val="00206087"/>
    <w:rsid w:val="00216EC5"/>
    <w:rsid w:val="00221558"/>
    <w:rsid w:val="00223E52"/>
    <w:rsid w:val="00226ED0"/>
    <w:rsid w:val="00233BF0"/>
    <w:rsid w:val="00237DAE"/>
    <w:rsid w:val="00241F99"/>
    <w:rsid w:val="00242237"/>
    <w:rsid w:val="00256A14"/>
    <w:rsid w:val="00274058"/>
    <w:rsid w:val="002874F5"/>
    <w:rsid w:val="00291BE2"/>
    <w:rsid w:val="002C2F8E"/>
    <w:rsid w:val="002D1FDC"/>
    <w:rsid w:val="002D6D5B"/>
    <w:rsid w:val="002E0A86"/>
    <w:rsid w:val="00303C88"/>
    <w:rsid w:val="00307AF3"/>
    <w:rsid w:val="003108BB"/>
    <w:rsid w:val="0032700C"/>
    <w:rsid w:val="0033744B"/>
    <w:rsid w:val="00347880"/>
    <w:rsid w:val="00356A35"/>
    <w:rsid w:val="00382DD3"/>
    <w:rsid w:val="003870CE"/>
    <w:rsid w:val="00390DBD"/>
    <w:rsid w:val="00396417"/>
    <w:rsid w:val="003C6824"/>
    <w:rsid w:val="003D383C"/>
    <w:rsid w:val="003E236B"/>
    <w:rsid w:val="003E4636"/>
    <w:rsid w:val="003F1603"/>
    <w:rsid w:val="003F5070"/>
    <w:rsid w:val="004107E1"/>
    <w:rsid w:val="004131DE"/>
    <w:rsid w:val="00420C93"/>
    <w:rsid w:val="00437072"/>
    <w:rsid w:val="00437399"/>
    <w:rsid w:val="004449B6"/>
    <w:rsid w:val="00491008"/>
    <w:rsid w:val="004A7626"/>
    <w:rsid w:val="004C40AF"/>
    <w:rsid w:val="004D4292"/>
    <w:rsid w:val="004F14A2"/>
    <w:rsid w:val="004F3FE1"/>
    <w:rsid w:val="00500259"/>
    <w:rsid w:val="00520378"/>
    <w:rsid w:val="00523446"/>
    <w:rsid w:val="00544B19"/>
    <w:rsid w:val="005666AB"/>
    <w:rsid w:val="00567FE1"/>
    <w:rsid w:val="00574980"/>
    <w:rsid w:val="0059162E"/>
    <w:rsid w:val="005958A2"/>
    <w:rsid w:val="005958FB"/>
    <w:rsid w:val="005A0FF8"/>
    <w:rsid w:val="005A60A7"/>
    <w:rsid w:val="005B0BB7"/>
    <w:rsid w:val="005C105C"/>
    <w:rsid w:val="005C5B5D"/>
    <w:rsid w:val="005C6756"/>
    <w:rsid w:val="005D50D1"/>
    <w:rsid w:val="005D5706"/>
    <w:rsid w:val="005F067D"/>
    <w:rsid w:val="005F0704"/>
    <w:rsid w:val="00607EA5"/>
    <w:rsid w:val="006319E2"/>
    <w:rsid w:val="00671B99"/>
    <w:rsid w:val="00675BF6"/>
    <w:rsid w:val="00677767"/>
    <w:rsid w:val="006B382B"/>
    <w:rsid w:val="006B5D43"/>
    <w:rsid w:val="006E20EC"/>
    <w:rsid w:val="006F08C7"/>
    <w:rsid w:val="006F0E5A"/>
    <w:rsid w:val="00700C3D"/>
    <w:rsid w:val="0070711A"/>
    <w:rsid w:val="00722DC1"/>
    <w:rsid w:val="00727447"/>
    <w:rsid w:val="00742BA6"/>
    <w:rsid w:val="00753525"/>
    <w:rsid w:val="007608F3"/>
    <w:rsid w:val="00761864"/>
    <w:rsid w:val="0077504F"/>
    <w:rsid w:val="00781BFD"/>
    <w:rsid w:val="00784215"/>
    <w:rsid w:val="00796B72"/>
    <w:rsid w:val="007A2EB1"/>
    <w:rsid w:val="007A5782"/>
    <w:rsid w:val="007B3297"/>
    <w:rsid w:val="007B6F35"/>
    <w:rsid w:val="007D4FB0"/>
    <w:rsid w:val="007D5879"/>
    <w:rsid w:val="007D5C5A"/>
    <w:rsid w:val="007E35A4"/>
    <w:rsid w:val="0080429B"/>
    <w:rsid w:val="0081368A"/>
    <w:rsid w:val="00820DE8"/>
    <w:rsid w:val="0082528E"/>
    <w:rsid w:val="00826401"/>
    <w:rsid w:val="00837F04"/>
    <w:rsid w:val="00863123"/>
    <w:rsid w:val="008722C9"/>
    <w:rsid w:val="008822D1"/>
    <w:rsid w:val="00883640"/>
    <w:rsid w:val="00893EB6"/>
    <w:rsid w:val="008A154B"/>
    <w:rsid w:val="008A4C9E"/>
    <w:rsid w:val="008D0EB8"/>
    <w:rsid w:val="008D1150"/>
    <w:rsid w:val="008E7EF6"/>
    <w:rsid w:val="008F009A"/>
    <w:rsid w:val="009054FC"/>
    <w:rsid w:val="00906082"/>
    <w:rsid w:val="009157DF"/>
    <w:rsid w:val="00917681"/>
    <w:rsid w:val="00934D61"/>
    <w:rsid w:val="00944878"/>
    <w:rsid w:val="00947615"/>
    <w:rsid w:val="009772B3"/>
    <w:rsid w:val="00981971"/>
    <w:rsid w:val="00986573"/>
    <w:rsid w:val="00987E28"/>
    <w:rsid w:val="009A6D8E"/>
    <w:rsid w:val="009A75A5"/>
    <w:rsid w:val="009B2ACF"/>
    <w:rsid w:val="009B4E71"/>
    <w:rsid w:val="009C49B5"/>
    <w:rsid w:val="009C6EDF"/>
    <w:rsid w:val="009D2393"/>
    <w:rsid w:val="009D3951"/>
    <w:rsid w:val="009E5DC0"/>
    <w:rsid w:val="009E6DE7"/>
    <w:rsid w:val="009F386F"/>
    <w:rsid w:val="00A154BE"/>
    <w:rsid w:val="00A16267"/>
    <w:rsid w:val="00A203B4"/>
    <w:rsid w:val="00A252D0"/>
    <w:rsid w:val="00A25AE2"/>
    <w:rsid w:val="00A402D9"/>
    <w:rsid w:val="00A43B7D"/>
    <w:rsid w:val="00A56416"/>
    <w:rsid w:val="00AB684D"/>
    <w:rsid w:val="00AD64C9"/>
    <w:rsid w:val="00AE5B9A"/>
    <w:rsid w:val="00AE71BA"/>
    <w:rsid w:val="00B05D00"/>
    <w:rsid w:val="00B13235"/>
    <w:rsid w:val="00B201E3"/>
    <w:rsid w:val="00B208C7"/>
    <w:rsid w:val="00B36452"/>
    <w:rsid w:val="00B403C5"/>
    <w:rsid w:val="00B40C4D"/>
    <w:rsid w:val="00B468B7"/>
    <w:rsid w:val="00B4696C"/>
    <w:rsid w:val="00B60A2C"/>
    <w:rsid w:val="00B81FD7"/>
    <w:rsid w:val="00B865E8"/>
    <w:rsid w:val="00B903C3"/>
    <w:rsid w:val="00BB5FC9"/>
    <w:rsid w:val="00BE21A1"/>
    <w:rsid w:val="00BF49E4"/>
    <w:rsid w:val="00C03978"/>
    <w:rsid w:val="00C101E4"/>
    <w:rsid w:val="00C174A5"/>
    <w:rsid w:val="00C17C10"/>
    <w:rsid w:val="00C26065"/>
    <w:rsid w:val="00C53174"/>
    <w:rsid w:val="00C54A56"/>
    <w:rsid w:val="00C57D61"/>
    <w:rsid w:val="00C72CF6"/>
    <w:rsid w:val="00C774F1"/>
    <w:rsid w:val="00C8150C"/>
    <w:rsid w:val="00C91D6E"/>
    <w:rsid w:val="00CB67F2"/>
    <w:rsid w:val="00CD1ED8"/>
    <w:rsid w:val="00CE4A84"/>
    <w:rsid w:val="00CE72B0"/>
    <w:rsid w:val="00CF0145"/>
    <w:rsid w:val="00CF0D56"/>
    <w:rsid w:val="00CF457F"/>
    <w:rsid w:val="00D018F3"/>
    <w:rsid w:val="00D14A10"/>
    <w:rsid w:val="00D2744C"/>
    <w:rsid w:val="00D46E54"/>
    <w:rsid w:val="00D572EA"/>
    <w:rsid w:val="00D81DCA"/>
    <w:rsid w:val="00D87D88"/>
    <w:rsid w:val="00DA7C89"/>
    <w:rsid w:val="00DB343A"/>
    <w:rsid w:val="00DC553D"/>
    <w:rsid w:val="00DE1F2C"/>
    <w:rsid w:val="00DF4307"/>
    <w:rsid w:val="00E00C8B"/>
    <w:rsid w:val="00E14A99"/>
    <w:rsid w:val="00E225A4"/>
    <w:rsid w:val="00E269F5"/>
    <w:rsid w:val="00E31893"/>
    <w:rsid w:val="00E46A0C"/>
    <w:rsid w:val="00E65166"/>
    <w:rsid w:val="00E778FE"/>
    <w:rsid w:val="00E77D4B"/>
    <w:rsid w:val="00E82E31"/>
    <w:rsid w:val="00EA5B9F"/>
    <w:rsid w:val="00EA6E03"/>
    <w:rsid w:val="00EB7065"/>
    <w:rsid w:val="00ED0730"/>
    <w:rsid w:val="00ED3B66"/>
    <w:rsid w:val="00ED5C3A"/>
    <w:rsid w:val="00ED6AAB"/>
    <w:rsid w:val="00EE35CB"/>
    <w:rsid w:val="00F04B2F"/>
    <w:rsid w:val="00F14FF5"/>
    <w:rsid w:val="00F30A01"/>
    <w:rsid w:val="00F57112"/>
    <w:rsid w:val="00F73806"/>
    <w:rsid w:val="00F75313"/>
    <w:rsid w:val="00F75EA8"/>
    <w:rsid w:val="00F93CA7"/>
    <w:rsid w:val="00FA32C1"/>
    <w:rsid w:val="00FA5983"/>
    <w:rsid w:val="00FA5B27"/>
    <w:rsid w:val="00FC2961"/>
    <w:rsid w:val="00FC71F7"/>
    <w:rsid w:val="251D5129"/>
    <w:rsid w:val="396B6472"/>
    <w:rsid w:val="5E165E7B"/>
    <w:rsid w:val="65A550CF"/>
    <w:rsid w:val="6A9634A3"/>
  </w:rsids>
  <m:mathPr>
    <m:mathFont m:val="Cambria Math"/>
    <m:brkBin m:val="before"/>
    <m:brkBinSub m:val="--"/>
    <m:smallFrac m:val="0"/>
    <m:dispDef/>
    <m:lMargin m:val="0"/>
    <m:rMargin m:val="0"/>
    <m:defJc m:val="centerGroup"/>
    <m:wrapIndent m:val="1440"/>
    <m:intLim m:val="subSup"/>
    <m:naryLim m:val="undOvr"/>
  </m:mathPr>
  <w:doNotAutoCompressPictures/>
  <w:themeFontLang w:val="fr-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name="macro"/>
    <w:lsdException w:uiPriority="0" w:name="toa heading"/>
    <w:lsdException w:uiPriority="99" w:name="List"/>
    <w:lsdException w:unhideWhenUsed="0" w:uiPriority="0" w:semiHidden="0" w:name="List Bullet"/>
    <w:lsdException w:unhideWhenUsed="0" w:uiPriority="0" w:semiHidden="0" w:name="List Number"/>
    <w:lsdException w:uiPriority="99" w:name="List 2"/>
    <w:lsdException w:uiPriority="99" w:name="List 3"/>
    <w:lsdException w:uiPriority="99" w:name="List 4"/>
    <w:lsdException w:uiPriority="99"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qFormat="1" w:unhideWhenUsed="0" w:uiPriority="0" w:semiHidden="0" w:name="Table Classic 3"/>
    <w:lsdException w:uiPriority="0" w:name="Table Classic 4"/>
    <w:lsdException w:qFormat="1" w:unhideWhenUsed="0" w:uiPriority="0" w:semiHidden="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qFormat="1" w:unhideWhenUsed="0" w:uiPriority="0" w:semiHidden="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ind w:left="0" w:firstLine="0"/>
      <w:jc w:val="both"/>
    </w:pPr>
    <w:rPr>
      <w:rFonts w:ascii="Calibri" w:hAnsi="Calibri" w:eastAsia="宋体" w:cs="Calibri"/>
      <w:kern w:val="2"/>
      <w:sz w:val="21"/>
      <w:szCs w:val="21"/>
      <w:lang w:val="en-US" w:eastAsia="zh-CN" w:bidi="ar-SA"/>
    </w:rPr>
  </w:style>
  <w:style w:type="paragraph" w:styleId="2">
    <w:name w:val="heading 1"/>
    <w:basedOn w:val="1"/>
    <w:next w:val="1"/>
    <w:link w:val="33"/>
    <w:qFormat/>
    <w:uiPriority w:val="9"/>
    <w:pPr>
      <w:keepNext/>
      <w:numPr>
        <w:ilvl w:val="0"/>
        <w:numId w:val="1"/>
      </w:numPr>
      <w:spacing w:before="360" w:after="120"/>
      <w:outlineLvl w:val="0"/>
    </w:pPr>
    <w:rPr>
      <w:rFonts w:cs="Arial" w:eastAsiaTheme="minorHAnsi"/>
      <w:b/>
      <w:caps/>
      <w:color w:val="FF6600"/>
      <w:spacing w:val="20"/>
    </w:rPr>
  </w:style>
  <w:style w:type="paragraph" w:styleId="3">
    <w:name w:val="heading 2"/>
    <w:basedOn w:val="1"/>
    <w:next w:val="1"/>
    <w:link w:val="34"/>
    <w:qFormat/>
    <w:uiPriority w:val="9"/>
    <w:pPr>
      <w:numPr>
        <w:ilvl w:val="1"/>
        <w:numId w:val="1"/>
      </w:numPr>
      <w:pBdr>
        <w:bottom w:val="single" w:color="FF6600" w:sz="4" w:space="1"/>
      </w:pBdr>
      <w:spacing w:before="240"/>
      <w:outlineLvl w:val="1"/>
    </w:pPr>
    <w:rPr>
      <w:rFonts w:cs="Arial" w:eastAsiaTheme="minorHAnsi"/>
      <w:b/>
      <w:iCs/>
      <w:smallCaps/>
      <w:color w:val="363636"/>
      <w:spacing w:val="15"/>
      <w:kern w:val="32"/>
      <w:sz w:val="22"/>
    </w:rPr>
  </w:style>
  <w:style w:type="paragraph" w:styleId="4">
    <w:name w:val="heading 3"/>
    <w:basedOn w:val="1"/>
    <w:next w:val="1"/>
    <w:link w:val="35"/>
    <w:qFormat/>
    <w:uiPriority w:val="9"/>
    <w:pPr>
      <w:keepNext/>
      <w:numPr>
        <w:ilvl w:val="2"/>
        <w:numId w:val="1"/>
      </w:numPr>
      <w:spacing w:before="240" w:after="60"/>
      <w:outlineLvl w:val="2"/>
    </w:pPr>
    <w:rPr>
      <w:rFonts w:cs="Arial"/>
      <w:b/>
      <w:bCs/>
      <w:smallCaps/>
      <w:color w:val="FF6600"/>
    </w:rPr>
  </w:style>
  <w:style w:type="paragraph" w:styleId="5">
    <w:name w:val="heading 4"/>
    <w:basedOn w:val="1"/>
    <w:next w:val="1"/>
    <w:link w:val="36"/>
    <w:qFormat/>
    <w:uiPriority w:val="9"/>
    <w:pPr>
      <w:keepNext/>
      <w:numPr>
        <w:ilvl w:val="3"/>
        <w:numId w:val="1"/>
      </w:numPr>
      <w:outlineLvl w:val="3"/>
    </w:pPr>
    <w:rPr>
      <w:rFonts w:eastAsiaTheme="majorEastAsia" w:cstheme="majorBidi"/>
      <w:bCs/>
      <w:sz w:val="18"/>
      <w:szCs w:val="28"/>
      <w:lang w:eastAsia="en-US" w:bidi="en-US"/>
    </w:rPr>
  </w:style>
  <w:style w:type="paragraph" w:styleId="6">
    <w:name w:val="heading 5"/>
    <w:basedOn w:val="1"/>
    <w:next w:val="1"/>
    <w:link w:val="37"/>
    <w:qFormat/>
    <w:uiPriority w:val="9"/>
    <w:pPr>
      <w:keepNext/>
      <w:keepLines/>
      <w:numPr>
        <w:ilvl w:val="4"/>
        <w:numId w:val="1"/>
      </w:numPr>
      <w:outlineLvl w:val="4"/>
    </w:pPr>
    <w:rPr>
      <w:sz w:val="18"/>
      <w:szCs w:val="22"/>
    </w:rPr>
  </w:style>
  <w:style w:type="paragraph" w:styleId="7">
    <w:name w:val="heading 6"/>
    <w:basedOn w:val="1"/>
    <w:next w:val="1"/>
    <w:link w:val="38"/>
    <w:qFormat/>
    <w:uiPriority w:val="9"/>
    <w:pPr>
      <w:numPr>
        <w:ilvl w:val="5"/>
        <w:numId w:val="1"/>
      </w:numPr>
      <w:spacing w:before="240" w:after="60"/>
      <w:outlineLvl w:val="5"/>
    </w:pPr>
    <w:rPr>
      <w:bCs/>
      <w:sz w:val="18"/>
    </w:rPr>
  </w:style>
  <w:style w:type="paragraph" w:styleId="8">
    <w:name w:val="heading 7"/>
    <w:basedOn w:val="1"/>
    <w:next w:val="1"/>
    <w:link w:val="39"/>
    <w:qFormat/>
    <w:uiPriority w:val="9"/>
    <w:pPr>
      <w:numPr>
        <w:ilvl w:val="6"/>
        <w:numId w:val="1"/>
      </w:numPr>
      <w:spacing w:before="240" w:after="60"/>
      <w:outlineLvl w:val="6"/>
    </w:pPr>
    <w:rPr>
      <w:sz w:val="18"/>
    </w:rPr>
  </w:style>
  <w:style w:type="paragraph" w:styleId="9">
    <w:name w:val="heading 8"/>
    <w:basedOn w:val="1"/>
    <w:next w:val="1"/>
    <w:link w:val="40"/>
    <w:qFormat/>
    <w:uiPriority w:val="9"/>
    <w:pPr>
      <w:numPr>
        <w:ilvl w:val="7"/>
        <w:numId w:val="1"/>
      </w:numPr>
      <w:spacing w:before="240" w:after="60"/>
      <w:outlineLvl w:val="7"/>
    </w:pPr>
    <w:rPr>
      <w:iCs/>
      <w:sz w:val="18"/>
    </w:rPr>
  </w:style>
  <w:style w:type="paragraph" w:styleId="10">
    <w:name w:val="heading 9"/>
    <w:basedOn w:val="1"/>
    <w:next w:val="1"/>
    <w:link w:val="41"/>
    <w:qFormat/>
    <w:uiPriority w:val="9"/>
    <w:pPr>
      <w:numPr>
        <w:ilvl w:val="8"/>
        <w:numId w:val="1"/>
      </w:numPr>
      <w:spacing w:before="240" w:after="60"/>
      <w:outlineLvl w:val="8"/>
    </w:pPr>
    <w:rPr>
      <w:sz w:val="18"/>
    </w:rPr>
  </w:style>
  <w:style w:type="character" w:default="1" w:styleId="27">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annotation text"/>
    <w:basedOn w:val="1"/>
    <w:link w:val="70"/>
    <w:unhideWhenUsed/>
    <w:qFormat/>
    <w:uiPriority w:val="0"/>
    <w:pPr>
      <w:jc w:val="left"/>
    </w:pPr>
  </w:style>
  <w:style w:type="paragraph" w:styleId="12">
    <w:name w:val="toc 3"/>
    <w:basedOn w:val="1"/>
    <w:next w:val="1"/>
    <w:autoRedefine/>
    <w:qFormat/>
    <w:uiPriority w:val="39"/>
    <w:pPr>
      <w:keepNext/>
      <w:keepLines/>
      <w:tabs>
        <w:tab w:val="left" w:pos="1418"/>
        <w:tab w:val="right" w:leader="dot" w:pos="9072"/>
      </w:tabs>
      <w:ind w:left="1418" w:hanging="567"/>
    </w:pPr>
    <w:rPr>
      <w:rFonts w:eastAsiaTheme="majorEastAsia" w:cstheme="majorBidi"/>
      <w:sz w:val="18"/>
      <w:szCs w:val="22"/>
      <w:lang w:eastAsia="en-US" w:bidi="en-US"/>
    </w:rPr>
  </w:style>
  <w:style w:type="paragraph" w:styleId="13">
    <w:name w:val="Balloon Text"/>
    <w:basedOn w:val="1"/>
    <w:link w:val="68"/>
    <w:semiHidden/>
    <w:qFormat/>
    <w:uiPriority w:val="0"/>
    <w:rPr>
      <w:rFonts w:cs="Tahoma"/>
      <w:sz w:val="16"/>
      <w:szCs w:val="16"/>
    </w:rPr>
  </w:style>
  <w:style w:type="paragraph" w:styleId="14">
    <w:name w:val="footer"/>
    <w:basedOn w:val="1"/>
    <w:link w:val="42"/>
    <w:qFormat/>
    <w:uiPriority w:val="99"/>
    <w:pPr>
      <w:tabs>
        <w:tab w:val="center" w:pos="4513"/>
        <w:tab w:val="right" w:pos="9026"/>
      </w:tabs>
    </w:pPr>
    <w:rPr>
      <w:rFonts w:eastAsiaTheme="majorEastAsia" w:cstheme="majorBidi"/>
      <w:sz w:val="16"/>
      <w:szCs w:val="20"/>
      <w:lang w:eastAsia="en-US" w:bidi="en-US"/>
    </w:rPr>
  </w:style>
  <w:style w:type="paragraph" w:styleId="15">
    <w:name w:val="header"/>
    <w:basedOn w:val="1"/>
    <w:link w:val="66"/>
    <w:autoRedefine/>
    <w:qFormat/>
    <w:uiPriority w:val="99"/>
    <w:pPr>
      <w:tabs>
        <w:tab w:val="center" w:pos="4536"/>
        <w:tab w:val="right" w:pos="9072"/>
      </w:tabs>
    </w:pPr>
  </w:style>
  <w:style w:type="paragraph" w:styleId="16">
    <w:name w:val="toc 1"/>
    <w:basedOn w:val="1"/>
    <w:next w:val="1"/>
    <w:autoRedefine/>
    <w:qFormat/>
    <w:uiPriority w:val="39"/>
    <w:pPr>
      <w:keepNext/>
      <w:keepLines/>
      <w:pBdr>
        <w:left w:val="single" w:color="FF6600" w:sz="48" w:space="4"/>
      </w:pBdr>
      <w:shd w:val="clear" w:color="auto" w:fill="363636"/>
      <w:tabs>
        <w:tab w:val="left" w:pos="426"/>
        <w:tab w:val="right" w:leader="dot" w:pos="9072"/>
      </w:tabs>
    </w:pPr>
    <w:rPr>
      <w:rFonts w:eastAsiaTheme="majorEastAsia" w:cstheme="majorBidi"/>
      <w:b/>
      <w:caps/>
      <w:color w:val="FFFFFF" w:themeColor="background1"/>
      <w:sz w:val="18"/>
      <w:szCs w:val="20"/>
      <w:lang w:eastAsia="en-US" w:bidi="en-US"/>
      <w14:textFill>
        <w14:solidFill>
          <w14:schemeClr w14:val="bg1"/>
        </w14:solidFill>
      </w14:textFill>
    </w:rPr>
  </w:style>
  <w:style w:type="paragraph" w:styleId="17">
    <w:name w:val="Subtitle"/>
    <w:basedOn w:val="1"/>
    <w:next w:val="1"/>
    <w:link w:val="44"/>
    <w:qFormat/>
    <w:uiPriority w:val="11"/>
    <w:pPr>
      <w:spacing w:after="60"/>
      <w:jc w:val="center"/>
      <w:outlineLvl w:val="1"/>
    </w:pPr>
    <w:rPr>
      <w:rFonts w:eastAsiaTheme="majorEastAsia" w:cstheme="majorBidi"/>
      <w:szCs w:val="20"/>
      <w:lang w:eastAsia="en-US" w:bidi="en-US"/>
    </w:rPr>
  </w:style>
  <w:style w:type="paragraph" w:styleId="18">
    <w:name w:val="toc 2"/>
    <w:basedOn w:val="1"/>
    <w:next w:val="1"/>
    <w:autoRedefine/>
    <w:qFormat/>
    <w:uiPriority w:val="39"/>
    <w:pPr>
      <w:keepNext/>
      <w:keepLines/>
      <w:tabs>
        <w:tab w:val="left" w:pos="880"/>
        <w:tab w:val="right" w:leader="dot" w:pos="9072"/>
      </w:tabs>
    </w:pPr>
    <w:rPr>
      <w:rFonts w:eastAsiaTheme="majorEastAsia" w:cstheme="majorBidi"/>
      <w:smallCaps/>
      <w:sz w:val="18"/>
      <w:szCs w:val="18"/>
      <w:lang w:eastAsia="en-US" w:bidi="en-US"/>
    </w:rPr>
  </w:style>
  <w:style w:type="paragraph" w:styleId="19">
    <w:name w:val="Title"/>
    <w:basedOn w:val="1"/>
    <w:next w:val="1"/>
    <w:link w:val="43"/>
    <w:qFormat/>
    <w:uiPriority w:val="10"/>
    <w:pPr>
      <w:spacing w:before="240" w:after="60"/>
      <w:jc w:val="center"/>
      <w:outlineLvl w:val="0"/>
    </w:pPr>
    <w:rPr>
      <w:rFonts w:eastAsiaTheme="majorEastAsia" w:cstheme="majorBidi"/>
      <w:b/>
      <w:bCs/>
      <w:kern w:val="28"/>
      <w:szCs w:val="32"/>
      <w:u w:val="single"/>
      <w:lang w:eastAsia="en-US" w:bidi="en-US"/>
    </w:rPr>
  </w:style>
  <w:style w:type="paragraph" w:styleId="20">
    <w:name w:val="annotation subject"/>
    <w:basedOn w:val="11"/>
    <w:next w:val="11"/>
    <w:link w:val="71"/>
    <w:semiHidden/>
    <w:unhideWhenUsed/>
    <w:qFormat/>
    <w:uiPriority w:val="0"/>
    <w:rPr>
      <w:b/>
      <w:bCs/>
    </w:rPr>
  </w:style>
  <w:style w:type="table" w:styleId="22">
    <w:name w:val="Table Grid"/>
    <w:basedOn w:val="21"/>
    <w:qFormat/>
    <w:uiPriority w:val="0"/>
    <w:pPr>
      <w:spacing w:before="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pPr>
        <w:jc w:val="left"/>
      </w:pPr>
      <w:rPr>
        <w:color w:val="FF6600"/>
      </w:rPr>
      <w:tcPr>
        <w:tcBorders>
          <w:bottom w:val="single" w:color="363636" w:sz="12" w:space="0"/>
        </w:tcBorders>
      </w:tcPr>
    </w:tblStylePr>
  </w:style>
  <w:style w:type="table" w:styleId="23">
    <w:name w:val="Table Colorful 1"/>
    <w:basedOn w:val="21"/>
    <w:qFormat/>
    <w:uiPriority w:val="0"/>
    <w:pPr>
      <w:ind w:left="0" w:firstLine="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Pr/>
    </w:tblStylePr>
  </w:style>
  <w:style w:type="table" w:styleId="24">
    <w:name w:val="Table Classic 2"/>
    <w:basedOn w:val="21"/>
    <w:qFormat/>
    <w:uiPriority w:val="0"/>
    <w:pPr>
      <w:ind w:left="0" w:firstLine="0"/>
    </w:pPr>
    <w:tblPr>
      <w:tblBorders>
        <w:top w:val="single" w:color="000000" w:sz="12" w:space="0"/>
        <w:bottom w:val="single" w:color="000000" w:sz="12" w:space="0"/>
      </w:tblBorders>
    </w:tblPr>
    <w:tcPr>
      <w:shd w:val="clear" w:color="auto" w:fill="auto"/>
    </w:tcPr>
    <w:tblStylePr w:type="firstRow">
      <w:rPr>
        <w:color w:val="FFFFFF"/>
      </w:rPr>
      <w:tblPr/>
      <w:tcPr>
        <w:shd w:val="clear" w:color="auto" w:fill="FF6600"/>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shd w:val="clear" w:color="auto" w:fill="363636"/>
      </w:tcPr>
    </w:tblStylePr>
    <w:tblStylePr w:type="swCell">
      <w:rPr>
        <w:color w:val="auto"/>
      </w:rPr>
      <w:tblPr/>
      <w:tcPr>
        <w:tcBorders>
          <w:tl2br w:val="nil"/>
          <w:tr2bl w:val="nil"/>
        </w:tcBorders>
      </w:tcPr>
    </w:tblStylePr>
  </w:style>
  <w:style w:type="table" w:styleId="25">
    <w:name w:val="Table Classic 3"/>
    <w:basedOn w:val="21"/>
    <w:qFormat/>
    <w:uiPriority w:val="0"/>
    <w:pPr>
      <w:ind w:left="0" w:firstLine="0"/>
    </w:pPr>
    <w:rPr>
      <w:color w:val="000080"/>
    </w:rPr>
    <w:tblPr>
      <w:tblBorders>
        <w:top w:val="single" w:color="000000" w:sz="12" w:space="0"/>
        <w:left w:val="single" w:color="000000" w:sz="12" w:space="0"/>
        <w:bottom w:val="single" w:color="000000" w:sz="12" w:space="0"/>
        <w:right w:val="single" w:color="000000" w:sz="12" w:space="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6">
    <w:name w:val="Table List 8"/>
    <w:basedOn w:val="21"/>
    <w:qFormat/>
    <w:uiPriority w:val="0"/>
    <w:pPr>
      <w:ind w:left="0" w:firstLine="0"/>
    </w:pPr>
    <w:tblPr>
      <w:tblBorders>
        <w:top w:val="single" w:color="000000" w:sz="6" w:space="0"/>
        <w:left w:val="single" w:color="000000" w:sz="6" w:space="0"/>
        <w:bottom w:val="single" w:color="000000" w:sz="6" w:space="0"/>
        <w:right w:val="single" w:color="000000" w:sz="6" w:space="0"/>
        <w:insideV w:val="single" w:color="000000" w:sz="6" w:space="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shd w:val="clear" w:color="auto" w:fill="BCBCBC"/>
      </w:tcPr>
    </w:tblStylePr>
    <w:tblStylePr w:type="band2Horz">
      <w:tblPr/>
      <w:tcPr>
        <w:shd w:val="clear" w:color="auto" w:fill="363636"/>
      </w:tcPr>
    </w:tblStylePr>
    <w:tblStylePr w:type="nwCell">
      <w:tblPr/>
      <w:tcPr>
        <w:tcBorders>
          <w:tl2br w:val="single" w:color="auto" w:sz="6" w:space="0"/>
          <w:tr2bl w:val="nil"/>
        </w:tcBorders>
      </w:tcPr>
    </w:tblStylePr>
  </w:style>
  <w:style w:type="character" w:styleId="28">
    <w:name w:val="Strong"/>
    <w:basedOn w:val="27"/>
    <w:qFormat/>
    <w:uiPriority w:val="22"/>
    <w:rPr>
      <w:b/>
      <w:bCs/>
    </w:rPr>
  </w:style>
  <w:style w:type="character" w:styleId="29">
    <w:name w:val="FollowedHyperlink"/>
    <w:basedOn w:val="27"/>
    <w:qFormat/>
    <w:uiPriority w:val="99"/>
    <w:rPr>
      <w:rFonts w:ascii="Arial" w:hAnsi="Arial"/>
      <w:i/>
      <w:color w:val="363636"/>
      <w:sz w:val="20"/>
      <w:u w:val="single"/>
    </w:rPr>
  </w:style>
  <w:style w:type="character" w:styleId="30">
    <w:name w:val="Emphasis"/>
    <w:basedOn w:val="27"/>
    <w:qFormat/>
    <w:uiPriority w:val="20"/>
    <w:rPr>
      <w:rFonts w:asciiTheme="minorHAnsi" w:hAnsiTheme="minorHAnsi"/>
      <w:b/>
      <w:i/>
      <w:iCs/>
    </w:rPr>
  </w:style>
  <w:style w:type="character" w:styleId="31">
    <w:name w:val="Hyperlink"/>
    <w:basedOn w:val="27"/>
    <w:qFormat/>
    <w:uiPriority w:val="99"/>
    <w:rPr>
      <w:rFonts w:ascii="Arial" w:hAnsi="Arial"/>
      <w:color w:val="FF6600"/>
      <w:sz w:val="20"/>
      <w:u w:val="single"/>
    </w:rPr>
  </w:style>
  <w:style w:type="character" w:styleId="32">
    <w:name w:val="annotation reference"/>
    <w:basedOn w:val="27"/>
    <w:semiHidden/>
    <w:unhideWhenUsed/>
    <w:qFormat/>
    <w:uiPriority w:val="0"/>
    <w:rPr>
      <w:sz w:val="21"/>
      <w:szCs w:val="21"/>
    </w:rPr>
  </w:style>
  <w:style w:type="character" w:customStyle="1" w:styleId="33">
    <w:name w:val="标题 1 字符"/>
    <w:basedOn w:val="27"/>
    <w:link w:val="2"/>
    <w:qFormat/>
    <w:uiPriority w:val="9"/>
    <w:rPr>
      <w:rFonts w:cs="Arial" w:eastAsiaTheme="minorHAnsi"/>
      <w:b/>
      <w:caps/>
      <w:color w:val="FF6600"/>
      <w:spacing w:val="20"/>
      <w:szCs w:val="24"/>
      <w:lang w:eastAsia="fr-FR"/>
    </w:rPr>
  </w:style>
  <w:style w:type="character" w:customStyle="1" w:styleId="34">
    <w:name w:val="标题 2 字符"/>
    <w:basedOn w:val="27"/>
    <w:link w:val="3"/>
    <w:qFormat/>
    <w:uiPriority w:val="9"/>
    <w:rPr>
      <w:rFonts w:cs="Arial" w:eastAsiaTheme="minorHAnsi"/>
      <w:b/>
      <w:iCs/>
      <w:smallCaps/>
      <w:color w:val="363636"/>
      <w:spacing w:val="15"/>
      <w:kern w:val="32"/>
      <w:sz w:val="22"/>
      <w:szCs w:val="24"/>
      <w:lang w:eastAsia="fr-FR"/>
    </w:rPr>
  </w:style>
  <w:style w:type="character" w:customStyle="1" w:styleId="35">
    <w:name w:val="标题 3 字符"/>
    <w:basedOn w:val="27"/>
    <w:link w:val="4"/>
    <w:qFormat/>
    <w:uiPriority w:val="9"/>
    <w:rPr>
      <w:rFonts w:cs="Arial"/>
      <w:b/>
      <w:bCs/>
      <w:smallCaps/>
      <w:color w:val="FF6600"/>
      <w:szCs w:val="24"/>
      <w:lang w:eastAsia="fr-FR"/>
    </w:rPr>
  </w:style>
  <w:style w:type="character" w:customStyle="1" w:styleId="36">
    <w:name w:val="标题 4 字符"/>
    <w:basedOn w:val="27"/>
    <w:link w:val="5"/>
    <w:qFormat/>
    <w:uiPriority w:val="9"/>
    <w:rPr>
      <w:rFonts w:eastAsiaTheme="majorEastAsia"/>
      <w:bCs/>
      <w:sz w:val="18"/>
      <w:szCs w:val="28"/>
      <w:lang w:bidi="en-US"/>
    </w:rPr>
  </w:style>
  <w:style w:type="character" w:customStyle="1" w:styleId="37">
    <w:name w:val="标题 5 字符"/>
    <w:basedOn w:val="27"/>
    <w:link w:val="6"/>
    <w:qFormat/>
    <w:uiPriority w:val="9"/>
    <w:rPr>
      <w:rFonts w:cs="Times New Roman"/>
      <w:sz w:val="18"/>
      <w:szCs w:val="22"/>
      <w:lang w:eastAsia="fr-FR"/>
    </w:rPr>
  </w:style>
  <w:style w:type="character" w:customStyle="1" w:styleId="38">
    <w:name w:val="标题 6 字符"/>
    <w:basedOn w:val="27"/>
    <w:link w:val="7"/>
    <w:qFormat/>
    <w:uiPriority w:val="9"/>
    <w:rPr>
      <w:rFonts w:cs="Times New Roman"/>
      <w:bCs/>
      <w:sz w:val="18"/>
      <w:szCs w:val="24"/>
      <w:lang w:eastAsia="fr-FR"/>
    </w:rPr>
  </w:style>
  <w:style w:type="character" w:customStyle="1" w:styleId="39">
    <w:name w:val="标题 7 字符"/>
    <w:basedOn w:val="27"/>
    <w:link w:val="8"/>
    <w:qFormat/>
    <w:uiPriority w:val="9"/>
    <w:rPr>
      <w:rFonts w:cs="Times New Roman"/>
      <w:sz w:val="18"/>
      <w:szCs w:val="24"/>
      <w:lang w:eastAsia="fr-FR"/>
    </w:rPr>
  </w:style>
  <w:style w:type="character" w:customStyle="1" w:styleId="40">
    <w:name w:val="标题 8 字符"/>
    <w:basedOn w:val="27"/>
    <w:link w:val="9"/>
    <w:qFormat/>
    <w:uiPriority w:val="9"/>
    <w:rPr>
      <w:rFonts w:cs="Times New Roman"/>
      <w:iCs/>
      <w:sz w:val="18"/>
      <w:szCs w:val="24"/>
      <w:lang w:eastAsia="fr-FR"/>
    </w:rPr>
  </w:style>
  <w:style w:type="character" w:customStyle="1" w:styleId="41">
    <w:name w:val="标题 9 字符"/>
    <w:basedOn w:val="27"/>
    <w:link w:val="10"/>
    <w:qFormat/>
    <w:uiPriority w:val="9"/>
    <w:rPr>
      <w:rFonts w:cs="Times New Roman"/>
      <w:sz w:val="18"/>
      <w:szCs w:val="24"/>
      <w:lang w:eastAsia="fr-FR"/>
    </w:rPr>
  </w:style>
  <w:style w:type="character" w:customStyle="1" w:styleId="42">
    <w:name w:val="页脚 字符"/>
    <w:basedOn w:val="27"/>
    <w:link w:val="14"/>
    <w:qFormat/>
    <w:uiPriority w:val="99"/>
    <w:rPr>
      <w:rFonts w:eastAsiaTheme="majorEastAsia"/>
      <w:sz w:val="16"/>
      <w:lang w:bidi="en-US"/>
    </w:rPr>
  </w:style>
  <w:style w:type="character" w:customStyle="1" w:styleId="43">
    <w:name w:val="标题 字符"/>
    <w:basedOn w:val="27"/>
    <w:link w:val="19"/>
    <w:qFormat/>
    <w:uiPriority w:val="10"/>
    <w:rPr>
      <w:rFonts w:eastAsiaTheme="majorEastAsia"/>
      <w:b/>
      <w:bCs/>
      <w:kern w:val="28"/>
      <w:szCs w:val="32"/>
      <w:u w:val="single"/>
      <w:lang w:bidi="en-US"/>
    </w:rPr>
  </w:style>
  <w:style w:type="character" w:customStyle="1" w:styleId="44">
    <w:name w:val="副标题 字符"/>
    <w:basedOn w:val="27"/>
    <w:link w:val="17"/>
    <w:qFormat/>
    <w:uiPriority w:val="11"/>
    <w:rPr>
      <w:rFonts w:eastAsiaTheme="majorEastAsia"/>
      <w:lang w:bidi="en-US"/>
    </w:rPr>
  </w:style>
  <w:style w:type="paragraph" w:styleId="45">
    <w:name w:val="No Spacing"/>
    <w:basedOn w:val="1"/>
    <w:link w:val="46"/>
    <w:qFormat/>
    <w:uiPriority w:val="1"/>
    <w:rPr>
      <w:rFonts w:eastAsiaTheme="majorEastAsia" w:cstheme="majorBidi"/>
      <w:szCs w:val="32"/>
      <w:lang w:eastAsia="en-US" w:bidi="en-US"/>
    </w:rPr>
  </w:style>
  <w:style w:type="character" w:customStyle="1" w:styleId="46">
    <w:name w:val="无间隔 字符"/>
    <w:basedOn w:val="27"/>
    <w:link w:val="45"/>
    <w:qFormat/>
    <w:uiPriority w:val="1"/>
    <w:rPr>
      <w:rFonts w:eastAsiaTheme="majorEastAsia"/>
      <w:szCs w:val="32"/>
      <w:lang w:bidi="en-US"/>
    </w:rPr>
  </w:style>
  <w:style w:type="paragraph" w:styleId="47">
    <w:name w:val="List Paragraph"/>
    <w:basedOn w:val="1"/>
    <w:qFormat/>
    <w:uiPriority w:val="34"/>
    <w:pPr>
      <w:ind w:left="720"/>
      <w:contextualSpacing/>
    </w:pPr>
  </w:style>
  <w:style w:type="paragraph" w:styleId="48">
    <w:name w:val="Quote"/>
    <w:basedOn w:val="1"/>
    <w:next w:val="1"/>
    <w:link w:val="49"/>
    <w:qFormat/>
    <w:uiPriority w:val="29"/>
    <w:rPr>
      <w:rFonts w:eastAsiaTheme="majorEastAsia" w:cstheme="majorBidi"/>
      <w:i/>
      <w:szCs w:val="20"/>
      <w:lang w:eastAsia="en-US" w:bidi="en-US"/>
    </w:rPr>
  </w:style>
  <w:style w:type="character" w:customStyle="1" w:styleId="49">
    <w:name w:val="引用 字符"/>
    <w:basedOn w:val="27"/>
    <w:link w:val="48"/>
    <w:qFormat/>
    <w:uiPriority w:val="29"/>
    <w:rPr>
      <w:rFonts w:eastAsiaTheme="majorEastAsia"/>
      <w:i/>
      <w:lang w:bidi="en-US"/>
    </w:rPr>
  </w:style>
  <w:style w:type="paragraph" w:styleId="50">
    <w:name w:val="Intense Quote"/>
    <w:basedOn w:val="1"/>
    <w:next w:val="1"/>
    <w:link w:val="51"/>
    <w:qFormat/>
    <w:uiPriority w:val="30"/>
    <w:pPr>
      <w:ind w:left="720" w:right="720"/>
    </w:pPr>
    <w:rPr>
      <w:rFonts w:eastAsiaTheme="majorEastAsia" w:cstheme="majorBidi"/>
      <w:b/>
      <w:i/>
      <w:szCs w:val="20"/>
      <w:lang w:eastAsia="en-US" w:bidi="en-US"/>
    </w:rPr>
  </w:style>
  <w:style w:type="character" w:customStyle="1" w:styleId="51">
    <w:name w:val="明显引用 字符"/>
    <w:basedOn w:val="27"/>
    <w:link w:val="50"/>
    <w:qFormat/>
    <w:uiPriority w:val="30"/>
    <w:rPr>
      <w:rFonts w:eastAsiaTheme="majorEastAsia"/>
      <w:b/>
      <w:i/>
      <w:lang w:bidi="en-US"/>
    </w:rPr>
  </w:style>
  <w:style w:type="character" w:customStyle="1" w:styleId="52">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53">
    <w:name w:val="Intense Emphasis"/>
    <w:basedOn w:val="27"/>
    <w:qFormat/>
    <w:uiPriority w:val="21"/>
    <w:rPr>
      <w:b/>
      <w:i/>
      <w:sz w:val="24"/>
      <w:szCs w:val="24"/>
      <w:u w:val="single"/>
    </w:rPr>
  </w:style>
  <w:style w:type="character" w:customStyle="1" w:styleId="54">
    <w:name w:val="Subtle Reference"/>
    <w:basedOn w:val="27"/>
    <w:qFormat/>
    <w:uiPriority w:val="31"/>
    <w:rPr>
      <w:sz w:val="24"/>
      <w:szCs w:val="24"/>
      <w:u w:val="single"/>
    </w:rPr>
  </w:style>
  <w:style w:type="character" w:customStyle="1" w:styleId="55">
    <w:name w:val="Intense Reference"/>
    <w:basedOn w:val="27"/>
    <w:qFormat/>
    <w:uiPriority w:val="32"/>
    <w:rPr>
      <w:b/>
      <w:sz w:val="24"/>
      <w:u w:val="single"/>
    </w:rPr>
  </w:style>
  <w:style w:type="character" w:customStyle="1" w:styleId="56">
    <w:name w:val="Book Title"/>
    <w:basedOn w:val="27"/>
    <w:qFormat/>
    <w:uiPriority w:val="33"/>
    <w:rPr>
      <w:rFonts w:asciiTheme="majorHAnsi" w:hAnsiTheme="majorHAnsi" w:eastAsiaTheme="majorEastAsia"/>
      <w:b/>
      <w:i/>
      <w:sz w:val="24"/>
      <w:szCs w:val="24"/>
    </w:rPr>
  </w:style>
  <w:style w:type="paragraph" w:customStyle="1" w:styleId="57">
    <w:name w:val="TOC Heading"/>
    <w:basedOn w:val="2"/>
    <w:next w:val="1"/>
    <w:qFormat/>
    <w:uiPriority w:val="39"/>
    <w:pPr>
      <w:numPr>
        <w:numId w:val="0"/>
      </w:numPr>
      <w:outlineLvl w:val="9"/>
    </w:pPr>
  </w:style>
  <w:style w:type="paragraph" w:customStyle="1" w:styleId="58">
    <w:name w:val="List 1"/>
    <w:basedOn w:val="1"/>
    <w:link w:val="59"/>
    <w:qFormat/>
    <w:uiPriority w:val="99"/>
    <w:pPr>
      <w:numPr>
        <w:ilvl w:val="0"/>
        <w:numId w:val="2"/>
      </w:numPr>
      <w:spacing w:before="60"/>
    </w:pPr>
    <w:rPr>
      <w:rFonts w:eastAsiaTheme="majorEastAsia" w:cstheme="majorBidi"/>
      <w:szCs w:val="20"/>
      <w:lang w:eastAsia="en-US" w:bidi="en-US"/>
    </w:rPr>
  </w:style>
  <w:style w:type="character" w:customStyle="1" w:styleId="59">
    <w:name w:val="List 1 Char"/>
    <w:basedOn w:val="27"/>
    <w:link w:val="58"/>
    <w:uiPriority w:val="99"/>
    <w:rPr>
      <w:rFonts w:eastAsiaTheme="majorEastAsia"/>
      <w:lang w:bidi="en-US"/>
    </w:rPr>
  </w:style>
  <w:style w:type="paragraph" w:customStyle="1" w:styleId="60">
    <w:name w:val="Highlight"/>
    <w:basedOn w:val="1"/>
    <w:qFormat/>
    <w:uiPriority w:val="99"/>
    <w:rPr>
      <w:color w:val="BF0000" w:themeColor="accent6" w:themeShade="BF"/>
    </w:rPr>
  </w:style>
  <w:style w:type="paragraph" w:customStyle="1" w:styleId="61">
    <w:name w:val="Numbered 1"/>
    <w:basedOn w:val="1"/>
    <w:qFormat/>
    <w:uiPriority w:val="0"/>
    <w:pPr>
      <w:numPr>
        <w:ilvl w:val="0"/>
        <w:numId w:val="3"/>
      </w:numPr>
      <w:spacing w:before="60"/>
    </w:pPr>
  </w:style>
  <w:style w:type="paragraph" w:customStyle="1" w:styleId="62">
    <w:name w:val="List2"/>
    <w:basedOn w:val="58"/>
    <w:qFormat/>
    <w:uiPriority w:val="99"/>
    <w:pPr>
      <w:numPr>
        <w:numId w:val="0"/>
      </w:numPr>
      <w:spacing w:before="0"/>
    </w:pPr>
    <w:rPr>
      <w:szCs w:val="24"/>
      <w:lang w:val="fr-FR" w:eastAsia="fr-FR" w:bidi="ar-SA"/>
    </w:rPr>
  </w:style>
  <w:style w:type="paragraph" w:customStyle="1" w:styleId="63">
    <w:name w:val="Style Heading 5 + First line:  0 cm"/>
    <w:basedOn w:val="6"/>
    <w:qFormat/>
    <w:uiPriority w:val="0"/>
    <w:pPr>
      <w:numPr>
        <w:ilvl w:val="0"/>
        <w:numId w:val="0"/>
      </w:numPr>
    </w:pPr>
    <w:rPr>
      <w:color w:val="363636"/>
      <w:szCs w:val="24"/>
      <w:u w:val="single"/>
    </w:rPr>
  </w:style>
  <w:style w:type="paragraph" w:customStyle="1" w:styleId="64">
    <w:name w:val="Glossary"/>
    <w:basedOn w:val="1"/>
    <w:link w:val="65"/>
    <w:qFormat/>
    <w:uiPriority w:val="99"/>
    <w:pPr>
      <w:spacing w:before="40"/>
    </w:pPr>
    <w:rPr>
      <w:rFonts w:cstheme="majorBidi"/>
      <w:sz w:val="16"/>
      <w:szCs w:val="16"/>
      <w:lang w:eastAsia="en-GB"/>
    </w:rPr>
  </w:style>
  <w:style w:type="character" w:customStyle="1" w:styleId="65">
    <w:name w:val="Glossary Char"/>
    <w:basedOn w:val="27"/>
    <w:link w:val="64"/>
    <w:qFormat/>
    <w:uiPriority w:val="99"/>
    <w:rPr>
      <w:sz w:val="16"/>
      <w:szCs w:val="16"/>
      <w:lang w:eastAsia="en-GB"/>
    </w:rPr>
  </w:style>
  <w:style w:type="character" w:customStyle="1" w:styleId="66">
    <w:name w:val="页眉 字符"/>
    <w:basedOn w:val="27"/>
    <w:link w:val="15"/>
    <w:qFormat/>
    <w:uiPriority w:val="99"/>
    <w:rPr>
      <w:rFonts w:cs="Times New Roman"/>
      <w:szCs w:val="24"/>
      <w:lang w:eastAsia="fr-FR"/>
    </w:rPr>
  </w:style>
  <w:style w:type="table" w:customStyle="1" w:styleId="67">
    <w:name w:val="SGS Table Basic 2"/>
    <w:basedOn w:val="21"/>
    <w:qFormat/>
    <w:uiPriority w:val="99"/>
    <w:pPr>
      <w:spacing w:before="0"/>
    </w:pPr>
    <w:tcPr>
      <w:shd w:val="clear" w:color="auto" w:fill="BCBCBC"/>
    </w:tcPr>
    <w:tblStylePr w:type="firstRow">
      <w:pPr>
        <w:jc w:val="left"/>
      </w:pPr>
      <w:tcPr>
        <w:shd w:val="clear" w:color="auto" w:fill="363636"/>
        <w:vAlign w:val="center"/>
      </w:tcPr>
    </w:tblStylePr>
  </w:style>
  <w:style w:type="character" w:customStyle="1" w:styleId="68">
    <w:name w:val="批注框文本 字符"/>
    <w:basedOn w:val="27"/>
    <w:link w:val="13"/>
    <w:semiHidden/>
    <w:qFormat/>
    <w:uiPriority w:val="0"/>
    <w:rPr>
      <w:rFonts w:cs="Tahoma"/>
      <w:sz w:val="16"/>
      <w:szCs w:val="16"/>
      <w:lang w:val="fr-FR" w:eastAsia="fr-FR"/>
    </w:rPr>
  </w:style>
  <w:style w:type="character" w:customStyle="1" w:styleId="69">
    <w:name w:val="NormalCharacter"/>
    <w:semiHidden/>
    <w:qFormat/>
    <w:uiPriority w:val="0"/>
  </w:style>
  <w:style w:type="character" w:customStyle="1" w:styleId="70">
    <w:name w:val="批注文字 字符"/>
    <w:basedOn w:val="27"/>
    <w:link w:val="11"/>
    <w:qFormat/>
    <w:uiPriority w:val="0"/>
    <w:rPr>
      <w:rFonts w:ascii="Calibri" w:hAnsi="Calibri" w:eastAsia="宋体" w:cs="Calibri"/>
      <w:kern w:val="2"/>
      <w:sz w:val="21"/>
      <w:szCs w:val="21"/>
    </w:rPr>
  </w:style>
  <w:style w:type="character" w:customStyle="1" w:styleId="71">
    <w:name w:val="批注主题 字符"/>
    <w:basedOn w:val="70"/>
    <w:link w:val="20"/>
    <w:semiHidden/>
    <w:qFormat/>
    <w:uiPriority w:val="0"/>
    <w:rPr>
      <w:rFonts w:ascii="Calibri" w:hAnsi="Calibri" w:eastAsia="宋体" w:cs="Calibri"/>
      <w:b/>
      <w:bCs/>
      <w:kern w:val="2"/>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customXml" Target="../customXml/item1.xml"/>
  <Relationship Id="rId7"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spPr>
      <a:bodyPr vert="horz" wrap="square" lIns="91440" tIns="45720" rIns="91440" bIns="45720" numCol="1" anchor="t" anchorCtr="0" compatLnSpc="1"/>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spPr>
      <a:bodyPr vert="horz" wrap="square" lIns="91440" tIns="45720" rIns="91440" bIns="45720" numCol="1" anchor="t" anchorCtr="0" compatLnSpc="1"/>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6351D-6625-494E-A289-7C9492517BBD}">
  <ds:schemaRefs/>
</ds:datastoreItem>
</file>

<file path=docProps/app.xml><?xml version="1.0" encoding="utf-8"?>
<Properties xmlns="http://schemas.openxmlformats.org/officeDocument/2006/extended-properties" xmlns:vt="http://schemas.openxmlformats.org/officeDocument/2006/docPropsVTypes">
  <Template>Normal</Template>
  <Pages>2</Pages>
  <Words>871</Words>
  <Characters>1103</Characters>
  <Lines>1</Lines>
  <Paragraphs>2</Paragraphs>
  <TotalTime>2</TotalTime>
  <ScaleCrop>false</ScaleCrop>
  <LinksUpToDate>false</LinksUpToDate>
  <CharactersWithSpaces>1128</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2023-08-01T00:42:00Z</dcterms:created>
  <dc:creator>Zhao, Rose (Shanghai)</dc:creator>
  <lastModifiedBy>菠萝啵啵</lastModifiedBy>
  <dcterms:modified xsi:type="dcterms:W3CDTF">2025-06-13T04:46:20Z</dcterms:modified>
  <revision>68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eyJoZGlkIjoiZTA3MzBmZTNmMDA4YWMzZjgzMTgxM2YwMjc1NjdjN2IiLCJ1c2VySWQiOiI4MzkzMDQ5MzYifQ==</vt:lpwstr>
  </property>
  <property fmtid="{D5CDD505-2E9C-101B-9397-08002B2CF9AE}" pid="3" name="KSOProductBuildVer">
    <vt:lpwstr>2052-12.1.0.21541</vt:lpwstr>
  </property>
  <property fmtid="{D5CDD505-2E9C-101B-9397-08002B2CF9AE}" pid="4" name="ICV">
    <vt:lpwstr>2E8575348EB94DDBB29CD553A42A2687_13</vt:lpwstr>
  </property>
</Properties>
</file>