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AB458">
      <w:pPr>
        <w:adjustRightInd w:val="0"/>
        <w:snapToGrid w:val="0"/>
        <w:spacing w:line="440" w:lineRule="exact"/>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2025年德清县电动自行车产品质量监督抽查实施细则</w:t>
      </w:r>
    </w:p>
    <w:p w14:paraId="18B885F9">
      <w:pPr>
        <w:adjustRightInd w:val="0"/>
        <w:snapToGrid w:val="0"/>
        <w:spacing w:line="440" w:lineRule="exact"/>
        <w:rPr>
          <w:rFonts w:ascii="宋体" w:hAnsi="宋体" w:cs="宋体"/>
          <w:sz w:val="24"/>
          <w:szCs w:val="24"/>
        </w:rPr>
      </w:pPr>
    </w:p>
    <w:p w14:paraId="6E0DE165">
      <w:pPr>
        <w:adjustRightInd w:val="0"/>
        <w:snapToGrid w:val="0"/>
        <w:spacing w:line="440" w:lineRule="exact"/>
        <w:rPr>
          <w:rFonts w:ascii="Times New Roman" w:hAnsi="Times New Roman" w:eastAsia="黑体" w:cs="Times New Roman"/>
        </w:rPr>
      </w:pPr>
      <w:r>
        <w:rPr>
          <w:rFonts w:ascii="Times New Roman" w:hAnsi="Times New Roman" w:eastAsia="黑体" w:cs="Times New Roman"/>
        </w:rPr>
        <w:t>1 抽样方法</w:t>
      </w:r>
    </w:p>
    <w:p w14:paraId="29467983">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以随机抽样的方式在被抽样生产者、销售者的待销产品中抽取。</w:t>
      </w:r>
    </w:p>
    <w:p w14:paraId="311FF8EE">
      <w:pPr>
        <w:adjustRightInd w:val="0"/>
        <w:snapToGrid w:val="0"/>
        <w:spacing w:line="440" w:lineRule="exact"/>
        <w:ind w:firstLine="420" w:firstLineChars="200"/>
        <w:rPr>
          <w:rFonts w:ascii="Times New Roman" w:hAnsi="Times New Roman" w:eastAsia="黑体"/>
          <w:color w:val="000000"/>
        </w:rPr>
      </w:pPr>
      <w:r>
        <w:rPr>
          <w:rFonts w:ascii="Times New Roman" w:hAnsi="Times New Roman"/>
        </w:rPr>
        <w:t>随机数一般可使用随机数表等方法产生。</w:t>
      </w:r>
    </w:p>
    <w:p w14:paraId="00181FAF">
      <w:pPr>
        <w:adjustRightInd w:val="0"/>
        <w:snapToGrid w:val="0"/>
        <w:spacing w:line="440" w:lineRule="exact"/>
        <w:ind w:firstLine="420" w:firstLineChars="200"/>
        <w:rPr>
          <w:rFonts w:ascii="Times New Roman" w:hAnsi="Times New Roman"/>
        </w:rPr>
      </w:pPr>
      <w:r>
        <w:rPr>
          <w:rFonts w:hint="eastAsia" w:ascii="Times New Roman" w:hAnsi="Times New Roman"/>
        </w:rPr>
        <w:t>抽取同一生产者、同一标准生产的同一商标、同一规格型号的产品2辆(包括说明书、合格证、蓄电池、充电器和说明书明示的所有配件)，其中1辆为检验样品，另1辆为备用样品。</w:t>
      </w:r>
    </w:p>
    <w:p w14:paraId="41CB3197">
      <w:pPr>
        <w:adjustRightInd w:val="0"/>
        <w:snapToGrid w:val="0"/>
        <w:spacing w:line="440" w:lineRule="exact"/>
        <w:rPr>
          <w:rFonts w:ascii="Times New Roman" w:hAnsi="Times New Roman" w:cs="Times New Roman"/>
        </w:rPr>
      </w:pPr>
      <w:bookmarkStart w:id="0" w:name="_GoBack"/>
      <w:bookmarkEnd w:id="0"/>
    </w:p>
    <w:p w14:paraId="5C1942DA">
      <w:pPr>
        <w:adjustRightInd w:val="0"/>
        <w:snapToGrid w:val="0"/>
        <w:spacing w:line="440" w:lineRule="exact"/>
        <w:rPr>
          <w:rFonts w:ascii="Times New Roman" w:hAnsi="Times New Roman" w:eastAsia="黑体" w:cs="Times New Roman"/>
        </w:rPr>
      </w:pPr>
      <w:r>
        <w:rPr>
          <w:rFonts w:ascii="Times New Roman" w:hAnsi="Times New Roman" w:cs="Times New Roman"/>
        </w:rPr>
        <w:t xml:space="preserve">2 </w:t>
      </w:r>
      <w:r>
        <w:rPr>
          <w:rFonts w:ascii="Times New Roman" w:hAnsi="Times New Roman" w:eastAsia="黑体" w:cs="Times New Roman"/>
        </w:rPr>
        <w:t>检验依据</w:t>
      </w:r>
    </w:p>
    <w:p w14:paraId="52BFE150">
      <w:pPr>
        <w:snapToGrid w:val="0"/>
        <w:spacing w:line="440" w:lineRule="exact"/>
        <w:jc w:val="center"/>
      </w:pPr>
      <w:r>
        <w:rPr>
          <w:rFonts w:hint="eastAsia" w:ascii="宋体" w:hAnsi="宋体" w:cs="宋体"/>
        </w:rPr>
        <w:t>表1 电动自行车检验项目及检验方法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96"/>
        <w:gridCol w:w="2541"/>
        <w:gridCol w:w="2541"/>
      </w:tblGrid>
      <w:tr w14:paraId="22E9F058">
        <w:tblPrEx>
          <w:tblCellMar>
            <w:top w:w="0" w:type="dxa"/>
            <w:left w:w="108" w:type="dxa"/>
            <w:bottom w:w="0" w:type="dxa"/>
            <w:right w:w="108" w:type="dxa"/>
          </w:tblCellMar>
        </w:tblPrEx>
        <w:trPr>
          <w:cantSplit/>
          <w:trHeight w:val="581" w:hRule="atLeast"/>
          <w:jc w:val="center"/>
        </w:trPr>
        <w:tc>
          <w:tcPr>
            <w:tcW w:w="920" w:type="dxa"/>
            <w:noWrap/>
            <w:vAlign w:val="center"/>
          </w:tcPr>
          <w:p w14:paraId="0818625A">
            <w:pPr>
              <w:jc w:val="center"/>
            </w:pPr>
            <w:r>
              <w:t>序号</w:t>
            </w:r>
          </w:p>
        </w:tc>
        <w:tc>
          <w:tcPr>
            <w:tcW w:w="2896" w:type="dxa"/>
            <w:noWrap/>
            <w:vAlign w:val="center"/>
          </w:tcPr>
          <w:p w14:paraId="4B9BBCC9">
            <w:pPr>
              <w:jc w:val="center"/>
            </w:pPr>
            <w:r>
              <w:t>检验项目</w:t>
            </w:r>
          </w:p>
        </w:tc>
        <w:tc>
          <w:tcPr>
            <w:tcW w:w="2541" w:type="dxa"/>
            <w:noWrap/>
            <w:vAlign w:val="center"/>
          </w:tcPr>
          <w:p w14:paraId="1D494CA4">
            <w:pPr>
              <w:jc w:val="center"/>
            </w:pPr>
            <w:r>
              <w:rPr>
                <w:rFonts w:hint="eastAsia"/>
              </w:rPr>
              <w:t>检验依据</w:t>
            </w:r>
          </w:p>
        </w:tc>
        <w:tc>
          <w:tcPr>
            <w:tcW w:w="2541" w:type="dxa"/>
            <w:noWrap/>
            <w:vAlign w:val="center"/>
          </w:tcPr>
          <w:p w14:paraId="4B4D1422">
            <w:pPr>
              <w:jc w:val="center"/>
            </w:pPr>
            <w:r>
              <w:t>检验方法</w:t>
            </w:r>
          </w:p>
        </w:tc>
      </w:tr>
      <w:tr w14:paraId="41A6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57D05DD6">
            <w:pPr>
              <w:jc w:val="center"/>
              <w:rPr>
                <w:rFonts w:eastAsia="仿宋_GB2312"/>
              </w:rPr>
            </w:pPr>
            <w:r>
              <w:rPr>
                <w:rFonts w:eastAsia="仿宋_GB2312"/>
              </w:rPr>
              <w:t>1</w:t>
            </w:r>
          </w:p>
        </w:tc>
        <w:tc>
          <w:tcPr>
            <w:tcW w:w="2896" w:type="dxa"/>
            <w:noWrap/>
            <w:vAlign w:val="center"/>
          </w:tcPr>
          <w:p w14:paraId="40116BD8">
            <w:pPr>
              <w:jc w:val="center"/>
            </w:pPr>
            <w:r>
              <w:rPr>
                <w:rFonts w:hint="eastAsia"/>
              </w:rPr>
              <w:t>铭牌</w:t>
            </w:r>
          </w:p>
        </w:tc>
        <w:tc>
          <w:tcPr>
            <w:tcW w:w="2541" w:type="dxa"/>
            <w:noWrap/>
            <w:vAlign w:val="center"/>
          </w:tcPr>
          <w:p w14:paraId="2575799B">
            <w:pPr>
              <w:jc w:val="center"/>
            </w:pPr>
            <w:r>
              <w:t>GB 17761</w:t>
            </w:r>
            <w:r>
              <w:rPr>
                <w:rFonts w:hint="eastAsia"/>
              </w:rPr>
              <w:t>-</w:t>
            </w:r>
            <w:r>
              <w:t>2018</w:t>
            </w:r>
          </w:p>
        </w:tc>
        <w:tc>
          <w:tcPr>
            <w:tcW w:w="2541" w:type="dxa"/>
            <w:noWrap/>
            <w:vAlign w:val="center"/>
          </w:tcPr>
          <w:p w14:paraId="06CF2056">
            <w:pPr>
              <w:jc w:val="center"/>
            </w:pPr>
            <w:r>
              <w:t>GB 17761</w:t>
            </w:r>
            <w:r>
              <w:rPr>
                <w:rFonts w:hint="eastAsia"/>
              </w:rPr>
              <w:t>-</w:t>
            </w:r>
            <w:r>
              <w:t>2018</w:t>
            </w:r>
          </w:p>
        </w:tc>
      </w:tr>
      <w:tr w14:paraId="786A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7EF977A6">
            <w:pPr>
              <w:jc w:val="center"/>
              <w:rPr>
                <w:rFonts w:eastAsia="仿宋_GB2312"/>
              </w:rPr>
            </w:pPr>
            <w:r>
              <w:rPr>
                <w:rFonts w:hint="eastAsia" w:eastAsia="仿宋_GB2312"/>
              </w:rPr>
              <w:t>2</w:t>
            </w:r>
          </w:p>
        </w:tc>
        <w:tc>
          <w:tcPr>
            <w:tcW w:w="2896" w:type="dxa"/>
            <w:noWrap/>
            <w:vAlign w:val="center"/>
          </w:tcPr>
          <w:p w14:paraId="4E045185">
            <w:pPr>
              <w:jc w:val="center"/>
            </w:pPr>
            <w:r>
              <w:rPr>
                <w:rFonts w:hint="eastAsia"/>
              </w:rPr>
              <w:t>整车编码</w:t>
            </w:r>
          </w:p>
        </w:tc>
        <w:tc>
          <w:tcPr>
            <w:tcW w:w="2541" w:type="dxa"/>
            <w:noWrap/>
            <w:vAlign w:val="center"/>
          </w:tcPr>
          <w:p w14:paraId="6D06458D">
            <w:pPr>
              <w:jc w:val="center"/>
            </w:pPr>
            <w:r>
              <w:t>GB 17761</w:t>
            </w:r>
            <w:r>
              <w:rPr>
                <w:rFonts w:hint="eastAsia"/>
              </w:rPr>
              <w:t>-</w:t>
            </w:r>
            <w:r>
              <w:t>2018</w:t>
            </w:r>
          </w:p>
        </w:tc>
        <w:tc>
          <w:tcPr>
            <w:tcW w:w="2541" w:type="dxa"/>
            <w:noWrap/>
            <w:vAlign w:val="center"/>
          </w:tcPr>
          <w:p w14:paraId="6B6C2D94">
            <w:pPr>
              <w:jc w:val="center"/>
            </w:pPr>
            <w:r>
              <w:t>GB 17761</w:t>
            </w:r>
            <w:r>
              <w:rPr>
                <w:rFonts w:hint="eastAsia"/>
              </w:rPr>
              <w:t>-</w:t>
            </w:r>
            <w:r>
              <w:t>2018</w:t>
            </w:r>
          </w:p>
        </w:tc>
      </w:tr>
      <w:tr w14:paraId="0B20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60C2C418">
            <w:pPr>
              <w:jc w:val="center"/>
              <w:rPr>
                <w:rFonts w:eastAsia="仿宋_GB2312"/>
              </w:rPr>
            </w:pPr>
            <w:r>
              <w:rPr>
                <w:rFonts w:hint="eastAsia" w:eastAsia="仿宋_GB2312"/>
              </w:rPr>
              <w:t>3</w:t>
            </w:r>
          </w:p>
        </w:tc>
        <w:tc>
          <w:tcPr>
            <w:tcW w:w="2896" w:type="dxa"/>
            <w:noWrap/>
            <w:vAlign w:val="center"/>
          </w:tcPr>
          <w:p w14:paraId="04FDBC9A">
            <w:pPr>
              <w:jc w:val="center"/>
            </w:pPr>
            <w:r>
              <w:rPr>
                <w:rFonts w:hint="eastAsia"/>
              </w:rPr>
              <w:t>电动机编码</w:t>
            </w:r>
          </w:p>
        </w:tc>
        <w:tc>
          <w:tcPr>
            <w:tcW w:w="2541" w:type="dxa"/>
            <w:noWrap/>
            <w:vAlign w:val="center"/>
          </w:tcPr>
          <w:p w14:paraId="6141818F">
            <w:pPr>
              <w:jc w:val="center"/>
            </w:pPr>
            <w:r>
              <w:t>GB 17761</w:t>
            </w:r>
            <w:r>
              <w:rPr>
                <w:rFonts w:hint="eastAsia"/>
              </w:rPr>
              <w:t>-</w:t>
            </w:r>
            <w:r>
              <w:t>2018</w:t>
            </w:r>
          </w:p>
        </w:tc>
        <w:tc>
          <w:tcPr>
            <w:tcW w:w="2541" w:type="dxa"/>
            <w:noWrap/>
            <w:vAlign w:val="center"/>
          </w:tcPr>
          <w:p w14:paraId="0263390C">
            <w:pPr>
              <w:jc w:val="center"/>
            </w:pPr>
            <w:r>
              <w:t>GB 17761</w:t>
            </w:r>
            <w:r>
              <w:rPr>
                <w:rFonts w:hint="eastAsia"/>
              </w:rPr>
              <w:t>-</w:t>
            </w:r>
            <w:r>
              <w:t>2018</w:t>
            </w:r>
          </w:p>
        </w:tc>
      </w:tr>
      <w:tr w14:paraId="54EE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72E1861F">
            <w:pPr>
              <w:jc w:val="center"/>
              <w:rPr>
                <w:rFonts w:eastAsia="仿宋_GB2312"/>
              </w:rPr>
            </w:pPr>
            <w:r>
              <w:rPr>
                <w:rFonts w:hint="eastAsia" w:eastAsia="仿宋_GB2312"/>
              </w:rPr>
              <w:t>4</w:t>
            </w:r>
          </w:p>
        </w:tc>
        <w:tc>
          <w:tcPr>
            <w:tcW w:w="2896" w:type="dxa"/>
            <w:noWrap/>
            <w:vAlign w:val="center"/>
          </w:tcPr>
          <w:p w14:paraId="0657CA44">
            <w:pPr>
              <w:jc w:val="center"/>
            </w:pPr>
            <w:r>
              <w:rPr>
                <w:rFonts w:hint="eastAsia"/>
              </w:rPr>
              <w:t>号牌安装位置</w:t>
            </w:r>
          </w:p>
        </w:tc>
        <w:tc>
          <w:tcPr>
            <w:tcW w:w="2541" w:type="dxa"/>
            <w:noWrap/>
            <w:vAlign w:val="center"/>
          </w:tcPr>
          <w:p w14:paraId="078DEF7E">
            <w:pPr>
              <w:jc w:val="center"/>
            </w:pPr>
            <w:r>
              <w:t>GB 17761</w:t>
            </w:r>
            <w:r>
              <w:rPr>
                <w:rFonts w:hint="eastAsia"/>
              </w:rPr>
              <w:t>-</w:t>
            </w:r>
            <w:r>
              <w:t>2018</w:t>
            </w:r>
          </w:p>
        </w:tc>
        <w:tc>
          <w:tcPr>
            <w:tcW w:w="2541" w:type="dxa"/>
            <w:noWrap/>
            <w:vAlign w:val="center"/>
          </w:tcPr>
          <w:p w14:paraId="2D0F86A4">
            <w:pPr>
              <w:jc w:val="center"/>
            </w:pPr>
            <w:r>
              <w:t>GB 17761</w:t>
            </w:r>
            <w:r>
              <w:rPr>
                <w:rFonts w:hint="eastAsia"/>
              </w:rPr>
              <w:t>-</w:t>
            </w:r>
            <w:r>
              <w:t>2018</w:t>
            </w:r>
          </w:p>
        </w:tc>
      </w:tr>
      <w:tr w14:paraId="35B7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50AAB3CD">
            <w:pPr>
              <w:jc w:val="center"/>
              <w:rPr>
                <w:rFonts w:eastAsia="仿宋_GB2312"/>
              </w:rPr>
            </w:pPr>
            <w:r>
              <w:rPr>
                <w:rFonts w:hint="eastAsia" w:eastAsia="仿宋_GB2312"/>
              </w:rPr>
              <w:t>5</w:t>
            </w:r>
          </w:p>
        </w:tc>
        <w:tc>
          <w:tcPr>
            <w:tcW w:w="2896" w:type="dxa"/>
            <w:noWrap/>
            <w:vAlign w:val="center"/>
          </w:tcPr>
          <w:p w14:paraId="01627DD0">
            <w:pPr>
              <w:jc w:val="center"/>
            </w:pPr>
            <w:r>
              <w:rPr>
                <w:rFonts w:hint="eastAsia"/>
              </w:rPr>
              <w:t>产品合格证</w:t>
            </w:r>
          </w:p>
        </w:tc>
        <w:tc>
          <w:tcPr>
            <w:tcW w:w="2541" w:type="dxa"/>
            <w:noWrap/>
            <w:vAlign w:val="center"/>
          </w:tcPr>
          <w:p w14:paraId="7DFC809C">
            <w:pPr>
              <w:jc w:val="center"/>
            </w:pPr>
            <w:r>
              <w:t>GB 17761</w:t>
            </w:r>
            <w:r>
              <w:rPr>
                <w:rFonts w:hint="eastAsia"/>
              </w:rPr>
              <w:t>-</w:t>
            </w:r>
            <w:r>
              <w:t>2018</w:t>
            </w:r>
          </w:p>
        </w:tc>
        <w:tc>
          <w:tcPr>
            <w:tcW w:w="2541" w:type="dxa"/>
            <w:noWrap/>
            <w:vAlign w:val="center"/>
          </w:tcPr>
          <w:p w14:paraId="72D834BF">
            <w:pPr>
              <w:jc w:val="center"/>
            </w:pPr>
            <w:r>
              <w:t>GB 17761</w:t>
            </w:r>
            <w:r>
              <w:rPr>
                <w:rFonts w:hint="eastAsia"/>
              </w:rPr>
              <w:t>-</w:t>
            </w:r>
            <w:r>
              <w:t>2018</w:t>
            </w:r>
          </w:p>
        </w:tc>
      </w:tr>
      <w:tr w14:paraId="2AB3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09E1DEDF">
            <w:pPr>
              <w:jc w:val="center"/>
              <w:rPr>
                <w:rFonts w:eastAsia="仿宋_GB2312"/>
              </w:rPr>
            </w:pPr>
            <w:r>
              <w:rPr>
                <w:rFonts w:hint="eastAsia" w:eastAsia="仿宋_GB2312"/>
              </w:rPr>
              <w:t>6</w:t>
            </w:r>
          </w:p>
        </w:tc>
        <w:tc>
          <w:tcPr>
            <w:tcW w:w="2896" w:type="dxa"/>
            <w:noWrap/>
            <w:vAlign w:val="center"/>
          </w:tcPr>
          <w:p w14:paraId="076D430B">
            <w:pPr>
              <w:jc w:val="center"/>
            </w:pPr>
            <w:r>
              <w:rPr>
                <w:rFonts w:hint="eastAsia"/>
              </w:rPr>
              <w:t>车速限值</w:t>
            </w:r>
          </w:p>
        </w:tc>
        <w:tc>
          <w:tcPr>
            <w:tcW w:w="2541" w:type="dxa"/>
            <w:noWrap/>
            <w:vAlign w:val="center"/>
          </w:tcPr>
          <w:p w14:paraId="17346655">
            <w:pPr>
              <w:jc w:val="center"/>
            </w:pPr>
            <w:r>
              <w:t>GB 17761</w:t>
            </w:r>
            <w:r>
              <w:rPr>
                <w:rFonts w:hint="eastAsia"/>
              </w:rPr>
              <w:t>-</w:t>
            </w:r>
            <w:r>
              <w:t>2018</w:t>
            </w:r>
          </w:p>
        </w:tc>
        <w:tc>
          <w:tcPr>
            <w:tcW w:w="2541" w:type="dxa"/>
            <w:noWrap/>
            <w:vAlign w:val="center"/>
          </w:tcPr>
          <w:p w14:paraId="22BA4E87">
            <w:pPr>
              <w:jc w:val="center"/>
            </w:pPr>
            <w:r>
              <w:t>GB 17761</w:t>
            </w:r>
            <w:r>
              <w:rPr>
                <w:rFonts w:hint="eastAsia"/>
              </w:rPr>
              <w:t>-</w:t>
            </w:r>
            <w:r>
              <w:t>2018</w:t>
            </w:r>
          </w:p>
        </w:tc>
      </w:tr>
      <w:tr w14:paraId="58C3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0E982787">
            <w:pPr>
              <w:jc w:val="center"/>
              <w:rPr>
                <w:rFonts w:eastAsia="仿宋_GB2312"/>
              </w:rPr>
            </w:pPr>
            <w:r>
              <w:rPr>
                <w:rFonts w:hint="eastAsia" w:eastAsia="仿宋_GB2312"/>
              </w:rPr>
              <w:t>7</w:t>
            </w:r>
          </w:p>
        </w:tc>
        <w:tc>
          <w:tcPr>
            <w:tcW w:w="2896" w:type="dxa"/>
            <w:noWrap/>
            <w:vAlign w:val="center"/>
          </w:tcPr>
          <w:p w14:paraId="5EE862E8">
            <w:pPr>
              <w:jc w:val="center"/>
            </w:pPr>
            <w:r>
              <w:rPr>
                <w:rFonts w:hint="eastAsia"/>
              </w:rPr>
              <w:t>制动性能</w:t>
            </w:r>
          </w:p>
        </w:tc>
        <w:tc>
          <w:tcPr>
            <w:tcW w:w="2541" w:type="dxa"/>
            <w:noWrap/>
            <w:vAlign w:val="center"/>
          </w:tcPr>
          <w:p w14:paraId="143914DE">
            <w:pPr>
              <w:jc w:val="center"/>
            </w:pPr>
            <w:r>
              <w:t>GB 17761</w:t>
            </w:r>
            <w:r>
              <w:rPr>
                <w:rFonts w:hint="eastAsia"/>
              </w:rPr>
              <w:t>-</w:t>
            </w:r>
            <w:r>
              <w:t>2018</w:t>
            </w:r>
          </w:p>
        </w:tc>
        <w:tc>
          <w:tcPr>
            <w:tcW w:w="2541" w:type="dxa"/>
            <w:noWrap/>
            <w:vAlign w:val="center"/>
          </w:tcPr>
          <w:p w14:paraId="1472E6C8">
            <w:pPr>
              <w:jc w:val="center"/>
            </w:pPr>
            <w:r>
              <w:t>GB 17761</w:t>
            </w:r>
            <w:r>
              <w:rPr>
                <w:rFonts w:hint="eastAsia"/>
              </w:rPr>
              <w:t>-</w:t>
            </w:r>
            <w:r>
              <w:t>2018</w:t>
            </w:r>
          </w:p>
        </w:tc>
      </w:tr>
      <w:tr w14:paraId="4A43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noWrap/>
            <w:vAlign w:val="center"/>
          </w:tcPr>
          <w:p w14:paraId="63836E53">
            <w:pPr>
              <w:jc w:val="center"/>
              <w:rPr>
                <w:rFonts w:eastAsia="仿宋_GB2312"/>
              </w:rPr>
            </w:pPr>
            <w:r>
              <w:rPr>
                <w:rFonts w:hint="eastAsia" w:eastAsia="仿宋_GB2312"/>
              </w:rPr>
              <w:t>8</w:t>
            </w:r>
          </w:p>
        </w:tc>
        <w:tc>
          <w:tcPr>
            <w:tcW w:w="2896" w:type="dxa"/>
            <w:noWrap/>
            <w:vAlign w:val="center"/>
          </w:tcPr>
          <w:p w14:paraId="096EFB3C">
            <w:pPr>
              <w:jc w:val="center"/>
            </w:pPr>
            <w:r>
              <w:rPr>
                <w:rFonts w:hint="eastAsia"/>
              </w:rPr>
              <w:t>整车质量</w:t>
            </w:r>
          </w:p>
        </w:tc>
        <w:tc>
          <w:tcPr>
            <w:tcW w:w="2541" w:type="dxa"/>
            <w:noWrap/>
            <w:vAlign w:val="center"/>
          </w:tcPr>
          <w:p w14:paraId="02C759A8">
            <w:pPr>
              <w:jc w:val="center"/>
            </w:pPr>
            <w:r>
              <w:t>GB 17761</w:t>
            </w:r>
            <w:r>
              <w:rPr>
                <w:rFonts w:hint="eastAsia"/>
              </w:rPr>
              <w:t>-</w:t>
            </w:r>
            <w:r>
              <w:t>2018</w:t>
            </w:r>
          </w:p>
        </w:tc>
        <w:tc>
          <w:tcPr>
            <w:tcW w:w="2541" w:type="dxa"/>
            <w:noWrap/>
            <w:vAlign w:val="center"/>
          </w:tcPr>
          <w:p w14:paraId="31B0186A">
            <w:pPr>
              <w:jc w:val="center"/>
            </w:pPr>
            <w:r>
              <w:t>GB 17761</w:t>
            </w:r>
            <w:r>
              <w:rPr>
                <w:rFonts w:hint="eastAsia"/>
              </w:rPr>
              <w:t>-</w:t>
            </w:r>
            <w:r>
              <w:t>2018</w:t>
            </w:r>
          </w:p>
        </w:tc>
      </w:tr>
      <w:tr w14:paraId="1E61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21D4072D">
            <w:pPr>
              <w:jc w:val="center"/>
              <w:rPr>
                <w:rFonts w:eastAsia="仿宋_GB2312"/>
              </w:rPr>
            </w:pPr>
            <w:r>
              <w:rPr>
                <w:rFonts w:hint="eastAsia" w:eastAsia="仿宋_GB2312"/>
              </w:rPr>
              <w:t>9</w:t>
            </w:r>
          </w:p>
        </w:tc>
        <w:tc>
          <w:tcPr>
            <w:tcW w:w="2896" w:type="dxa"/>
            <w:noWrap/>
            <w:vAlign w:val="center"/>
          </w:tcPr>
          <w:p w14:paraId="5D03DF03">
            <w:pPr>
              <w:jc w:val="center"/>
            </w:pPr>
            <w:r>
              <w:rPr>
                <w:rFonts w:hint="eastAsia"/>
              </w:rPr>
              <w:t xml:space="preserve">脚踏骑行能力   </w:t>
            </w:r>
          </w:p>
        </w:tc>
        <w:tc>
          <w:tcPr>
            <w:tcW w:w="2541" w:type="dxa"/>
            <w:noWrap/>
            <w:vAlign w:val="center"/>
          </w:tcPr>
          <w:p w14:paraId="09FEBE28">
            <w:pPr>
              <w:jc w:val="center"/>
            </w:pPr>
            <w:r>
              <w:t>GB 17761</w:t>
            </w:r>
            <w:r>
              <w:rPr>
                <w:rFonts w:hint="eastAsia"/>
              </w:rPr>
              <w:t>-</w:t>
            </w:r>
            <w:r>
              <w:t>2018</w:t>
            </w:r>
          </w:p>
        </w:tc>
        <w:tc>
          <w:tcPr>
            <w:tcW w:w="2541" w:type="dxa"/>
            <w:noWrap/>
            <w:vAlign w:val="center"/>
          </w:tcPr>
          <w:p w14:paraId="50968AA1">
            <w:pPr>
              <w:jc w:val="center"/>
            </w:pPr>
            <w:r>
              <w:t>GB 17761</w:t>
            </w:r>
            <w:r>
              <w:rPr>
                <w:rFonts w:hint="eastAsia"/>
              </w:rPr>
              <w:t>-</w:t>
            </w:r>
            <w:r>
              <w:t>2018</w:t>
            </w:r>
          </w:p>
        </w:tc>
      </w:tr>
      <w:tr w14:paraId="370E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345DA489">
            <w:pPr>
              <w:jc w:val="center"/>
              <w:rPr>
                <w:rFonts w:eastAsia="仿宋_GB2312"/>
              </w:rPr>
            </w:pPr>
            <w:r>
              <w:rPr>
                <w:rFonts w:hint="eastAsia" w:eastAsia="仿宋_GB2312"/>
              </w:rPr>
              <w:t>10</w:t>
            </w:r>
          </w:p>
        </w:tc>
        <w:tc>
          <w:tcPr>
            <w:tcW w:w="2896" w:type="dxa"/>
            <w:noWrap/>
            <w:vAlign w:val="center"/>
          </w:tcPr>
          <w:p w14:paraId="3A9F328A">
            <w:pPr>
              <w:jc w:val="center"/>
            </w:pPr>
            <w:r>
              <w:rPr>
                <w:rFonts w:hint="eastAsia"/>
              </w:rPr>
              <w:t>尺寸限值</w:t>
            </w:r>
          </w:p>
        </w:tc>
        <w:tc>
          <w:tcPr>
            <w:tcW w:w="2541" w:type="dxa"/>
            <w:noWrap/>
            <w:vAlign w:val="center"/>
          </w:tcPr>
          <w:p w14:paraId="4842A91A">
            <w:pPr>
              <w:jc w:val="center"/>
            </w:pPr>
            <w:r>
              <w:t>GB 17761</w:t>
            </w:r>
            <w:r>
              <w:rPr>
                <w:rFonts w:hint="eastAsia"/>
              </w:rPr>
              <w:t>-</w:t>
            </w:r>
            <w:r>
              <w:t>2018</w:t>
            </w:r>
          </w:p>
        </w:tc>
        <w:tc>
          <w:tcPr>
            <w:tcW w:w="2541" w:type="dxa"/>
            <w:noWrap/>
            <w:vAlign w:val="center"/>
          </w:tcPr>
          <w:p w14:paraId="24D3474C">
            <w:pPr>
              <w:jc w:val="center"/>
            </w:pPr>
            <w:r>
              <w:t>GB 17761</w:t>
            </w:r>
            <w:r>
              <w:rPr>
                <w:rFonts w:hint="eastAsia"/>
              </w:rPr>
              <w:t>-</w:t>
            </w:r>
            <w:r>
              <w:t>2018</w:t>
            </w:r>
          </w:p>
        </w:tc>
      </w:tr>
      <w:tr w14:paraId="5524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097B233C">
            <w:pPr>
              <w:jc w:val="center"/>
              <w:rPr>
                <w:rFonts w:eastAsia="仿宋_GB2312"/>
              </w:rPr>
            </w:pPr>
            <w:r>
              <w:rPr>
                <w:rFonts w:hint="eastAsia" w:eastAsia="仿宋_GB2312"/>
              </w:rPr>
              <w:t>11</w:t>
            </w:r>
          </w:p>
        </w:tc>
        <w:tc>
          <w:tcPr>
            <w:tcW w:w="2896" w:type="dxa"/>
            <w:noWrap/>
            <w:vAlign w:val="center"/>
          </w:tcPr>
          <w:p w14:paraId="3F3A4080">
            <w:pPr>
              <w:jc w:val="center"/>
            </w:pPr>
            <w:r>
              <w:rPr>
                <w:rFonts w:hint="eastAsia"/>
              </w:rPr>
              <w:t>突出物</w:t>
            </w:r>
          </w:p>
        </w:tc>
        <w:tc>
          <w:tcPr>
            <w:tcW w:w="2541" w:type="dxa"/>
            <w:noWrap/>
            <w:vAlign w:val="center"/>
          </w:tcPr>
          <w:p w14:paraId="27F03576">
            <w:pPr>
              <w:jc w:val="center"/>
            </w:pPr>
            <w:r>
              <w:t>GB 17761</w:t>
            </w:r>
            <w:r>
              <w:rPr>
                <w:rFonts w:hint="eastAsia"/>
              </w:rPr>
              <w:t>-</w:t>
            </w:r>
            <w:r>
              <w:t>2018</w:t>
            </w:r>
          </w:p>
        </w:tc>
        <w:tc>
          <w:tcPr>
            <w:tcW w:w="2541" w:type="dxa"/>
            <w:noWrap/>
            <w:vAlign w:val="center"/>
          </w:tcPr>
          <w:p w14:paraId="5245DEC1">
            <w:pPr>
              <w:jc w:val="center"/>
            </w:pPr>
            <w:r>
              <w:t>GB 17761</w:t>
            </w:r>
            <w:r>
              <w:rPr>
                <w:rFonts w:hint="eastAsia"/>
              </w:rPr>
              <w:t>-</w:t>
            </w:r>
            <w:r>
              <w:t>2018</w:t>
            </w:r>
          </w:p>
        </w:tc>
      </w:tr>
      <w:tr w14:paraId="7523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636AE1D4">
            <w:pPr>
              <w:jc w:val="center"/>
              <w:rPr>
                <w:rFonts w:eastAsia="仿宋_GB2312"/>
              </w:rPr>
            </w:pPr>
            <w:r>
              <w:rPr>
                <w:rFonts w:hint="eastAsia" w:eastAsia="仿宋_GB2312"/>
              </w:rPr>
              <w:t>12</w:t>
            </w:r>
          </w:p>
        </w:tc>
        <w:tc>
          <w:tcPr>
            <w:tcW w:w="2896" w:type="dxa"/>
            <w:noWrap/>
            <w:vAlign w:val="center"/>
          </w:tcPr>
          <w:p w14:paraId="694DBCA7">
            <w:pPr>
              <w:jc w:val="center"/>
            </w:pPr>
            <w:r>
              <w:rPr>
                <w:rFonts w:hint="eastAsia"/>
              </w:rPr>
              <w:t>车速提示音</w:t>
            </w:r>
          </w:p>
        </w:tc>
        <w:tc>
          <w:tcPr>
            <w:tcW w:w="2541" w:type="dxa"/>
            <w:noWrap/>
            <w:vAlign w:val="center"/>
          </w:tcPr>
          <w:p w14:paraId="12B6DB84">
            <w:pPr>
              <w:jc w:val="center"/>
            </w:pPr>
            <w:r>
              <w:t>GB 17761</w:t>
            </w:r>
            <w:r>
              <w:rPr>
                <w:rFonts w:hint="eastAsia"/>
              </w:rPr>
              <w:t>-</w:t>
            </w:r>
            <w:r>
              <w:t>2018</w:t>
            </w:r>
          </w:p>
        </w:tc>
        <w:tc>
          <w:tcPr>
            <w:tcW w:w="2541" w:type="dxa"/>
            <w:noWrap/>
            <w:vAlign w:val="center"/>
          </w:tcPr>
          <w:p w14:paraId="5DFDDDC0">
            <w:pPr>
              <w:jc w:val="center"/>
            </w:pPr>
            <w:r>
              <w:t>GB 17761</w:t>
            </w:r>
            <w:r>
              <w:rPr>
                <w:rFonts w:hint="eastAsia"/>
              </w:rPr>
              <w:t>-</w:t>
            </w:r>
            <w:r>
              <w:t>2018</w:t>
            </w:r>
          </w:p>
        </w:tc>
      </w:tr>
      <w:tr w14:paraId="1985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2AB70191">
            <w:pPr>
              <w:jc w:val="center"/>
              <w:rPr>
                <w:rFonts w:eastAsia="仿宋_GB2312"/>
              </w:rPr>
            </w:pPr>
            <w:r>
              <w:rPr>
                <w:rFonts w:hint="eastAsia" w:eastAsia="仿宋_GB2312"/>
              </w:rPr>
              <w:t>13</w:t>
            </w:r>
          </w:p>
        </w:tc>
        <w:tc>
          <w:tcPr>
            <w:tcW w:w="2896" w:type="dxa"/>
            <w:noWrap/>
            <w:vAlign w:val="center"/>
          </w:tcPr>
          <w:p w14:paraId="4EA96218">
            <w:pPr>
              <w:jc w:val="center"/>
            </w:pPr>
            <w:r>
              <w:rPr>
                <w:rFonts w:hint="eastAsia"/>
              </w:rPr>
              <w:t>反射器</w:t>
            </w:r>
          </w:p>
        </w:tc>
        <w:tc>
          <w:tcPr>
            <w:tcW w:w="2541" w:type="dxa"/>
            <w:noWrap/>
            <w:vAlign w:val="center"/>
          </w:tcPr>
          <w:p w14:paraId="5344BA9D">
            <w:pPr>
              <w:jc w:val="center"/>
            </w:pPr>
            <w:r>
              <w:t>GB 17761</w:t>
            </w:r>
            <w:r>
              <w:rPr>
                <w:rFonts w:hint="eastAsia"/>
              </w:rPr>
              <w:t>-</w:t>
            </w:r>
            <w:r>
              <w:t>2018</w:t>
            </w:r>
          </w:p>
        </w:tc>
        <w:tc>
          <w:tcPr>
            <w:tcW w:w="2541" w:type="dxa"/>
            <w:noWrap/>
            <w:vAlign w:val="center"/>
          </w:tcPr>
          <w:p w14:paraId="41505510">
            <w:pPr>
              <w:jc w:val="center"/>
            </w:pPr>
            <w:r>
              <w:t>GB 17761</w:t>
            </w:r>
            <w:r>
              <w:rPr>
                <w:rFonts w:hint="eastAsia"/>
              </w:rPr>
              <w:t>-</w:t>
            </w:r>
            <w:r>
              <w:t>2018</w:t>
            </w:r>
          </w:p>
        </w:tc>
      </w:tr>
      <w:tr w14:paraId="5085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48F60C1C">
            <w:pPr>
              <w:jc w:val="center"/>
              <w:rPr>
                <w:rFonts w:eastAsia="仿宋_GB2312"/>
              </w:rPr>
            </w:pPr>
            <w:r>
              <w:rPr>
                <w:rFonts w:hint="eastAsia" w:eastAsia="仿宋_GB2312"/>
              </w:rPr>
              <w:t>14</w:t>
            </w:r>
          </w:p>
        </w:tc>
        <w:tc>
          <w:tcPr>
            <w:tcW w:w="2896" w:type="dxa"/>
            <w:noWrap/>
            <w:vAlign w:val="center"/>
          </w:tcPr>
          <w:p w14:paraId="5DF42AF7">
            <w:pPr>
              <w:jc w:val="center"/>
              <w:rPr>
                <w:rFonts w:ascii="Times New Roman" w:hAnsi="Times New Roman" w:cs="Times New Roman"/>
              </w:rPr>
            </w:pPr>
            <w:r>
              <w:rPr>
                <w:rFonts w:hint="eastAsia" w:ascii="Times New Roman" w:hAnsi="Times New Roman" w:cs="Times New Roman"/>
              </w:rPr>
              <w:t>照明</w:t>
            </w:r>
          </w:p>
        </w:tc>
        <w:tc>
          <w:tcPr>
            <w:tcW w:w="2541" w:type="dxa"/>
            <w:noWrap/>
            <w:vAlign w:val="center"/>
          </w:tcPr>
          <w:p w14:paraId="6BC13F9F">
            <w:pPr>
              <w:jc w:val="center"/>
              <w:rPr>
                <w:rFonts w:ascii="Times New Roman" w:hAnsi="Times New Roman" w:cs="Times New Roman"/>
              </w:rPr>
            </w:pPr>
            <w:r>
              <w:t>GB 17761</w:t>
            </w:r>
            <w:r>
              <w:rPr>
                <w:rFonts w:hint="eastAsia"/>
              </w:rPr>
              <w:t>-</w:t>
            </w:r>
            <w:r>
              <w:t>2018</w:t>
            </w:r>
          </w:p>
        </w:tc>
        <w:tc>
          <w:tcPr>
            <w:tcW w:w="2541" w:type="dxa"/>
            <w:noWrap/>
            <w:vAlign w:val="center"/>
          </w:tcPr>
          <w:p w14:paraId="7542AC0F">
            <w:pPr>
              <w:jc w:val="center"/>
            </w:pPr>
            <w:r>
              <w:t>GB 17761</w:t>
            </w:r>
            <w:r>
              <w:rPr>
                <w:rFonts w:hint="eastAsia"/>
              </w:rPr>
              <w:t>-</w:t>
            </w:r>
            <w:r>
              <w:t>2018</w:t>
            </w:r>
          </w:p>
        </w:tc>
      </w:tr>
      <w:tr w14:paraId="01E5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63E67028">
            <w:pPr>
              <w:jc w:val="center"/>
              <w:rPr>
                <w:rFonts w:eastAsia="仿宋_GB2312"/>
              </w:rPr>
            </w:pPr>
            <w:r>
              <w:rPr>
                <w:rFonts w:hint="eastAsia" w:eastAsia="仿宋_GB2312"/>
              </w:rPr>
              <w:t>15</w:t>
            </w:r>
          </w:p>
        </w:tc>
        <w:tc>
          <w:tcPr>
            <w:tcW w:w="2896" w:type="dxa"/>
            <w:noWrap/>
            <w:vAlign w:val="center"/>
          </w:tcPr>
          <w:p w14:paraId="08736723">
            <w:pPr>
              <w:jc w:val="center"/>
              <w:rPr>
                <w:rFonts w:ascii="Times New Roman" w:hAnsi="Times New Roman" w:cs="Times New Roman"/>
              </w:rPr>
            </w:pPr>
            <w:r>
              <w:rPr>
                <w:rFonts w:hint="eastAsia" w:ascii="Times New Roman" w:hAnsi="Times New Roman" w:cs="Times New Roman"/>
              </w:rPr>
              <w:t>蓄电池防篡改</w:t>
            </w:r>
          </w:p>
        </w:tc>
        <w:tc>
          <w:tcPr>
            <w:tcW w:w="2541" w:type="dxa"/>
            <w:noWrap/>
            <w:vAlign w:val="center"/>
          </w:tcPr>
          <w:p w14:paraId="0CD7DCE3">
            <w:pPr>
              <w:jc w:val="center"/>
              <w:rPr>
                <w:rFonts w:ascii="Times New Roman" w:hAnsi="Times New Roman" w:cs="Times New Roman"/>
              </w:rPr>
            </w:pPr>
            <w:r>
              <w:t>GB 17761</w:t>
            </w:r>
            <w:r>
              <w:rPr>
                <w:rFonts w:hint="eastAsia"/>
              </w:rPr>
              <w:t>-</w:t>
            </w:r>
            <w:r>
              <w:t>2018</w:t>
            </w:r>
          </w:p>
        </w:tc>
        <w:tc>
          <w:tcPr>
            <w:tcW w:w="2541" w:type="dxa"/>
            <w:noWrap/>
            <w:vAlign w:val="center"/>
          </w:tcPr>
          <w:p w14:paraId="22F033BF">
            <w:pPr>
              <w:jc w:val="center"/>
              <w:rPr>
                <w:rFonts w:ascii="Times New Roman" w:hAnsi="Times New Roman" w:cs="Times New Roman"/>
              </w:rPr>
            </w:pPr>
            <w:r>
              <w:t>GB 17761</w:t>
            </w:r>
            <w:r>
              <w:rPr>
                <w:rFonts w:hint="eastAsia"/>
              </w:rPr>
              <w:t>-</w:t>
            </w:r>
            <w:r>
              <w:t>2018</w:t>
            </w:r>
          </w:p>
        </w:tc>
      </w:tr>
      <w:tr w14:paraId="10AB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06EBEA11">
            <w:pPr>
              <w:jc w:val="center"/>
              <w:rPr>
                <w:rFonts w:eastAsia="仿宋_GB2312"/>
              </w:rPr>
            </w:pPr>
            <w:r>
              <w:rPr>
                <w:rFonts w:hint="eastAsia" w:eastAsia="仿宋_GB2312"/>
              </w:rPr>
              <w:t>16</w:t>
            </w:r>
          </w:p>
        </w:tc>
        <w:tc>
          <w:tcPr>
            <w:tcW w:w="2896" w:type="dxa"/>
            <w:noWrap/>
            <w:vAlign w:val="center"/>
          </w:tcPr>
          <w:p w14:paraId="79772D60">
            <w:pPr>
              <w:jc w:val="center"/>
              <w:rPr>
                <w:rFonts w:ascii="Times New Roman" w:hAnsi="Times New Roman" w:cs="Times New Roman"/>
              </w:rPr>
            </w:pPr>
            <w:r>
              <w:rPr>
                <w:rFonts w:hint="eastAsia" w:ascii="宋体" w:hAnsi="宋体" w:cs="宋体"/>
              </w:rPr>
              <w:t>短路保护</w:t>
            </w:r>
          </w:p>
        </w:tc>
        <w:tc>
          <w:tcPr>
            <w:tcW w:w="2541" w:type="dxa"/>
            <w:noWrap/>
            <w:vAlign w:val="center"/>
          </w:tcPr>
          <w:p w14:paraId="224238E2">
            <w:pPr>
              <w:jc w:val="center"/>
              <w:rPr>
                <w:rFonts w:ascii="Times New Roman" w:hAnsi="Times New Roman" w:cs="Times New Roman"/>
              </w:rPr>
            </w:pPr>
            <w:r>
              <w:t>GB 17761</w:t>
            </w:r>
            <w:r>
              <w:rPr>
                <w:rFonts w:hint="eastAsia"/>
              </w:rPr>
              <w:t>-</w:t>
            </w:r>
            <w:r>
              <w:t>2018</w:t>
            </w:r>
          </w:p>
        </w:tc>
        <w:tc>
          <w:tcPr>
            <w:tcW w:w="2541" w:type="dxa"/>
            <w:noWrap/>
            <w:vAlign w:val="center"/>
          </w:tcPr>
          <w:p w14:paraId="40D606DB">
            <w:pPr>
              <w:jc w:val="center"/>
              <w:rPr>
                <w:rFonts w:ascii="Times New Roman" w:hAnsi="Times New Roman" w:cs="Times New Roman"/>
              </w:rPr>
            </w:pPr>
            <w:r>
              <w:t>GB 17761</w:t>
            </w:r>
            <w:r>
              <w:rPr>
                <w:rFonts w:hint="eastAsia"/>
              </w:rPr>
              <w:t>-</w:t>
            </w:r>
            <w:r>
              <w:t>2018</w:t>
            </w:r>
          </w:p>
        </w:tc>
      </w:tr>
      <w:tr w14:paraId="1D44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6CFC307B">
            <w:pPr>
              <w:jc w:val="center"/>
              <w:rPr>
                <w:rFonts w:eastAsia="仿宋_GB2312"/>
              </w:rPr>
            </w:pPr>
            <w:r>
              <w:rPr>
                <w:rFonts w:hint="eastAsia" w:eastAsia="仿宋_GB2312"/>
              </w:rPr>
              <w:t>17</w:t>
            </w:r>
          </w:p>
        </w:tc>
        <w:tc>
          <w:tcPr>
            <w:tcW w:w="2896" w:type="dxa"/>
            <w:noWrap/>
            <w:vAlign w:val="center"/>
          </w:tcPr>
          <w:p w14:paraId="5B529271">
            <w:pPr>
              <w:jc w:val="center"/>
              <w:rPr>
                <w:rFonts w:ascii="Times New Roman" w:hAnsi="Times New Roman" w:cs="Times New Roman"/>
              </w:rPr>
            </w:pPr>
            <w:r>
              <w:rPr>
                <w:rFonts w:hint="eastAsia" w:ascii="宋体" w:hAnsi="宋体" w:cs="宋体"/>
              </w:rPr>
              <w:t>过流保护功能</w:t>
            </w:r>
          </w:p>
        </w:tc>
        <w:tc>
          <w:tcPr>
            <w:tcW w:w="2541" w:type="dxa"/>
            <w:noWrap/>
            <w:vAlign w:val="center"/>
          </w:tcPr>
          <w:p w14:paraId="373702F0">
            <w:pPr>
              <w:jc w:val="center"/>
              <w:rPr>
                <w:rFonts w:ascii="Times New Roman" w:hAnsi="Times New Roman" w:cs="Times New Roman"/>
              </w:rPr>
            </w:pPr>
            <w:r>
              <w:t>GB 17761</w:t>
            </w:r>
            <w:r>
              <w:rPr>
                <w:rFonts w:hint="eastAsia"/>
              </w:rPr>
              <w:t>-</w:t>
            </w:r>
            <w:r>
              <w:t>2018</w:t>
            </w:r>
          </w:p>
        </w:tc>
        <w:tc>
          <w:tcPr>
            <w:tcW w:w="2541" w:type="dxa"/>
            <w:noWrap/>
            <w:vAlign w:val="center"/>
          </w:tcPr>
          <w:p w14:paraId="43B3F92A">
            <w:pPr>
              <w:jc w:val="center"/>
              <w:rPr>
                <w:rFonts w:ascii="Times New Roman" w:hAnsi="Times New Roman" w:cs="Times New Roman"/>
              </w:rPr>
            </w:pPr>
            <w:r>
              <w:t>GB 17761</w:t>
            </w:r>
            <w:r>
              <w:rPr>
                <w:rFonts w:hint="eastAsia"/>
              </w:rPr>
              <w:t>-</w:t>
            </w:r>
            <w:r>
              <w:t>2018</w:t>
            </w:r>
          </w:p>
        </w:tc>
      </w:tr>
      <w:tr w14:paraId="77F0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7D647A7E">
            <w:pPr>
              <w:jc w:val="center"/>
              <w:rPr>
                <w:rFonts w:eastAsia="仿宋_GB2312"/>
              </w:rPr>
            </w:pPr>
            <w:r>
              <w:rPr>
                <w:rFonts w:hint="eastAsia" w:eastAsia="仿宋_GB2312"/>
              </w:rPr>
              <w:t>18</w:t>
            </w:r>
          </w:p>
        </w:tc>
        <w:tc>
          <w:tcPr>
            <w:tcW w:w="2896" w:type="dxa"/>
            <w:noWrap/>
            <w:vAlign w:val="center"/>
          </w:tcPr>
          <w:p w14:paraId="617D5BFB">
            <w:pPr>
              <w:jc w:val="center"/>
              <w:rPr>
                <w:rFonts w:ascii="Times New Roman" w:hAnsi="Times New Roman" w:cs="Times New Roman"/>
              </w:rPr>
            </w:pPr>
            <w:r>
              <w:rPr>
                <w:rFonts w:hint="eastAsia" w:ascii="宋体" w:hAnsi="宋体" w:cs="宋体"/>
              </w:rPr>
              <w:t>防火性能</w:t>
            </w:r>
          </w:p>
        </w:tc>
        <w:tc>
          <w:tcPr>
            <w:tcW w:w="2541" w:type="dxa"/>
            <w:noWrap/>
            <w:vAlign w:val="center"/>
          </w:tcPr>
          <w:p w14:paraId="66688562">
            <w:pPr>
              <w:jc w:val="center"/>
              <w:rPr>
                <w:rFonts w:ascii="Times New Roman" w:hAnsi="Times New Roman" w:cs="Times New Roman"/>
              </w:rPr>
            </w:pPr>
            <w:r>
              <w:t>GB 17761</w:t>
            </w:r>
            <w:r>
              <w:rPr>
                <w:rFonts w:hint="eastAsia"/>
              </w:rPr>
              <w:t>-</w:t>
            </w:r>
            <w:r>
              <w:t>2018</w:t>
            </w:r>
          </w:p>
        </w:tc>
        <w:tc>
          <w:tcPr>
            <w:tcW w:w="2541" w:type="dxa"/>
            <w:noWrap/>
            <w:vAlign w:val="center"/>
          </w:tcPr>
          <w:p w14:paraId="427C88AC">
            <w:pPr>
              <w:jc w:val="center"/>
              <w:rPr>
                <w:rFonts w:ascii="Times New Roman" w:hAnsi="Times New Roman" w:cs="Times New Roman"/>
              </w:rPr>
            </w:pPr>
            <w:r>
              <w:t>GB 17761</w:t>
            </w:r>
            <w:r>
              <w:rPr>
                <w:rFonts w:hint="eastAsia"/>
              </w:rPr>
              <w:t>-</w:t>
            </w:r>
            <w:r>
              <w:t>2018</w:t>
            </w:r>
          </w:p>
        </w:tc>
      </w:tr>
      <w:tr w14:paraId="31EB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330F46B8">
            <w:pPr>
              <w:jc w:val="center"/>
              <w:rPr>
                <w:rFonts w:eastAsia="仿宋_GB2312"/>
              </w:rPr>
            </w:pPr>
            <w:r>
              <w:rPr>
                <w:rFonts w:hint="eastAsia" w:eastAsia="仿宋_GB2312"/>
              </w:rPr>
              <w:t>19</w:t>
            </w:r>
          </w:p>
        </w:tc>
        <w:tc>
          <w:tcPr>
            <w:tcW w:w="2896" w:type="dxa"/>
            <w:noWrap/>
            <w:vAlign w:val="center"/>
          </w:tcPr>
          <w:p w14:paraId="37B27462">
            <w:pPr>
              <w:jc w:val="center"/>
              <w:rPr>
                <w:rFonts w:ascii="Times New Roman" w:hAnsi="Times New Roman" w:cs="Times New Roman"/>
              </w:rPr>
            </w:pPr>
            <w:r>
              <w:rPr>
                <w:rFonts w:hint="eastAsia" w:ascii="宋体" w:hAnsi="宋体" w:cs="宋体"/>
              </w:rPr>
              <w:t>标识与警示语</w:t>
            </w:r>
          </w:p>
        </w:tc>
        <w:tc>
          <w:tcPr>
            <w:tcW w:w="2541" w:type="dxa"/>
            <w:noWrap/>
            <w:vAlign w:val="center"/>
          </w:tcPr>
          <w:p w14:paraId="109AB91C">
            <w:pPr>
              <w:jc w:val="center"/>
              <w:rPr>
                <w:rFonts w:ascii="Times New Roman" w:hAnsi="Times New Roman" w:cs="Times New Roman"/>
              </w:rPr>
            </w:pPr>
            <w:r>
              <w:rPr>
                <w:rFonts w:hint="eastAsia"/>
              </w:rPr>
              <w:t>GB 42295-2022 及第1号修改单</w:t>
            </w:r>
          </w:p>
        </w:tc>
        <w:tc>
          <w:tcPr>
            <w:tcW w:w="2541" w:type="dxa"/>
            <w:noWrap/>
            <w:vAlign w:val="center"/>
          </w:tcPr>
          <w:p w14:paraId="0397EEE3">
            <w:pPr>
              <w:jc w:val="center"/>
              <w:rPr>
                <w:rFonts w:ascii="Times New Roman" w:hAnsi="Times New Roman" w:cs="Times New Roman"/>
              </w:rPr>
            </w:pPr>
            <w:r>
              <w:rPr>
                <w:rFonts w:hint="eastAsia"/>
              </w:rPr>
              <w:t>GB 42295-2022 及第1号修改单</w:t>
            </w:r>
          </w:p>
        </w:tc>
      </w:tr>
      <w:tr w14:paraId="60D5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5AEED681">
            <w:pPr>
              <w:jc w:val="center"/>
              <w:rPr>
                <w:rFonts w:eastAsia="仿宋_GB2312"/>
              </w:rPr>
            </w:pPr>
            <w:r>
              <w:rPr>
                <w:rFonts w:hint="eastAsia" w:eastAsia="仿宋_GB2312"/>
              </w:rPr>
              <w:t>20</w:t>
            </w:r>
          </w:p>
        </w:tc>
        <w:tc>
          <w:tcPr>
            <w:tcW w:w="2896" w:type="dxa"/>
            <w:noWrap/>
            <w:vAlign w:val="center"/>
          </w:tcPr>
          <w:p w14:paraId="7BFF39D8">
            <w:pPr>
              <w:jc w:val="center"/>
              <w:rPr>
                <w:rFonts w:ascii="宋体" w:hAnsi="宋体" w:cs="宋体"/>
              </w:rPr>
            </w:pPr>
            <w:r>
              <w:rPr>
                <w:rFonts w:hint="eastAsia" w:ascii="宋体" w:hAnsi="宋体" w:cs="宋体"/>
              </w:rPr>
              <w:t>布线</w:t>
            </w:r>
          </w:p>
        </w:tc>
        <w:tc>
          <w:tcPr>
            <w:tcW w:w="2541" w:type="dxa"/>
            <w:noWrap/>
            <w:vAlign w:val="center"/>
          </w:tcPr>
          <w:p w14:paraId="00332452">
            <w:pPr>
              <w:jc w:val="center"/>
              <w:rPr>
                <w:rFonts w:ascii="Times New Roman" w:hAnsi="Times New Roman" w:cs="Times New Roman"/>
              </w:rPr>
            </w:pPr>
            <w:r>
              <w:rPr>
                <w:rFonts w:hint="eastAsia"/>
              </w:rPr>
              <w:t>GB 42295-2022 及第1号修改单</w:t>
            </w:r>
          </w:p>
        </w:tc>
        <w:tc>
          <w:tcPr>
            <w:tcW w:w="2541" w:type="dxa"/>
            <w:noWrap/>
            <w:vAlign w:val="center"/>
          </w:tcPr>
          <w:p w14:paraId="3FDFBB8D">
            <w:pPr>
              <w:jc w:val="center"/>
              <w:rPr>
                <w:rFonts w:ascii="Times New Roman" w:hAnsi="Times New Roman" w:cs="Times New Roman"/>
              </w:rPr>
            </w:pPr>
            <w:r>
              <w:rPr>
                <w:rFonts w:hint="eastAsia"/>
              </w:rPr>
              <w:t>GB 42295-2022 及第1号修改单</w:t>
            </w:r>
          </w:p>
        </w:tc>
      </w:tr>
      <w:tr w14:paraId="2423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5B373E0B">
            <w:pPr>
              <w:jc w:val="center"/>
              <w:rPr>
                <w:rFonts w:eastAsia="仿宋_GB2312"/>
              </w:rPr>
            </w:pPr>
            <w:r>
              <w:rPr>
                <w:rFonts w:hint="eastAsia" w:eastAsia="仿宋_GB2312"/>
              </w:rPr>
              <w:t>21</w:t>
            </w:r>
          </w:p>
        </w:tc>
        <w:tc>
          <w:tcPr>
            <w:tcW w:w="2896" w:type="dxa"/>
            <w:noWrap/>
            <w:vAlign w:val="center"/>
          </w:tcPr>
          <w:p w14:paraId="0842A2B6">
            <w:pPr>
              <w:jc w:val="center"/>
              <w:rPr>
                <w:rFonts w:ascii="宋体" w:hAnsi="宋体" w:cs="宋体"/>
              </w:rPr>
            </w:pPr>
            <w:r>
              <w:rPr>
                <w:rFonts w:hint="eastAsia" w:ascii="宋体" w:hAnsi="宋体" w:cs="宋体"/>
              </w:rPr>
              <w:t>连接</w:t>
            </w:r>
          </w:p>
        </w:tc>
        <w:tc>
          <w:tcPr>
            <w:tcW w:w="2541" w:type="dxa"/>
            <w:noWrap/>
            <w:vAlign w:val="center"/>
          </w:tcPr>
          <w:p w14:paraId="39FFF9BC">
            <w:pPr>
              <w:jc w:val="center"/>
              <w:rPr>
                <w:rFonts w:ascii="Times New Roman" w:hAnsi="Times New Roman" w:cs="Times New Roman"/>
              </w:rPr>
            </w:pPr>
            <w:r>
              <w:rPr>
                <w:rFonts w:hint="eastAsia"/>
              </w:rPr>
              <w:t>GB 42295-2022 及第1号修改单</w:t>
            </w:r>
          </w:p>
        </w:tc>
        <w:tc>
          <w:tcPr>
            <w:tcW w:w="2541" w:type="dxa"/>
            <w:noWrap/>
            <w:vAlign w:val="center"/>
          </w:tcPr>
          <w:p w14:paraId="0D2FB0C6">
            <w:pPr>
              <w:jc w:val="center"/>
              <w:rPr>
                <w:rFonts w:ascii="Times New Roman" w:hAnsi="Times New Roman" w:cs="Times New Roman"/>
              </w:rPr>
            </w:pPr>
            <w:r>
              <w:rPr>
                <w:rFonts w:hint="eastAsia"/>
              </w:rPr>
              <w:t>GB 42295-2022 及第1号修改单</w:t>
            </w:r>
          </w:p>
        </w:tc>
      </w:tr>
      <w:tr w14:paraId="5B95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597BB3A0">
            <w:pPr>
              <w:jc w:val="center"/>
              <w:rPr>
                <w:rFonts w:eastAsia="仿宋_GB2312"/>
              </w:rPr>
            </w:pPr>
            <w:r>
              <w:rPr>
                <w:rFonts w:hint="eastAsia" w:eastAsia="仿宋_GB2312"/>
              </w:rPr>
              <w:t>22</w:t>
            </w:r>
          </w:p>
        </w:tc>
        <w:tc>
          <w:tcPr>
            <w:tcW w:w="2896" w:type="dxa"/>
            <w:noWrap/>
            <w:vAlign w:val="center"/>
          </w:tcPr>
          <w:p w14:paraId="382BEF8D">
            <w:pPr>
              <w:jc w:val="center"/>
              <w:rPr>
                <w:rFonts w:ascii="宋体" w:hAnsi="宋体" w:cs="宋体"/>
              </w:rPr>
            </w:pPr>
            <w:r>
              <w:rPr>
                <w:rFonts w:hint="eastAsia" w:ascii="宋体" w:hAnsi="宋体" w:cs="宋体"/>
              </w:rPr>
              <w:t>互认协同充电</w:t>
            </w:r>
          </w:p>
        </w:tc>
        <w:tc>
          <w:tcPr>
            <w:tcW w:w="2541" w:type="dxa"/>
            <w:noWrap/>
            <w:vAlign w:val="center"/>
          </w:tcPr>
          <w:p w14:paraId="0A1AEA86">
            <w:pPr>
              <w:jc w:val="center"/>
              <w:rPr>
                <w:rFonts w:ascii="Times New Roman" w:hAnsi="Times New Roman" w:cs="Times New Roman"/>
              </w:rPr>
            </w:pPr>
            <w:r>
              <w:rPr>
                <w:rFonts w:hint="eastAsia"/>
              </w:rPr>
              <w:t>GB 42295-2022 及第1号修改单</w:t>
            </w:r>
          </w:p>
        </w:tc>
        <w:tc>
          <w:tcPr>
            <w:tcW w:w="2541" w:type="dxa"/>
            <w:noWrap/>
            <w:vAlign w:val="center"/>
          </w:tcPr>
          <w:p w14:paraId="208C956F">
            <w:pPr>
              <w:jc w:val="center"/>
              <w:rPr>
                <w:rFonts w:ascii="Times New Roman" w:hAnsi="Times New Roman" w:cs="Times New Roman"/>
              </w:rPr>
            </w:pPr>
            <w:r>
              <w:rPr>
                <w:rFonts w:hint="eastAsia"/>
              </w:rPr>
              <w:t>GB 42295-2022 及第1号修改单</w:t>
            </w:r>
          </w:p>
        </w:tc>
      </w:tr>
      <w:tr w14:paraId="627D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noWrap/>
            <w:vAlign w:val="center"/>
          </w:tcPr>
          <w:p w14:paraId="36B7528A">
            <w:pPr>
              <w:jc w:val="center"/>
              <w:rPr>
                <w:rFonts w:eastAsia="仿宋_GB2312"/>
              </w:rPr>
            </w:pPr>
            <w:r>
              <w:rPr>
                <w:rFonts w:hint="eastAsia" w:eastAsia="仿宋_GB2312"/>
              </w:rPr>
              <w:t>23</w:t>
            </w:r>
          </w:p>
        </w:tc>
        <w:tc>
          <w:tcPr>
            <w:tcW w:w="2896" w:type="dxa"/>
            <w:noWrap/>
            <w:vAlign w:val="center"/>
          </w:tcPr>
          <w:p w14:paraId="0CA8A2E1">
            <w:pPr>
              <w:jc w:val="center"/>
              <w:rPr>
                <w:rFonts w:ascii="宋体" w:hAnsi="宋体" w:cs="宋体"/>
              </w:rPr>
            </w:pPr>
            <w:r>
              <w:rPr>
                <w:rFonts w:hint="eastAsia" w:ascii="宋体" w:hAnsi="宋体" w:cs="宋体"/>
              </w:rPr>
              <w:t>输出接口安全性</w:t>
            </w:r>
          </w:p>
        </w:tc>
        <w:tc>
          <w:tcPr>
            <w:tcW w:w="2541" w:type="dxa"/>
            <w:noWrap/>
            <w:vAlign w:val="center"/>
          </w:tcPr>
          <w:p w14:paraId="231118A7">
            <w:pPr>
              <w:jc w:val="center"/>
            </w:pPr>
            <w:r>
              <w:rPr>
                <w:rFonts w:hint="eastAsia"/>
              </w:rPr>
              <w:t>GB 42296-2022 及第1号修改单</w:t>
            </w:r>
          </w:p>
        </w:tc>
        <w:tc>
          <w:tcPr>
            <w:tcW w:w="2541" w:type="dxa"/>
            <w:noWrap/>
            <w:vAlign w:val="center"/>
          </w:tcPr>
          <w:p w14:paraId="33E422D9">
            <w:pPr>
              <w:jc w:val="center"/>
            </w:pPr>
            <w:r>
              <w:rPr>
                <w:rFonts w:hint="eastAsia"/>
              </w:rPr>
              <w:t>GB 42296-2022 及第1号修改单</w:t>
            </w:r>
          </w:p>
        </w:tc>
      </w:tr>
    </w:tbl>
    <w:p w14:paraId="5E579940">
      <w:pPr>
        <w:adjustRightInd w:val="0"/>
        <w:snapToGrid w:val="0"/>
        <w:spacing w:line="240" w:lineRule="exact"/>
        <w:ind w:firstLine="360" w:firstLineChars="200"/>
        <w:rPr>
          <w:rFonts w:ascii="仿宋" w:hAnsi="仿宋" w:eastAsia="仿宋"/>
          <w:sz w:val="18"/>
          <w:szCs w:val="18"/>
        </w:rPr>
      </w:pPr>
      <w:r>
        <w:rPr>
          <w:rFonts w:hint="eastAsia" w:ascii="仿宋" w:hAnsi="仿宋" w:eastAsia="仿宋"/>
          <w:sz w:val="18"/>
          <w:szCs w:val="18"/>
        </w:rPr>
        <w:t>注1：检验过程中如出现样品损坏导致顺序试验中后续的检验项目不能继续进行的，终止该样品的后续检验项目的检验。</w:t>
      </w:r>
    </w:p>
    <w:p w14:paraId="080D6AAB">
      <w:pPr>
        <w:adjustRightInd w:val="0"/>
        <w:snapToGrid w:val="0"/>
        <w:spacing w:line="240" w:lineRule="exact"/>
        <w:ind w:firstLine="360" w:firstLineChars="200"/>
        <w:rPr>
          <w:rFonts w:ascii="仿宋" w:hAnsi="仿宋" w:eastAsia="仿宋"/>
          <w:sz w:val="18"/>
          <w:szCs w:val="18"/>
        </w:rPr>
      </w:pPr>
      <w:r>
        <w:rPr>
          <w:rFonts w:hint="eastAsia" w:ascii="仿宋" w:hAnsi="仿宋" w:eastAsia="仿宋"/>
          <w:sz w:val="18"/>
          <w:szCs w:val="18"/>
        </w:rPr>
        <w:t>注2：“脚踏骑行能力能力”仅做鞍座水平位置。</w:t>
      </w:r>
    </w:p>
    <w:p w14:paraId="3DECC6D6">
      <w:pPr>
        <w:adjustRightInd w:val="0"/>
        <w:snapToGrid w:val="0"/>
        <w:spacing w:line="240" w:lineRule="exact"/>
        <w:ind w:firstLine="360" w:firstLineChars="200"/>
        <w:rPr>
          <w:rFonts w:ascii="宋体" w:hAnsi="宋体" w:cs="宋体"/>
          <w:color w:val="000000"/>
          <w:kern w:val="0"/>
          <w:sz w:val="24"/>
          <w:szCs w:val="24"/>
        </w:rPr>
      </w:pPr>
      <w:r>
        <w:rPr>
          <w:rFonts w:hint="eastAsia" w:ascii="仿宋" w:hAnsi="仿宋" w:eastAsia="仿宋"/>
          <w:sz w:val="18"/>
          <w:szCs w:val="18"/>
        </w:rPr>
        <w:t>注3：“蓄电池防篡改”仅做b.c.d条款。</w:t>
      </w:r>
    </w:p>
    <w:p w14:paraId="2217E02D">
      <w:pPr>
        <w:adjustRightInd w:val="0"/>
        <w:snapToGrid w:val="0"/>
        <w:spacing w:line="240" w:lineRule="exact"/>
        <w:ind w:firstLine="360" w:firstLineChars="200"/>
        <w:rPr>
          <w:rFonts w:ascii="仿宋" w:hAnsi="仿宋" w:eastAsia="仿宋"/>
          <w:sz w:val="18"/>
          <w:szCs w:val="18"/>
        </w:rPr>
      </w:pPr>
      <w:r>
        <w:rPr>
          <w:rFonts w:hint="eastAsia" w:ascii="仿宋" w:hAnsi="仿宋" w:eastAsia="仿宋"/>
          <w:sz w:val="18"/>
          <w:szCs w:val="18"/>
        </w:rPr>
        <w:t>注4：“防火性能”测试部位为主回路短路保护装置、电池组盒。</w:t>
      </w:r>
    </w:p>
    <w:p w14:paraId="543829DF">
      <w:pPr>
        <w:adjustRightInd w:val="0"/>
        <w:snapToGrid w:val="0"/>
        <w:spacing w:line="240" w:lineRule="exact"/>
        <w:ind w:firstLine="360" w:firstLineChars="200"/>
        <w:rPr>
          <w:rFonts w:ascii="仿宋" w:hAnsi="仿宋" w:eastAsia="仿宋"/>
          <w:sz w:val="18"/>
          <w:szCs w:val="18"/>
        </w:rPr>
      </w:pPr>
      <w:r>
        <w:rPr>
          <w:rFonts w:hint="eastAsia" w:ascii="仿宋" w:hAnsi="仿宋" w:eastAsia="仿宋"/>
          <w:sz w:val="18"/>
          <w:szCs w:val="18"/>
        </w:rPr>
        <w:t>注5：“输出接口安全性”仅测5.5.6～5.5.8条款。</w:t>
      </w:r>
    </w:p>
    <w:p w14:paraId="23EDB600">
      <w:pPr>
        <w:widowControl/>
        <w:adjustRightInd w:val="0"/>
        <w:snapToGrid w:val="0"/>
        <w:spacing w:line="240" w:lineRule="exact"/>
        <w:ind w:firstLine="420" w:firstLineChars="200"/>
        <w:rPr>
          <w:rFonts w:ascii="Times New Roman" w:hAnsi="Times New Roman"/>
          <w:color w:val="000000"/>
        </w:rPr>
      </w:pPr>
      <w:r>
        <w:rPr>
          <w:rFonts w:ascii="Times New Roman" w:hAnsi="Times New Roman"/>
          <w:color w:val="000000"/>
        </w:rPr>
        <w:t>执行企业标准、团体标准、地方标准的产品，检验项目参照上述内容执行。</w:t>
      </w:r>
    </w:p>
    <w:p w14:paraId="21B0A666">
      <w:pPr>
        <w:snapToGrid w:val="0"/>
        <w:spacing w:line="440" w:lineRule="exact"/>
        <w:ind w:firstLine="359" w:firstLineChars="171"/>
        <w:rPr>
          <w:color w:val="000000"/>
        </w:rPr>
      </w:pPr>
      <w:r>
        <w:rPr>
          <w:rFonts w:ascii="Times New Roman" w:hAnsi="Times New Roman"/>
          <w:color w:val="000000"/>
        </w:rPr>
        <w:t>凡是注日期的文件，其随后所有的修改单（不包括勘误的内容）或修订版不适用于本细则。凡是不注日期的文件，其最新版本适用于本细则。</w:t>
      </w:r>
    </w:p>
    <w:p w14:paraId="3C910A1F">
      <w:pPr>
        <w:snapToGrid w:val="0"/>
        <w:spacing w:line="440" w:lineRule="exact"/>
        <w:ind w:firstLine="359" w:firstLineChars="171"/>
        <w:rPr>
          <w:color w:val="000000"/>
        </w:rPr>
      </w:pPr>
      <w:r>
        <w:rPr>
          <w:rFonts w:hint="eastAsia"/>
          <w:color w:val="000000"/>
        </w:rPr>
        <w:t>复检时所检测的样品为备用样品。</w:t>
      </w:r>
    </w:p>
    <w:p w14:paraId="72AD2C75"/>
    <w:p w14:paraId="64A69017">
      <w:pPr>
        <w:adjustRightInd w:val="0"/>
        <w:snapToGrid w:val="0"/>
        <w:spacing w:line="440" w:lineRule="exact"/>
        <w:outlineLvl w:val="1"/>
        <w:rPr>
          <w:rFonts w:eastAsia="黑体" w:cs="黑体"/>
        </w:rPr>
      </w:pPr>
      <w:r>
        <w:rPr>
          <w:rFonts w:hint="eastAsia" w:eastAsia="黑体" w:cs="黑体"/>
        </w:rPr>
        <w:t>3 判定规则</w:t>
      </w:r>
    </w:p>
    <w:p w14:paraId="2B5A6C91">
      <w:pPr>
        <w:adjustRightInd w:val="0"/>
        <w:snapToGrid w:val="0"/>
        <w:spacing w:line="440" w:lineRule="exact"/>
        <w:jc w:val="left"/>
        <w:rPr>
          <w:rFonts w:ascii="Times New Roman" w:hAnsi="宋体" w:cs="Times New Roman"/>
        </w:rPr>
      </w:pPr>
      <w:r>
        <w:rPr>
          <w:rFonts w:hint="eastAsia" w:ascii="Times New Roman" w:hAnsi="宋体" w:cs="Times New Roman"/>
        </w:rPr>
        <w:t>3.1依据标准</w:t>
      </w:r>
    </w:p>
    <w:p w14:paraId="3D080220">
      <w:pPr>
        <w:autoSpaceDE w:val="0"/>
        <w:autoSpaceDN w:val="0"/>
        <w:snapToGrid w:val="0"/>
        <w:spacing w:line="440" w:lineRule="exact"/>
        <w:ind w:firstLine="420" w:firstLineChars="200"/>
        <w:jc w:val="left"/>
        <w:rPr>
          <w:rFonts w:hAnsi="宋体"/>
        </w:rPr>
      </w:pPr>
      <w:r>
        <w:rPr>
          <w:rFonts w:hint="eastAsia" w:hAnsi="宋体"/>
        </w:rPr>
        <w:t xml:space="preserve">GB </w:t>
      </w:r>
      <w:r>
        <w:rPr>
          <w:rFonts w:hAnsi="宋体"/>
        </w:rPr>
        <w:t>17761-2018</w:t>
      </w:r>
      <w:r>
        <w:rPr>
          <w:rFonts w:hint="eastAsia" w:hAnsi="宋体"/>
        </w:rPr>
        <w:t>《电动自行车安全技术规范》</w:t>
      </w:r>
    </w:p>
    <w:p w14:paraId="0426214E">
      <w:pPr>
        <w:autoSpaceDE w:val="0"/>
        <w:autoSpaceDN w:val="0"/>
        <w:snapToGrid w:val="0"/>
        <w:spacing w:line="440" w:lineRule="exact"/>
        <w:ind w:firstLine="420" w:firstLineChars="200"/>
        <w:jc w:val="left"/>
        <w:rPr>
          <w:rFonts w:hAnsi="宋体"/>
        </w:rPr>
      </w:pPr>
      <w:r>
        <w:rPr>
          <w:rFonts w:hint="eastAsia" w:hAnsi="宋体"/>
        </w:rPr>
        <w:t>GB 42295-2022《电动自行车电气安全要求》及第1号修改单</w:t>
      </w:r>
    </w:p>
    <w:p w14:paraId="7D8E202E">
      <w:pPr>
        <w:autoSpaceDE w:val="0"/>
        <w:autoSpaceDN w:val="0"/>
        <w:snapToGrid w:val="0"/>
        <w:spacing w:line="440" w:lineRule="exact"/>
        <w:ind w:firstLine="420" w:firstLineChars="200"/>
        <w:jc w:val="left"/>
        <w:rPr>
          <w:rFonts w:hAnsi="宋体"/>
        </w:rPr>
      </w:pPr>
      <w:r>
        <w:rPr>
          <w:rFonts w:hint="eastAsia" w:hAnsi="宋体"/>
        </w:rPr>
        <w:t>GB 42296-2022《电动自行车用充电器安全技术要求》及第1号修改单</w:t>
      </w:r>
    </w:p>
    <w:p w14:paraId="36CF7B53">
      <w:pPr>
        <w:autoSpaceDE w:val="0"/>
        <w:autoSpaceDN w:val="0"/>
        <w:snapToGrid w:val="0"/>
        <w:spacing w:line="440" w:lineRule="exact"/>
        <w:ind w:firstLine="420" w:firstLineChars="200"/>
        <w:jc w:val="left"/>
        <w:rPr>
          <w:rFonts w:hAnsi="宋体"/>
        </w:rPr>
      </w:pPr>
      <w:r>
        <w:rPr>
          <w:rFonts w:hAnsi="宋体"/>
        </w:rPr>
        <w:t>现行有效的企业标准、团体标准、地方标准及产品明示质量要求</w:t>
      </w:r>
    </w:p>
    <w:p w14:paraId="3E6D78A8">
      <w:pPr>
        <w:adjustRightInd w:val="0"/>
        <w:snapToGrid w:val="0"/>
        <w:spacing w:line="440" w:lineRule="exact"/>
        <w:jc w:val="left"/>
        <w:rPr>
          <w:rFonts w:hAnsi="宋体"/>
        </w:rPr>
      </w:pPr>
      <w:r>
        <w:rPr>
          <w:rFonts w:hint="eastAsia" w:hAnsi="宋体"/>
        </w:rPr>
        <w:t>3.2判定原则</w:t>
      </w:r>
    </w:p>
    <w:p w14:paraId="213B4487">
      <w:pPr>
        <w:adjustRightInd w:val="0"/>
        <w:snapToGrid w:val="0"/>
        <w:spacing w:line="440" w:lineRule="exact"/>
        <w:ind w:firstLine="420" w:firstLineChars="200"/>
        <w:rPr>
          <w:color w:val="000000"/>
        </w:rPr>
      </w:pPr>
      <w:r>
        <w:rPr>
          <w:rFonts w:hint="eastAsia"/>
          <w:color w:val="000000"/>
        </w:rPr>
        <w:t>若被检产品明示的质量要求高于本细则中检验项目依据的标准要求时，应按被检产品明示的质量要求判定。</w:t>
      </w:r>
    </w:p>
    <w:p w14:paraId="39747ADF">
      <w:pPr>
        <w:adjustRightInd w:val="0"/>
        <w:snapToGrid w:val="0"/>
        <w:spacing w:line="440" w:lineRule="exact"/>
        <w:ind w:firstLine="420" w:firstLineChars="200"/>
        <w:rPr>
          <w:color w:val="000000"/>
        </w:rPr>
      </w:pPr>
      <w:r>
        <w:rPr>
          <w:rFonts w:hint="eastAsia"/>
          <w:color w:val="000000"/>
        </w:rPr>
        <w:t>若被检产品明示的质量要求低于本细则中检验项目依据的强制性标准要求时，应按照强制性标准要求判定。</w:t>
      </w:r>
    </w:p>
    <w:p w14:paraId="33C7DC24">
      <w:pPr>
        <w:adjustRightInd w:val="0"/>
        <w:snapToGrid w:val="0"/>
        <w:spacing w:line="440" w:lineRule="exact"/>
        <w:ind w:firstLine="420" w:firstLineChars="20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14:paraId="4EAD98F9">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若被检产品明示的质量要求缺少本细则中检验项目依据的强制性标准要求时，应按照强制性标准要求判定。</w:t>
      </w:r>
    </w:p>
    <w:p w14:paraId="09AA7197">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14:paraId="23F83D05">
      <w:pPr>
        <w:adjustRightInd w:val="0"/>
        <w:snapToGrid w:val="0"/>
        <w:spacing w:line="440" w:lineRule="exact"/>
        <w:ind w:firstLine="420" w:firstLineChars="200"/>
        <w:rPr>
          <w:color w:val="000000"/>
        </w:rPr>
      </w:pPr>
    </w:p>
    <w:p w14:paraId="1A0E3B6B">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14:paraId="15022EA4">
      <w:pPr>
        <w:snapToGrid w:val="0"/>
        <w:spacing w:line="440" w:lineRule="exact"/>
        <w:ind w:firstLine="420" w:firstLineChars="20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14:paraId="54CD4F1B">
      <w:pPr>
        <w:snapToGrid w:val="0"/>
        <w:spacing w:line="440" w:lineRule="exact"/>
        <w:ind w:firstLine="420" w:firstLineChars="20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int="eastAsia" w:hAnsi="宋体"/>
        </w:rPr>
        <w:t>所检项目符合企业标准，未达到国家、行业、地方标准规定”；</w:t>
      </w:r>
    </w:p>
    <w:p w14:paraId="1266DF49">
      <w:pPr>
        <w:snapToGrid w:val="0"/>
        <w:spacing w:line="440" w:lineRule="exact"/>
        <w:ind w:firstLine="420" w:firstLineChars="20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int="eastAsia" w:hAnsi="宋体"/>
        </w:rPr>
        <w:t>判定被抽查产品为</w:t>
      </w:r>
      <w:r>
        <w:rPr>
          <w:rFonts w:hint="eastAsia"/>
          <w:color w:val="000000"/>
        </w:rPr>
        <w:t>“所检项目符合本次监督抽查要求”。</w:t>
      </w:r>
    </w:p>
    <w:p w14:paraId="05855518">
      <w:pPr>
        <w:adjustRightInd w:val="0"/>
        <w:snapToGrid w:val="0"/>
        <w:spacing w:line="440" w:lineRule="exact"/>
        <w:rPr>
          <w:rFonts w:hAnsi="宋体"/>
        </w:rPr>
      </w:pPr>
    </w:p>
    <w:p w14:paraId="48C466A4"/>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A06ABF-4376-4EA7-A493-5EF442109B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08062E8B-6336-4A68-A23B-6CB9CE61084C}"/>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3" w:fontKey="{D300784A-2E73-427C-A326-2A7052E3E154}"/>
  </w:font>
  <w:font w:name="仿宋_GB2312">
    <w:altName w:val="仿宋"/>
    <w:panose1 w:val="00000000000000000000"/>
    <w:charset w:val="86"/>
    <w:family w:val="modern"/>
    <w:pitch w:val="default"/>
    <w:sig w:usb0="00000000" w:usb1="00000000" w:usb2="00000010" w:usb3="00000000" w:csb0="00040000" w:csb1="00000000"/>
    <w:embedRegular r:id="rId4" w:fontKey="{D1976C43-73D4-4C18-9B26-21014629B5DA}"/>
  </w:font>
  <w:font w:name="仿宋">
    <w:panose1 w:val="02010609060101010101"/>
    <w:charset w:val="86"/>
    <w:family w:val="modern"/>
    <w:pitch w:val="default"/>
    <w:sig w:usb0="800002BF" w:usb1="38CF7CFA" w:usb2="00000016" w:usb3="00000000" w:csb0="00040001" w:csb1="00000000"/>
    <w:embedRegular r:id="rId5" w:fontKey="{2B35C8E2-0BAB-437D-AC9A-D7D74AD3C1A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D0E09"/>
    <w:multiLevelType w:val="multilevel"/>
    <w:tmpl w:val="20CD0E09"/>
    <w:lvl w:ilvl="0" w:tentative="0">
      <w:start w:val="1"/>
      <w:numFmt w:val="decimal"/>
      <w:pStyle w:val="61"/>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14B6843"/>
    <w:multiLevelType w:val="multilevel"/>
    <w:tmpl w:val="214B6843"/>
    <w:lvl w:ilvl="0" w:tentative="0">
      <w:start w:val="1"/>
      <w:numFmt w:val="decimal"/>
      <w:pStyle w:val="2"/>
      <w:lvlText w:val="%1"/>
      <w:lvlJc w:val="left"/>
      <w:pPr>
        <w:ind w:left="578" w:hanging="578"/>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
    <w:nsid w:val="70D15105"/>
    <w:multiLevelType w:val="multilevel"/>
    <w:tmpl w:val="70D15105"/>
    <w:lvl w:ilvl="0" w:tentative="0">
      <w:start w:val="1"/>
      <w:numFmt w:val="bullet"/>
      <w:pStyle w:val="5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hyphenationZone w:val="425"/>
  <w:characterSpacingControl w:val="doNotCompress"/>
  <w:compat>
    <w:useFELayout/>
    <w:compatSetting w:name="compatibilityMode" w:uri="http://schemas.microsoft.com/office/word" w:val="12"/>
  </w:compat>
  <w:rsids>
    <w:rsidRoot w:val="00E778FE"/>
    <w:rsid w:val="0001524D"/>
    <w:rsid w:val="0003311D"/>
    <w:rsid w:val="00051572"/>
    <w:rsid w:val="000551F0"/>
    <w:rsid w:val="000723E1"/>
    <w:rsid w:val="000732FD"/>
    <w:rsid w:val="000A394A"/>
    <w:rsid w:val="000A7B13"/>
    <w:rsid w:val="000B032A"/>
    <w:rsid w:val="000B0FED"/>
    <w:rsid w:val="000B50AA"/>
    <w:rsid w:val="000B5B1E"/>
    <w:rsid w:val="000B5F22"/>
    <w:rsid w:val="000C45DC"/>
    <w:rsid w:val="000E5BAF"/>
    <w:rsid w:val="000F7F91"/>
    <w:rsid w:val="001000FA"/>
    <w:rsid w:val="001130C7"/>
    <w:rsid w:val="001163C2"/>
    <w:rsid w:val="00124F98"/>
    <w:rsid w:val="00135974"/>
    <w:rsid w:val="00155265"/>
    <w:rsid w:val="00164EAB"/>
    <w:rsid w:val="0017011F"/>
    <w:rsid w:val="00175800"/>
    <w:rsid w:val="001B03D9"/>
    <w:rsid w:val="001B189F"/>
    <w:rsid w:val="001B6633"/>
    <w:rsid w:val="001B702B"/>
    <w:rsid w:val="001C685E"/>
    <w:rsid w:val="001D0B06"/>
    <w:rsid w:val="001D49ED"/>
    <w:rsid w:val="001E3D3B"/>
    <w:rsid w:val="00205687"/>
    <w:rsid w:val="00206087"/>
    <w:rsid w:val="00216EC5"/>
    <w:rsid w:val="00221558"/>
    <w:rsid w:val="00223E52"/>
    <w:rsid w:val="00226ED0"/>
    <w:rsid w:val="00233BF0"/>
    <w:rsid w:val="00237DAE"/>
    <w:rsid w:val="00241F99"/>
    <w:rsid w:val="00242237"/>
    <w:rsid w:val="00256A14"/>
    <w:rsid w:val="00274058"/>
    <w:rsid w:val="002874F5"/>
    <w:rsid w:val="00291BE2"/>
    <w:rsid w:val="002C2F8E"/>
    <w:rsid w:val="002D1FDC"/>
    <w:rsid w:val="002D6D5B"/>
    <w:rsid w:val="002E0A86"/>
    <w:rsid w:val="00303C88"/>
    <w:rsid w:val="00307AF3"/>
    <w:rsid w:val="003108BB"/>
    <w:rsid w:val="0032700C"/>
    <w:rsid w:val="0033744B"/>
    <w:rsid w:val="00347880"/>
    <w:rsid w:val="00356A35"/>
    <w:rsid w:val="00382DD3"/>
    <w:rsid w:val="003870CE"/>
    <w:rsid w:val="00390DBD"/>
    <w:rsid w:val="00396417"/>
    <w:rsid w:val="003C6824"/>
    <w:rsid w:val="003D383C"/>
    <w:rsid w:val="003E236B"/>
    <w:rsid w:val="003E4636"/>
    <w:rsid w:val="003F1603"/>
    <w:rsid w:val="003F5070"/>
    <w:rsid w:val="004107E1"/>
    <w:rsid w:val="004131DE"/>
    <w:rsid w:val="00420C93"/>
    <w:rsid w:val="00437072"/>
    <w:rsid w:val="00437399"/>
    <w:rsid w:val="004449B6"/>
    <w:rsid w:val="00491008"/>
    <w:rsid w:val="004A7626"/>
    <w:rsid w:val="004C40AF"/>
    <w:rsid w:val="004D4292"/>
    <w:rsid w:val="004F14A2"/>
    <w:rsid w:val="004F3FE1"/>
    <w:rsid w:val="00500259"/>
    <w:rsid w:val="00520378"/>
    <w:rsid w:val="00523446"/>
    <w:rsid w:val="00544B19"/>
    <w:rsid w:val="005666AB"/>
    <w:rsid w:val="00567FE1"/>
    <w:rsid w:val="00574980"/>
    <w:rsid w:val="0059162E"/>
    <w:rsid w:val="005958A2"/>
    <w:rsid w:val="005958FB"/>
    <w:rsid w:val="005A0FF8"/>
    <w:rsid w:val="005A60A7"/>
    <w:rsid w:val="005B0BB7"/>
    <w:rsid w:val="005C105C"/>
    <w:rsid w:val="005C5B5D"/>
    <w:rsid w:val="005C6756"/>
    <w:rsid w:val="005D50D1"/>
    <w:rsid w:val="005D5706"/>
    <w:rsid w:val="005F067D"/>
    <w:rsid w:val="005F0704"/>
    <w:rsid w:val="00607EA5"/>
    <w:rsid w:val="006319E2"/>
    <w:rsid w:val="006638DF"/>
    <w:rsid w:val="00671B99"/>
    <w:rsid w:val="00675BF6"/>
    <w:rsid w:val="00677767"/>
    <w:rsid w:val="006B382B"/>
    <w:rsid w:val="006B5D43"/>
    <w:rsid w:val="006E20EC"/>
    <w:rsid w:val="006F08C7"/>
    <w:rsid w:val="006F0E5A"/>
    <w:rsid w:val="00700C3D"/>
    <w:rsid w:val="0070711A"/>
    <w:rsid w:val="00722DC1"/>
    <w:rsid w:val="00727447"/>
    <w:rsid w:val="00742BA6"/>
    <w:rsid w:val="00753525"/>
    <w:rsid w:val="007608F3"/>
    <w:rsid w:val="00761864"/>
    <w:rsid w:val="0077504F"/>
    <w:rsid w:val="00781BFD"/>
    <w:rsid w:val="00784215"/>
    <w:rsid w:val="00796B72"/>
    <w:rsid w:val="007A2EB1"/>
    <w:rsid w:val="007A5782"/>
    <w:rsid w:val="007B3297"/>
    <w:rsid w:val="007B4857"/>
    <w:rsid w:val="007B6F35"/>
    <w:rsid w:val="007D4FB0"/>
    <w:rsid w:val="007D5879"/>
    <w:rsid w:val="007D5C5A"/>
    <w:rsid w:val="007E35A4"/>
    <w:rsid w:val="0080429B"/>
    <w:rsid w:val="0081368A"/>
    <w:rsid w:val="00820DE8"/>
    <w:rsid w:val="0082528E"/>
    <w:rsid w:val="00826401"/>
    <w:rsid w:val="00837F04"/>
    <w:rsid w:val="00863123"/>
    <w:rsid w:val="008722C9"/>
    <w:rsid w:val="008822D1"/>
    <w:rsid w:val="00883640"/>
    <w:rsid w:val="00893EB6"/>
    <w:rsid w:val="008A154B"/>
    <w:rsid w:val="008A4C9E"/>
    <w:rsid w:val="008D0EB8"/>
    <w:rsid w:val="008D1150"/>
    <w:rsid w:val="008E7EF6"/>
    <w:rsid w:val="008F009A"/>
    <w:rsid w:val="009054FC"/>
    <w:rsid w:val="00906082"/>
    <w:rsid w:val="009157DF"/>
    <w:rsid w:val="00917681"/>
    <w:rsid w:val="00934D61"/>
    <w:rsid w:val="00944878"/>
    <w:rsid w:val="00947615"/>
    <w:rsid w:val="009772B3"/>
    <w:rsid w:val="00981971"/>
    <w:rsid w:val="00986573"/>
    <w:rsid w:val="00987E28"/>
    <w:rsid w:val="009A6D8E"/>
    <w:rsid w:val="009A75A5"/>
    <w:rsid w:val="009B2ACF"/>
    <w:rsid w:val="009B4E71"/>
    <w:rsid w:val="009C49B5"/>
    <w:rsid w:val="009C6EDF"/>
    <w:rsid w:val="009D2393"/>
    <w:rsid w:val="009D3951"/>
    <w:rsid w:val="009E5DC0"/>
    <w:rsid w:val="009E6DE7"/>
    <w:rsid w:val="009F386F"/>
    <w:rsid w:val="00A154BE"/>
    <w:rsid w:val="00A16267"/>
    <w:rsid w:val="00A203B4"/>
    <w:rsid w:val="00A252D0"/>
    <w:rsid w:val="00A25AE2"/>
    <w:rsid w:val="00A402D9"/>
    <w:rsid w:val="00A43B7D"/>
    <w:rsid w:val="00A56416"/>
    <w:rsid w:val="00AB684D"/>
    <w:rsid w:val="00AD64C9"/>
    <w:rsid w:val="00AE5B9A"/>
    <w:rsid w:val="00AE71BA"/>
    <w:rsid w:val="00B05D00"/>
    <w:rsid w:val="00B13235"/>
    <w:rsid w:val="00B201E3"/>
    <w:rsid w:val="00B208C7"/>
    <w:rsid w:val="00B36452"/>
    <w:rsid w:val="00B403C5"/>
    <w:rsid w:val="00B40C4D"/>
    <w:rsid w:val="00B468B7"/>
    <w:rsid w:val="00B4696C"/>
    <w:rsid w:val="00B60A2C"/>
    <w:rsid w:val="00B81FD7"/>
    <w:rsid w:val="00B865E8"/>
    <w:rsid w:val="00B903C3"/>
    <w:rsid w:val="00BB5FC9"/>
    <w:rsid w:val="00BE21A1"/>
    <w:rsid w:val="00BF49E4"/>
    <w:rsid w:val="00C03978"/>
    <w:rsid w:val="00C101E4"/>
    <w:rsid w:val="00C174A5"/>
    <w:rsid w:val="00C17C10"/>
    <w:rsid w:val="00C26065"/>
    <w:rsid w:val="00C53174"/>
    <w:rsid w:val="00C54A56"/>
    <w:rsid w:val="00C57D61"/>
    <w:rsid w:val="00C72CF6"/>
    <w:rsid w:val="00C774F1"/>
    <w:rsid w:val="00C8150C"/>
    <w:rsid w:val="00C91D6E"/>
    <w:rsid w:val="00CB67F2"/>
    <w:rsid w:val="00CD1ED8"/>
    <w:rsid w:val="00CE4A84"/>
    <w:rsid w:val="00CE72B0"/>
    <w:rsid w:val="00CF0145"/>
    <w:rsid w:val="00CF0D56"/>
    <w:rsid w:val="00CF457F"/>
    <w:rsid w:val="00D018F3"/>
    <w:rsid w:val="00D14A10"/>
    <w:rsid w:val="00D2744C"/>
    <w:rsid w:val="00D46E54"/>
    <w:rsid w:val="00D572EA"/>
    <w:rsid w:val="00D81DCA"/>
    <w:rsid w:val="00D87D88"/>
    <w:rsid w:val="00DA7C89"/>
    <w:rsid w:val="00DB343A"/>
    <w:rsid w:val="00DC553D"/>
    <w:rsid w:val="00DE1F2C"/>
    <w:rsid w:val="00DF4307"/>
    <w:rsid w:val="00E00C8B"/>
    <w:rsid w:val="00E14A99"/>
    <w:rsid w:val="00E225A4"/>
    <w:rsid w:val="00E269F5"/>
    <w:rsid w:val="00E31893"/>
    <w:rsid w:val="00E46A0C"/>
    <w:rsid w:val="00E65166"/>
    <w:rsid w:val="00E778FE"/>
    <w:rsid w:val="00E77D4B"/>
    <w:rsid w:val="00E82E31"/>
    <w:rsid w:val="00EA5B9F"/>
    <w:rsid w:val="00EA6E03"/>
    <w:rsid w:val="00EB7065"/>
    <w:rsid w:val="00ED0730"/>
    <w:rsid w:val="00ED3B66"/>
    <w:rsid w:val="00ED5C3A"/>
    <w:rsid w:val="00ED6AAB"/>
    <w:rsid w:val="00EE35CB"/>
    <w:rsid w:val="00F04B2F"/>
    <w:rsid w:val="00F14FF5"/>
    <w:rsid w:val="00F30A01"/>
    <w:rsid w:val="00F57112"/>
    <w:rsid w:val="00F73806"/>
    <w:rsid w:val="00F75313"/>
    <w:rsid w:val="00F75EA8"/>
    <w:rsid w:val="00F93CA7"/>
    <w:rsid w:val="00FA32C1"/>
    <w:rsid w:val="00FA5983"/>
    <w:rsid w:val="00FA5B27"/>
    <w:rsid w:val="00FC2961"/>
    <w:rsid w:val="00FC71F7"/>
    <w:rsid w:val="04785179"/>
    <w:rsid w:val="3C0347C0"/>
    <w:rsid w:val="5E165E7B"/>
    <w:rsid w:val="6A9634A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name="macro"/>
    <w:lsdException w:uiPriority="0" w:name="toa heading"/>
    <w:lsdException w:uiPriority="99"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qFormat="1" w:unhideWhenUsed="0" w:uiPriority="0" w:semiHidden="0" w:name="Table Classic 3"/>
    <w:lsdException w:uiPriority="0" w:name="Table Classic 4"/>
    <w:lsdException w:qFormat="1" w:unhideWhenUsed="0" w:uiPriority="0" w:semiHidden="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qFormat="1" w:unhideWhenUsed="0" w:uiPriority="0" w:semiHidden="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3"/>
    <w:qFormat/>
    <w:uiPriority w:val="9"/>
    <w:pPr>
      <w:keepNext/>
      <w:numPr>
        <w:ilvl w:val="0"/>
        <w:numId w:val="1"/>
      </w:numPr>
      <w:spacing w:before="360" w:after="120"/>
      <w:outlineLvl w:val="0"/>
    </w:pPr>
    <w:rPr>
      <w:rFonts w:cs="Arial" w:eastAsiaTheme="minorHAnsi"/>
      <w:b/>
      <w:caps/>
      <w:color w:val="FF6600"/>
      <w:spacing w:val="20"/>
    </w:rPr>
  </w:style>
  <w:style w:type="paragraph" w:styleId="3">
    <w:name w:val="heading 2"/>
    <w:basedOn w:val="1"/>
    <w:next w:val="1"/>
    <w:link w:val="34"/>
    <w:qFormat/>
    <w:uiPriority w:val="9"/>
    <w:pPr>
      <w:numPr>
        <w:ilvl w:val="1"/>
        <w:numId w:val="1"/>
      </w:numPr>
      <w:pBdr>
        <w:bottom w:val="single" w:color="FF6600" w:sz="4" w:space="1"/>
      </w:pBdr>
      <w:spacing w:before="240"/>
      <w:outlineLvl w:val="1"/>
    </w:pPr>
    <w:rPr>
      <w:rFonts w:cs="Arial" w:eastAsiaTheme="minorHAnsi"/>
      <w:b/>
      <w:iCs/>
      <w:smallCaps/>
      <w:color w:val="363636"/>
      <w:spacing w:val="15"/>
      <w:kern w:val="32"/>
      <w:sz w:val="22"/>
    </w:rPr>
  </w:style>
  <w:style w:type="paragraph" w:styleId="4">
    <w:name w:val="heading 3"/>
    <w:basedOn w:val="1"/>
    <w:next w:val="1"/>
    <w:link w:val="35"/>
    <w:qFormat/>
    <w:uiPriority w:val="9"/>
    <w:pPr>
      <w:keepNext/>
      <w:numPr>
        <w:ilvl w:val="2"/>
        <w:numId w:val="1"/>
      </w:numPr>
      <w:spacing w:before="240" w:after="60"/>
      <w:outlineLvl w:val="2"/>
    </w:pPr>
    <w:rPr>
      <w:rFonts w:cs="Arial"/>
      <w:b/>
      <w:bCs/>
      <w:smallCaps/>
      <w:color w:val="FF6600"/>
    </w:rPr>
  </w:style>
  <w:style w:type="paragraph" w:styleId="5">
    <w:name w:val="heading 4"/>
    <w:basedOn w:val="1"/>
    <w:next w:val="1"/>
    <w:link w:val="36"/>
    <w:qFormat/>
    <w:uiPriority w:val="9"/>
    <w:pPr>
      <w:keepNext/>
      <w:numPr>
        <w:ilvl w:val="3"/>
        <w:numId w:val="1"/>
      </w:numPr>
      <w:outlineLvl w:val="3"/>
    </w:pPr>
    <w:rPr>
      <w:rFonts w:eastAsiaTheme="majorEastAsia" w:cstheme="majorBidi"/>
      <w:bCs/>
      <w:sz w:val="18"/>
      <w:szCs w:val="28"/>
      <w:lang w:eastAsia="en-US" w:bidi="en-US"/>
    </w:rPr>
  </w:style>
  <w:style w:type="paragraph" w:styleId="6">
    <w:name w:val="heading 5"/>
    <w:basedOn w:val="1"/>
    <w:next w:val="1"/>
    <w:link w:val="37"/>
    <w:qFormat/>
    <w:uiPriority w:val="9"/>
    <w:pPr>
      <w:keepNext/>
      <w:keepLines/>
      <w:numPr>
        <w:ilvl w:val="4"/>
        <w:numId w:val="1"/>
      </w:numPr>
      <w:outlineLvl w:val="4"/>
    </w:pPr>
    <w:rPr>
      <w:sz w:val="18"/>
      <w:szCs w:val="22"/>
    </w:rPr>
  </w:style>
  <w:style w:type="paragraph" w:styleId="7">
    <w:name w:val="heading 6"/>
    <w:basedOn w:val="1"/>
    <w:next w:val="1"/>
    <w:link w:val="38"/>
    <w:qFormat/>
    <w:uiPriority w:val="9"/>
    <w:pPr>
      <w:numPr>
        <w:ilvl w:val="5"/>
        <w:numId w:val="1"/>
      </w:numPr>
      <w:spacing w:before="240" w:after="60"/>
      <w:outlineLvl w:val="5"/>
    </w:pPr>
    <w:rPr>
      <w:bCs/>
      <w:sz w:val="18"/>
    </w:rPr>
  </w:style>
  <w:style w:type="paragraph" w:styleId="8">
    <w:name w:val="heading 7"/>
    <w:basedOn w:val="1"/>
    <w:next w:val="1"/>
    <w:link w:val="39"/>
    <w:qFormat/>
    <w:uiPriority w:val="9"/>
    <w:pPr>
      <w:numPr>
        <w:ilvl w:val="6"/>
        <w:numId w:val="1"/>
      </w:numPr>
      <w:spacing w:before="240" w:after="60"/>
      <w:outlineLvl w:val="6"/>
    </w:pPr>
    <w:rPr>
      <w:sz w:val="18"/>
    </w:rPr>
  </w:style>
  <w:style w:type="paragraph" w:styleId="9">
    <w:name w:val="heading 8"/>
    <w:basedOn w:val="1"/>
    <w:next w:val="1"/>
    <w:link w:val="40"/>
    <w:qFormat/>
    <w:uiPriority w:val="9"/>
    <w:pPr>
      <w:numPr>
        <w:ilvl w:val="7"/>
        <w:numId w:val="1"/>
      </w:numPr>
      <w:spacing w:before="240" w:after="60"/>
      <w:outlineLvl w:val="7"/>
    </w:pPr>
    <w:rPr>
      <w:iCs/>
      <w:sz w:val="18"/>
    </w:rPr>
  </w:style>
  <w:style w:type="paragraph" w:styleId="10">
    <w:name w:val="heading 9"/>
    <w:basedOn w:val="1"/>
    <w:next w:val="1"/>
    <w:link w:val="41"/>
    <w:qFormat/>
    <w:uiPriority w:val="9"/>
    <w:pPr>
      <w:numPr>
        <w:ilvl w:val="8"/>
        <w:numId w:val="1"/>
      </w:numPr>
      <w:spacing w:before="240" w:after="60"/>
      <w:outlineLvl w:val="8"/>
    </w:pPr>
    <w:rPr>
      <w:sz w:val="18"/>
    </w:rPr>
  </w:style>
  <w:style w:type="character" w:default="1" w:styleId="27">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70"/>
    <w:unhideWhenUsed/>
    <w:qFormat/>
    <w:uiPriority w:val="0"/>
    <w:pPr>
      <w:jc w:val="left"/>
    </w:pPr>
  </w:style>
  <w:style w:type="paragraph" w:styleId="12">
    <w:name w:val="toc 3"/>
    <w:basedOn w:val="1"/>
    <w:next w:val="1"/>
    <w:autoRedefine/>
    <w:qFormat/>
    <w:uiPriority w:val="39"/>
    <w:pPr>
      <w:keepNext/>
      <w:keepLines/>
      <w:tabs>
        <w:tab w:val="left" w:pos="1418"/>
        <w:tab w:val="right" w:leader="dot" w:pos="9072"/>
      </w:tabs>
      <w:ind w:left="1418" w:hanging="567"/>
    </w:pPr>
    <w:rPr>
      <w:rFonts w:eastAsiaTheme="majorEastAsia" w:cstheme="majorBidi"/>
      <w:sz w:val="18"/>
      <w:szCs w:val="22"/>
      <w:lang w:eastAsia="en-US" w:bidi="en-US"/>
    </w:rPr>
  </w:style>
  <w:style w:type="paragraph" w:styleId="13">
    <w:name w:val="Balloon Text"/>
    <w:basedOn w:val="1"/>
    <w:link w:val="68"/>
    <w:semiHidden/>
    <w:qFormat/>
    <w:uiPriority w:val="0"/>
    <w:rPr>
      <w:rFonts w:cs="Tahoma"/>
      <w:sz w:val="16"/>
      <w:szCs w:val="16"/>
    </w:rPr>
  </w:style>
  <w:style w:type="paragraph" w:styleId="14">
    <w:name w:val="footer"/>
    <w:basedOn w:val="1"/>
    <w:link w:val="42"/>
    <w:qFormat/>
    <w:uiPriority w:val="99"/>
    <w:pPr>
      <w:tabs>
        <w:tab w:val="center" w:pos="4513"/>
        <w:tab w:val="right" w:pos="9026"/>
      </w:tabs>
    </w:pPr>
    <w:rPr>
      <w:rFonts w:eastAsiaTheme="majorEastAsia" w:cstheme="majorBidi"/>
      <w:sz w:val="16"/>
      <w:szCs w:val="20"/>
      <w:lang w:eastAsia="en-US" w:bidi="en-US"/>
    </w:rPr>
  </w:style>
  <w:style w:type="paragraph" w:styleId="15">
    <w:name w:val="header"/>
    <w:basedOn w:val="1"/>
    <w:link w:val="66"/>
    <w:autoRedefine/>
    <w:qFormat/>
    <w:uiPriority w:val="99"/>
    <w:pPr>
      <w:tabs>
        <w:tab w:val="center" w:pos="4536"/>
        <w:tab w:val="right" w:pos="9072"/>
      </w:tabs>
    </w:pPr>
  </w:style>
  <w:style w:type="paragraph" w:styleId="16">
    <w:name w:val="toc 1"/>
    <w:basedOn w:val="1"/>
    <w:next w:val="1"/>
    <w:autoRedefine/>
    <w:qFormat/>
    <w:uiPriority w:val="39"/>
    <w:pPr>
      <w:keepNext/>
      <w:keepLines/>
      <w:pBdr>
        <w:left w:val="single" w:color="FF6600" w:sz="48" w:space="4"/>
      </w:pBdr>
      <w:shd w:val="clear" w:color="auto" w:fill="363636"/>
      <w:tabs>
        <w:tab w:val="left" w:pos="426"/>
        <w:tab w:val="right" w:leader="dot" w:pos="9072"/>
      </w:tabs>
    </w:pPr>
    <w:rPr>
      <w:rFonts w:eastAsiaTheme="majorEastAsia" w:cstheme="majorBidi"/>
      <w:b/>
      <w:caps/>
      <w:color w:val="FFFFFF" w:themeColor="background1"/>
      <w:sz w:val="18"/>
      <w:szCs w:val="20"/>
      <w:lang w:eastAsia="en-US" w:bidi="en-US"/>
    </w:rPr>
  </w:style>
  <w:style w:type="paragraph" w:styleId="17">
    <w:name w:val="Subtitle"/>
    <w:basedOn w:val="1"/>
    <w:next w:val="1"/>
    <w:link w:val="44"/>
    <w:qFormat/>
    <w:uiPriority w:val="11"/>
    <w:pPr>
      <w:spacing w:after="60"/>
      <w:jc w:val="center"/>
      <w:outlineLvl w:val="1"/>
    </w:pPr>
    <w:rPr>
      <w:rFonts w:eastAsiaTheme="majorEastAsia" w:cstheme="majorBidi"/>
      <w:szCs w:val="20"/>
      <w:lang w:eastAsia="en-US" w:bidi="en-US"/>
    </w:rPr>
  </w:style>
  <w:style w:type="paragraph" w:styleId="18">
    <w:name w:val="toc 2"/>
    <w:basedOn w:val="1"/>
    <w:next w:val="1"/>
    <w:autoRedefine/>
    <w:qFormat/>
    <w:uiPriority w:val="39"/>
    <w:pPr>
      <w:keepNext/>
      <w:keepLines/>
      <w:tabs>
        <w:tab w:val="left" w:pos="880"/>
        <w:tab w:val="right" w:leader="dot" w:pos="9072"/>
      </w:tabs>
    </w:pPr>
    <w:rPr>
      <w:rFonts w:eastAsiaTheme="majorEastAsia" w:cstheme="majorBidi"/>
      <w:smallCaps/>
      <w:sz w:val="18"/>
      <w:szCs w:val="18"/>
      <w:lang w:eastAsia="en-US" w:bidi="en-US"/>
    </w:rPr>
  </w:style>
  <w:style w:type="paragraph" w:styleId="19">
    <w:name w:val="Title"/>
    <w:basedOn w:val="1"/>
    <w:next w:val="1"/>
    <w:link w:val="43"/>
    <w:qFormat/>
    <w:uiPriority w:val="10"/>
    <w:pPr>
      <w:spacing w:before="240" w:after="60"/>
      <w:jc w:val="center"/>
      <w:outlineLvl w:val="0"/>
    </w:pPr>
    <w:rPr>
      <w:rFonts w:eastAsiaTheme="majorEastAsia" w:cstheme="majorBidi"/>
      <w:b/>
      <w:bCs/>
      <w:kern w:val="28"/>
      <w:szCs w:val="32"/>
      <w:u w:val="single"/>
      <w:lang w:eastAsia="en-US" w:bidi="en-US"/>
    </w:rPr>
  </w:style>
  <w:style w:type="paragraph" w:styleId="20">
    <w:name w:val="annotation subject"/>
    <w:basedOn w:val="11"/>
    <w:next w:val="11"/>
    <w:link w:val="71"/>
    <w:semiHidden/>
    <w:unhideWhenUsed/>
    <w:qFormat/>
    <w:uiPriority w:val="0"/>
    <w:rPr>
      <w:b/>
      <w:bCs/>
    </w:rPr>
  </w:style>
  <w:style w:type="table" w:styleId="22">
    <w:name w:val="Table Grid"/>
    <w:basedOn w:val="2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tblStylePr w:type="firstRow">
      <w:pPr>
        <w:jc w:val="left"/>
      </w:pPr>
      <w:rPr>
        <w:color w:val="FF6600"/>
      </w:rPr>
      <w:tcPr>
        <w:tcBorders>
          <w:bottom w:val="single" w:color="363636" w:sz="12" w:space="0"/>
        </w:tcBorders>
      </w:tcPr>
    </w:tblStylePr>
  </w:style>
  <w:style w:type="table" w:styleId="23">
    <w:name w:val="Table Colorful 1"/>
    <w:basedOn w:val="21"/>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Pr/>
    </w:tblStylePr>
  </w:style>
  <w:style w:type="table" w:styleId="24">
    <w:name w:val="Table Classic 2"/>
    <w:basedOn w:val="21"/>
    <w:qFormat/>
    <w:uiPriority w:val="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shd w:val="clear" w:color="auto" w:fill="363636"/>
      </w:tcPr>
    </w:tblStylePr>
    <w:tblStylePr w:type="swCell">
      <w:rPr>
        <w:color w:val="auto"/>
      </w:rPr>
      <w:tblPr/>
      <w:tcPr>
        <w:tcBorders>
          <w:tl2br w:val="nil"/>
          <w:tr2bl w:val="nil"/>
        </w:tcBorders>
      </w:tcPr>
    </w:tblStylePr>
  </w:style>
  <w:style w:type="table" w:styleId="25">
    <w:name w:val="Table Classic 3"/>
    <w:basedOn w:val="21"/>
    <w:qFormat/>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6">
    <w:name w:val="Table List 8"/>
    <w:basedOn w:val="21"/>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shd w:val="clear" w:color="auto" w:fill="BCBCBC"/>
      </w:tcPr>
    </w:tblStylePr>
    <w:tblStylePr w:type="band2Horz">
      <w:tblPr/>
      <w:tcPr>
        <w:shd w:val="clear" w:color="auto" w:fill="363636"/>
      </w:tcPr>
    </w:tblStylePr>
    <w:tblStylePr w:type="nwCell">
      <w:tblPr/>
      <w:tcPr>
        <w:tcBorders>
          <w:tl2br w:val="single" w:color="auto" w:sz="6" w:space="0"/>
          <w:tr2bl w:val="nil"/>
        </w:tcBorders>
      </w:tcPr>
    </w:tblStylePr>
  </w:style>
  <w:style w:type="character" w:styleId="28">
    <w:name w:val="Strong"/>
    <w:basedOn w:val="27"/>
    <w:qFormat/>
    <w:uiPriority w:val="22"/>
    <w:rPr>
      <w:b/>
      <w:bCs/>
    </w:rPr>
  </w:style>
  <w:style w:type="character" w:styleId="29">
    <w:name w:val="FollowedHyperlink"/>
    <w:basedOn w:val="27"/>
    <w:qFormat/>
    <w:uiPriority w:val="99"/>
    <w:rPr>
      <w:rFonts w:ascii="Arial" w:hAnsi="Arial"/>
      <w:i/>
      <w:color w:val="363636"/>
      <w:sz w:val="20"/>
      <w:u w:val="single"/>
    </w:rPr>
  </w:style>
  <w:style w:type="character" w:styleId="30">
    <w:name w:val="Emphasis"/>
    <w:basedOn w:val="27"/>
    <w:qFormat/>
    <w:uiPriority w:val="20"/>
    <w:rPr>
      <w:rFonts w:asciiTheme="minorHAnsi" w:hAnsiTheme="minorHAnsi"/>
      <w:b/>
      <w:i/>
      <w:iCs/>
    </w:rPr>
  </w:style>
  <w:style w:type="character" w:styleId="31">
    <w:name w:val="Hyperlink"/>
    <w:basedOn w:val="27"/>
    <w:qFormat/>
    <w:uiPriority w:val="99"/>
    <w:rPr>
      <w:rFonts w:ascii="Arial" w:hAnsi="Arial"/>
      <w:color w:val="FF6600"/>
      <w:sz w:val="20"/>
      <w:u w:val="single"/>
    </w:rPr>
  </w:style>
  <w:style w:type="character" w:styleId="32">
    <w:name w:val="annotation reference"/>
    <w:basedOn w:val="27"/>
    <w:semiHidden/>
    <w:unhideWhenUsed/>
    <w:qFormat/>
    <w:uiPriority w:val="0"/>
    <w:rPr>
      <w:sz w:val="21"/>
      <w:szCs w:val="21"/>
    </w:rPr>
  </w:style>
  <w:style w:type="character" w:customStyle="1" w:styleId="33">
    <w:name w:val="标题 1 Char"/>
    <w:basedOn w:val="27"/>
    <w:link w:val="2"/>
    <w:qFormat/>
    <w:uiPriority w:val="9"/>
    <w:rPr>
      <w:rFonts w:cs="Arial" w:eastAsiaTheme="minorHAnsi"/>
      <w:b/>
      <w:caps/>
      <w:color w:val="FF6600"/>
      <w:spacing w:val="20"/>
      <w:szCs w:val="24"/>
      <w:lang w:eastAsia="fr-FR"/>
    </w:rPr>
  </w:style>
  <w:style w:type="character" w:customStyle="1" w:styleId="34">
    <w:name w:val="标题 2 Char"/>
    <w:basedOn w:val="27"/>
    <w:link w:val="3"/>
    <w:qFormat/>
    <w:uiPriority w:val="9"/>
    <w:rPr>
      <w:rFonts w:cs="Arial" w:eastAsiaTheme="minorHAnsi"/>
      <w:b/>
      <w:iCs/>
      <w:smallCaps/>
      <w:color w:val="363636"/>
      <w:spacing w:val="15"/>
      <w:kern w:val="32"/>
      <w:sz w:val="22"/>
      <w:szCs w:val="24"/>
      <w:lang w:eastAsia="fr-FR"/>
    </w:rPr>
  </w:style>
  <w:style w:type="character" w:customStyle="1" w:styleId="35">
    <w:name w:val="标题 3 Char"/>
    <w:basedOn w:val="27"/>
    <w:link w:val="4"/>
    <w:qFormat/>
    <w:uiPriority w:val="9"/>
    <w:rPr>
      <w:rFonts w:cs="Arial"/>
      <w:b/>
      <w:bCs/>
      <w:smallCaps/>
      <w:color w:val="FF6600"/>
      <w:szCs w:val="24"/>
      <w:lang w:eastAsia="fr-FR"/>
    </w:rPr>
  </w:style>
  <w:style w:type="character" w:customStyle="1" w:styleId="36">
    <w:name w:val="标题 4 Char"/>
    <w:basedOn w:val="27"/>
    <w:link w:val="5"/>
    <w:qFormat/>
    <w:uiPriority w:val="9"/>
    <w:rPr>
      <w:rFonts w:eastAsiaTheme="majorEastAsia"/>
      <w:bCs/>
      <w:sz w:val="18"/>
      <w:szCs w:val="28"/>
      <w:lang w:bidi="en-US"/>
    </w:rPr>
  </w:style>
  <w:style w:type="character" w:customStyle="1" w:styleId="37">
    <w:name w:val="标题 5 Char"/>
    <w:basedOn w:val="27"/>
    <w:link w:val="6"/>
    <w:qFormat/>
    <w:uiPriority w:val="9"/>
    <w:rPr>
      <w:rFonts w:cs="Times New Roman"/>
      <w:sz w:val="18"/>
      <w:szCs w:val="22"/>
      <w:lang w:eastAsia="fr-FR"/>
    </w:rPr>
  </w:style>
  <w:style w:type="character" w:customStyle="1" w:styleId="38">
    <w:name w:val="标题 6 Char"/>
    <w:basedOn w:val="27"/>
    <w:link w:val="7"/>
    <w:qFormat/>
    <w:uiPriority w:val="9"/>
    <w:rPr>
      <w:rFonts w:cs="Times New Roman"/>
      <w:bCs/>
      <w:sz w:val="18"/>
      <w:szCs w:val="24"/>
      <w:lang w:eastAsia="fr-FR"/>
    </w:rPr>
  </w:style>
  <w:style w:type="character" w:customStyle="1" w:styleId="39">
    <w:name w:val="标题 7 Char"/>
    <w:basedOn w:val="27"/>
    <w:link w:val="8"/>
    <w:qFormat/>
    <w:uiPriority w:val="9"/>
    <w:rPr>
      <w:rFonts w:cs="Times New Roman"/>
      <w:sz w:val="18"/>
      <w:szCs w:val="24"/>
      <w:lang w:eastAsia="fr-FR"/>
    </w:rPr>
  </w:style>
  <w:style w:type="character" w:customStyle="1" w:styleId="40">
    <w:name w:val="标题 8 Char"/>
    <w:basedOn w:val="27"/>
    <w:link w:val="9"/>
    <w:qFormat/>
    <w:uiPriority w:val="9"/>
    <w:rPr>
      <w:rFonts w:cs="Times New Roman"/>
      <w:iCs/>
      <w:sz w:val="18"/>
      <w:szCs w:val="24"/>
      <w:lang w:eastAsia="fr-FR"/>
    </w:rPr>
  </w:style>
  <w:style w:type="character" w:customStyle="1" w:styleId="41">
    <w:name w:val="标题 9 Char"/>
    <w:basedOn w:val="27"/>
    <w:link w:val="10"/>
    <w:qFormat/>
    <w:uiPriority w:val="9"/>
    <w:rPr>
      <w:rFonts w:cs="Times New Roman"/>
      <w:sz w:val="18"/>
      <w:szCs w:val="24"/>
      <w:lang w:eastAsia="fr-FR"/>
    </w:rPr>
  </w:style>
  <w:style w:type="character" w:customStyle="1" w:styleId="42">
    <w:name w:val="页脚 Char"/>
    <w:basedOn w:val="27"/>
    <w:link w:val="14"/>
    <w:qFormat/>
    <w:uiPriority w:val="99"/>
    <w:rPr>
      <w:rFonts w:eastAsiaTheme="majorEastAsia"/>
      <w:sz w:val="16"/>
      <w:lang w:bidi="en-US"/>
    </w:rPr>
  </w:style>
  <w:style w:type="character" w:customStyle="1" w:styleId="43">
    <w:name w:val="标题 Char"/>
    <w:basedOn w:val="27"/>
    <w:link w:val="19"/>
    <w:qFormat/>
    <w:uiPriority w:val="10"/>
    <w:rPr>
      <w:rFonts w:eastAsiaTheme="majorEastAsia"/>
      <w:b/>
      <w:bCs/>
      <w:kern w:val="28"/>
      <w:szCs w:val="32"/>
      <w:u w:val="single"/>
      <w:lang w:bidi="en-US"/>
    </w:rPr>
  </w:style>
  <w:style w:type="character" w:customStyle="1" w:styleId="44">
    <w:name w:val="副标题 Char"/>
    <w:basedOn w:val="27"/>
    <w:link w:val="17"/>
    <w:qFormat/>
    <w:uiPriority w:val="11"/>
    <w:rPr>
      <w:rFonts w:eastAsiaTheme="majorEastAsia"/>
      <w:lang w:bidi="en-US"/>
    </w:rPr>
  </w:style>
  <w:style w:type="paragraph" w:styleId="45">
    <w:name w:val="No Spacing"/>
    <w:basedOn w:val="1"/>
    <w:link w:val="46"/>
    <w:qFormat/>
    <w:uiPriority w:val="1"/>
    <w:rPr>
      <w:rFonts w:eastAsiaTheme="majorEastAsia" w:cstheme="majorBidi"/>
      <w:szCs w:val="32"/>
      <w:lang w:eastAsia="en-US" w:bidi="en-US"/>
    </w:rPr>
  </w:style>
  <w:style w:type="character" w:customStyle="1" w:styleId="46">
    <w:name w:val="无间隔 Char"/>
    <w:basedOn w:val="27"/>
    <w:link w:val="45"/>
    <w:qFormat/>
    <w:uiPriority w:val="1"/>
    <w:rPr>
      <w:rFonts w:eastAsiaTheme="majorEastAsia"/>
      <w:szCs w:val="32"/>
      <w:lang w:bidi="en-US"/>
    </w:rPr>
  </w:style>
  <w:style w:type="paragraph" w:styleId="47">
    <w:name w:val="List Paragraph"/>
    <w:basedOn w:val="1"/>
    <w:qFormat/>
    <w:uiPriority w:val="34"/>
    <w:pPr>
      <w:ind w:left="720"/>
      <w:contextualSpacing/>
    </w:pPr>
  </w:style>
  <w:style w:type="paragraph" w:styleId="48">
    <w:name w:val="Quote"/>
    <w:basedOn w:val="1"/>
    <w:next w:val="1"/>
    <w:link w:val="49"/>
    <w:qFormat/>
    <w:uiPriority w:val="29"/>
    <w:rPr>
      <w:rFonts w:eastAsiaTheme="majorEastAsia" w:cstheme="majorBidi"/>
      <w:i/>
      <w:szCs w:val="20"/>
      <w:lang w:eastAsia="en-US" w:bidi="en-US"/>
    </w:rPr>
  </w:style>
  <w:style w:type="character" w:customStyle="1" w:styleId="49">
    <w:name w:val="引用 Char"/>
    <w:basedOn w:val="27"/>
    <w:link w:val="48"/>
    <w:qFormat/>
    <w:uiPriority w:val="29"/>
    <w:rPr>
      <w:rFonts w:eastAsiaTheme="majorEastAsia"/>
      <w:i/>
      <w:lang w:bidi="en-US"/>
    </w:rPr>
  </w:style>
  <w:style w:type="paragraph" w:styleId="50">
    <w:name w:val="Intense Quote"/>
    <w:basedOn w:val="1"/>
    <w:next w:val="1"/>
    <w:link w:val="51"/>
    <w:qFormat/>
    <w:uiPriority w:val="30"/>
    <w:pPr>
      <w:ind w:left="720" w:right="720"/>
    </w:pPr>
    <w:rPr>
      <w:rFonts w:eastAsiaTheme="majorEastAsia" w:cstheme="majorBidi"/>
      <w:b/>
      <w:i/>
      <w:szCs w:val="20"/>
      <w:lang w:eastAsia="en-US" w:bidi="en-US"/>
    </w:rPr>
  </w:style>
  <w:style w:type="character" w:customStyle="1" w:styleId="51">
    <w:name w:val="明显引用 Char"/>
    <w:basedOn w:val="27"/>
    <w:link w:val="50"/>
    <w:qFormat/>
    <w:uiPriority w:val="30"/>
    <w:rPr>
      <w:rFonts w:eastAsiaTheme="majorEastAsia"/>
      <w:b/>
      <w:i/>
      <w:lang w:bidi="en-US"/>
    </w:rPr>
  </w:style>
  <w:style w:type="character" w:customStyle="1" w:styleId="52">
    <w:name w:val="不明显强调1"/>
    <w:qFormat/>
    <w:uiPriority w:val="19"/>
    <w:rPr>
      <w:i/>
      <w:color w:val="585858" w:themeColor="text1" w:themeTint="A6"/>
    </w:rPr>
  </w:style>
  <w:style w:type="character" w:customStyle="1" w:styleId="53">
    <w:name w:val="明显强调1"/>
    <w:basedOn w:val="27"/>
    <w:qFormat/>
    <w:uiPriority w:val="21"/>
    <w:rPr>
      <w:b/>
      <w:i/>
      <w:sz w:val="24"/>
      <w:szCs w:val="24"/>
      <w:u w:val="single"/>
    </w:rPr>
  </w:style>
  <w:style w:type="character" w:customStyle="1" w:styleId="54">
    <w:name w:val="不明显参考1"/>
    <w:basedOn w:val="27"/>
    <w:qFormat/>
    <w:uiPriority w:val="31"/>
    <w:rPr>
      <w:sz w:val="24"/>
      <w:szCs w:val="24"/>
      <w:u w:val="single"/>
    </w:rPr>
  </w:style>
  <w:style w:type="character" w:customStyle="1" w:styleId="55">
    <w:name w:val="明显参考1"/>
    <w:basedOn w:val="27"/>
    <w:qFormat/>
    <w:uiPriority w:val="32"/>
    <w:rPr>
      <w:b/>
      <w:sz w:val="24"/>
      <w:u w:val="single"/>
    </w:rPr>
  </w:style>
  <w:style w:type="character" w:customStyle="1" w:styleId="56">
    <w:name w:val="书籍标题1"/>
    <w:basedOn w:val="27"/>
    <w:qFormat/>
    <w:uiPriority w:val="33"/>
    <w:rPr>
      <w:rFonts w:asciiTheme="majorHAnsi" w:hAnsiTheme="majorHAnsi" w:eastAsiaTheme="majorEastAsia"/>
      <w:b/>
      <w:i/>
      <w:sz w:val="24"/>
      <w:szCs w:val="24"/>
    </w:rPr>
  </w:style>
  <w:style w:type="paragraph" w:customStyle="1" w:styleId="57">
    <w:name w:val="TOC 标题1"/>
    <w:basedOn w:val="2"/>
    <w:next w:val="1"/>
    <w:qFormat/>
    <w:uiPriority w:val="39"/>
    <w:pPr>
      <w:numPr>
        <w:numId w:val="0"/>
      </w:numPr>
      <w:outlineLvl w:val="9"/>
    </w:pPr>
  </w:style>
  <w:style w:type="paragraph" w:customStyle="1" w:styleId="58">
    <w:name w:val="List 1"/>
    <w:basedOn w:val="1"/>
    <w:link w:val="59"/>
    <w:qFormat/>
    <w:uiPriority w:val="99"/>
    <w:pPr>
      <w:numPr>
        <w:ilvl w:val="0"/>
        <w:numId w:val="2"/>
      </w:numPr>
      <w:spacing w:before="60"/>
    </w:pPr>
    <w:rPr>
      <w:rFonts w:eastAsiaTheme="majorEastAsia" w:cstheme="majorBidi"/>
      <w:szCs w:val="20"/>
      <w:lang w:eastAsia="en-US" w:bidi="en-US"/>
    </w:rPr>
  </w:style>
  <w:style w:type="character" w:customStyle="1" w:styleId="59">
    <w:name w:val="List 1 Char"/>
    <w:basedOn w:val="27"/>
    <w:link w:val="58"/>
    <w:qFormat/>
    <w:uiPriority w:val="99"/>
    <w:rPr>
      <w:rFonts w:eastAsiaTheme="majorEastAsia"/>
      <w:lang w:bidi="en-US"/>
    </w:rPr>
  </w:style>
  <w:style w:type="paragraph" w:customStyle="1" w:styleId="60">
    <w:name w:val="Highlight"/>
    <w:basedOn w:val="1"/>
    <w:qFormat/>
    <w:uiPriority w:val="99"/>
    <w:rPr>
      <w:color w:val="BE0000" w:themeColor="accent6" w:themeShade="BF"/>
    </w:rPr>
  </w:style>
  <w:style w:type="paragraph" w:customStyle="1" w:styleId="61">
    <w:name w:val="Numbered 1"/>
    <w:basedOn w:val="1"/>
    <w:qFormat/>
    <w:uiPriority w:val="0"/>
    <w:pPr>
      <w:numPr>
        <w:ilvl w:val="0"/>
        <w:numId w:val="3"/>
      </w:numPr>
      <w:spacing w:before="60"/>
    </w:pPr>
  </w:style>
  <w:style w:type="paragraph" w:customStyle="1" w:styleId="62">
    <w:name w:val="List2"/>
    <w:basedOn w:val="58"/>
    <w:qFormat/>
    <w:uiPriority w:val="99"/>
    <w:pPr>
      <w:numPr>
        <w:numId w:val="0"/>
      </w:numPr>
      <w:spacing w:before="0"/>
    </w:pPr>
    <w:rPr>
      <w:szCs w:val="24"/>
      <w:lang w:val="fr-FR" w:eastAsia="fr-FR" w:bidi="ar-SA"/>
    </w:rPr>
  </w:style>
  <w:style w:type="paragraph" w:customStyle="1" w:styleId="63">
    <w:name w:val="Style Heading 5 + First line:  0 cm"/>
    <w:basedOn w:val="6"/>
    <w:qFormat/>
    <w:uiPriority w:val="0"/>
    <w:pPr>
      <w:numPr>
        <w:ilvl w:val="0"/>
        <w:numId w:val="0"/>
      </w:numPr>
    </w:pPr>
    <w:rPr>
      <w:color w:val="363636"/>
      <w:szCs w:val="24"/>
      <w:u w:val="single"/>
    </w:rPr>
  </w:style>
  <w:style w:type="paragraph" w:customStyle="1" w:styleId="64">
    <w:name w:val="Glossary"/>
    <w:basedOn w:val="1"/>
    <w:link w:val="65"/>
    <w:qFormat/>
    <w:uiPriority w:val="99"/>
    <w:pPr>
      <w:spacing w:before="40"/>
    </w:pPr>
    <w:rPr>
      <w:rFonts w:cstheme="majorBidi"/>
      <w:sz w:val="16"/>
      <w:szCs w:val="16"/>
      <w:lang w:eastAsia="en-GB"/>
    </w:rPr>
  </w:style>
  <w:style w:type="character" w:customStyle="1" w:styleId="65">
    <w:name w:val="Glossary Char"/>
    <w:basedOn w:val="27"/>
    <w:link w:val="64"/>
    <w:qFormat/>
    <w:uiPriority w:val="99"/>
    <w:rPr>
      <w:sz w:val="16"/>
      <w:szCs w:val="16"/>
      <w:lang w:eastAsia="en-GB"/>
    </w:rPr>
  </w:style>
  <w:style w:type="character" w:customStyle="1" w:styleId="66">
    <w:name w:val="页眉 Char"/>
    <w:basedOn w:val="27"/>
    <w:link w:val="15"/>
    <w:qFormat/>
    <w:uiPriority w:val="99"/>
    <w:rPr>
      <w:rFonts w:cs="Times New Roman"/>
      <w:szCs w:val="24"/>
      <w:lang w:eastAsia="fr-FR"/>
    </w:rPr>
  </w:style>
  <w:style w:type="table" w:customStyle="1" w:styleId="67">
    <w:name w:val="SGS Table Basic 2"/>
    <w:basedOn w:val="21"/>
    <w:qFormat/>
    <w:uiPriority w:val="99"/>
    <w:tblPr>
      <w:tblCellMar>
        <w:top w:w="0" w:type="dxa"/>
        <w:left w:w="108" w:type="dxa"/>
        <w:bottom w:w="0" w:type="dxa"/>
        <w:right w:w="108" w:type="dxa"/>
      </w:tblCellMar>
    </w:tblPr>
    <w:tcPr>
      <w:shd w:val="clear" w:color="auto" w:fill="BCBCBC"/>
    </w:tcPr>
    <w:tblStylePr w:type="firstRow">
      <w:pPr>
        <w:jc w:val="left"/>
      </w:pPr>
      <w:tcPr>
        <w:shd w:val="clear" w:color="auto" w:fill="363636"/>
        <w:vAlign w:val="center"/>
      </w:tcPr>
    </w:tblStylePr>
  </w:style>
  <w:style w:type="character" w:customStyle="1" w:styleId="68">
    <w:name w:val="批注框文本 Char"/>
    <w:basedOn w:val="27"/>
    <w:link w:val="13"/>
    <w:semiHidden/>
    <w:qFormat/>
    <w:uiPriority w:val="0"/>
    <w:rPr>
      <w:rFonts w:cs="Tahoma"/>
      <w:sz w:val="16"/>
      <w:szCs w:val="16"/>
      <w:lang w:val="fr-FR" w:eastAsia="fr-FR"/>
    </w:rPr>
  </w:style>
  <w:style w:type="character" w:customStyle="1" w:styleId="69">
    <w:name w:val="NormalCharacter"/>
    <w:semiHidden/>
    <w:qFormat/>
    <w:uiPriority w:val="0"/>
  </w:style>
  <w:style w:type="character" w:customStyle="1" w:styleId="70">
    <w:name w:val="批注文字 Char"/>
    <w:basedOn w:val="27"/>
    <w:link w:val="11"/>
    <w:qFormat/>
    <w:uiPriority w:val="0"/>
    <w:rPr>
      <w:rFonts w:ascii="Calibri" w:hAnsi="Calibri" w:eastAsia="宋体" w:cs="Calibri"/>
      <w:kern w:val="2"/>
      <w:sz w:val="21"/>
      <w:szCs w:val="21"/>
    </w:rPr>
  </w:style>
  <w:style w:type="character" w:customStyle="1" w:styleId="71">
    <w:name w:val="批注主题 Char"/>
    <w:basedOn w:val="70"/>
    <w:link w:val="20"/>
    <w:semiHidden/>
    <w:qFormat/>
    <w:uiPriority w:val="0"/>
    <w:rPr>
      <w:rFonts w:ascii="Calibri" w:hAnsi="Calibri" w:eastAsia="宋体" w:cs="Calibri"/>
      <w:b/>
      <w:bCs/>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customXml" Target="../customXml/item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6351D-6625-494E-A289-7C9492517BBD}">
  <ds:schemaRefs/>
</ds:datastoreItem>
</file>

<file path=docProps/app.xml><?xml version="1.0" encoding="utf-8"?>
<Properties xmlns="http://schemas.openxmlformats.org/officeDocument/2006/extended-properties" xmlns:vt="http://schemas.openxmlformats.org/officeDocument/2006/docPropsVTypes">
  <Template>Normal</Template>
  <Pages>3</Pages>
  <Words>1249</Words>
  <Characters>1774</Characters>
  <Lines>14</Lines>
  <Paragraphs>3</Paragraphs>
  <TotalTime>0</TotalTime>
  <ScaleCrop>false</ScaleCrop>
  <LinksUpToDate>false</LinksUpToDate>
  <CharactersWithSpaces>1841</CharactersWithSpaces>
  <Application>WPS Office_12.1.0.21171_F1E327BC-269C-435d-A152-05C5408002CA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2025-06-10T11:33:00Z</dcterms:created>
  <dc:creator>Zhao, Rose (Shanghai)</dc:creator>
  <lastModifiedBy>水苏</lastModifiedBy>
  <dcterms:modified xsi:type="dcterms:W3CDTF">2025-06-10T11:34:47Z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eyJoZGlkIjoiNWI1NDljNzU4N2EwNmI4ZDM2MWY0OGI5ZDNjMmMxY2MiLCJ1c2VySWQiOiIzMzY5Nzc1NTMifQ==</vt:lpwstr>
  </property>
  <property fmtid="{D5CDD505-2E9C-101B-9397-08002B2CF9AE}" pid="3" name="KSOProductBuildVer">
    <vt:lpwstr>2052-12.1.0.21171</vt:lpwstr>
  </property>
  <property fmtid="{D5CDD505-2E9C-101B-9397-08002B2CF9AE}" pid="4" name="ICV">
    <vt:lpwstr>577A49B610EE4A339C9DD3F845A28929_13</vt:lpwstr>
  </property>
</Properties>
</file>