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bidi="ar"/>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湖州市城镇低效用地认定办法（试行）</w:t>
      </w:r>
      <w:r>
        <w:rPr>
          <w:rFonts w:hint="eastAsia" w:ascii="方正小标宋简体" w:hAnsi="方正小标宋简体" w:eastAsia="方正小标宋简体" w:cs="方正小标宋简体"/>
          <w:b w:val="0"/>
          <w:bCs w:val="0"/>
          <w:kern w:val="2"/>
          <w:sz w:val="44"/>
          <w:szCs w:val="44"/>
          <w:lang w:val="en-US" w:eastAsia="zh-CN" w:bidi="ar-SA"/>
        </w:rPr>
        <w:t>（征求意见稿）》起草说明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lang w:val="en-US" w:eastAsia="zh-CN" w:bidi="ar"/>
        </w:rPr>
      </w:pPr>
      <w:r>
        <w:rPr>
          <w:rFonts w:hint="eastAsia" w:ascii="华文仿宋" w:hAnsi="华文仿宋" w:eastAsia="华文仿宋" w:cs="华文仿宋"/>
          <w:sz w:val="32"/>
          <w:szCs w:val="32"/>
          <w:lang w:val="en-US" w:eastAsia="zh-CN" w:bidi="ar"/>
        </w:rPr>
        <w:t xml:space="preserve"> </w:t>
      </w:r>
      <w:r>
        <w:rPr>
          <w:rFonts w:hint="eastAsia" w:ascii="楷体_GB2312" w:hAnsi="楷体_GB2312" w:eastAsia="楷体_GB2312" w:cs="楷体_GB2312"/>
          <w:b/>
          <w:bCs/>
          <w:color w:val="auto"/>
          <w:spacing w:val="8"/>
          <w:sz w:val="32"/>
          <w:szCs w:val="32"/>
          <w:lang w:val="en-US" w:eastAsia="zh-CN"/>
        </w:rPr>
        <w:t>一、出台背景</w:t>
      </w:r>
    </w:p>
    <w:p>
      <w:pPr>
        <w:pStyle w:val="5"/>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cs="Times New Roman"/>
          <w:lang w:val="en-US" w:eastAsia="zh-CN"/>
        </w:rPr>
      </w:pPr>
      <w:r>
        <w:rPr>
          <w:rFonts w:hint="default" w:ascii="Times New Roman" w:hAnsi="Times New Roman" w:eastAsia="仿宋_GB2312" w:cs="Times New Roman"/>
          <w:kern w:val="2"/>
          <w:sz w:val="32"/>
          <w:szCs w:val="21"/>
          <w:lang w:val="en-US" w:eastAsia="zh-CN" w:bidi="ar-SA"/>
        </w:rPr>
        <w:t>为贯彻</w:t>
      </w:r>
      <w:r>
        <w:rPr>
          <w:rFonts w:hint="eastAsia" w:ascii="Times New Roman" w:hAnsi="Times New Roman" w:eastAsia="仿宋_GB2312" w:cs="Times New Roman"/>
          <w:kern w:val="2"/>
          <w:sz w:val="32"/>
          <w:szCs w:val="21"/>
          <w:lang w:val="en-US" w:eastAsia="zh-CN" w:bidi="ar-SA"/>
        </w:rPr>
        <w:t>落实</w:t>
      </w:r>
      <w:r>
        <w:rPr>
          <w:rFonts w:hint="default" w:ascii="Times New Roman" w:hAnsi="Times New Roman" w:eastAsia="仿宋_GB2312" w:cs="Times New Roman"/>
          <w:kern w:val="2"/>
          <w:sz w:val="32"/>
          <w:szCs w:val="21"/>
          <w:lang w:val="en-US" w:eastAsia="zh-CN" w:bidi="ar-SA"/>
        </w:rPr>
        <w:t>《浙江省国土空间规划条例》第四十九条第五款规定</w:t>
      </w:r>
      <w:r>
        <w:rPr>
          <w:rFonts w:hint="eastAsia" w:ascii="Times New Roman" w:hAnsi="Times New Roman" w:eastAsia="仿宋_GB2312" w:cs="Times New Roman"/>
          <w:kern w:val="2"/>
          <w:sz w:val="32"/>
          <w:szCs w:val="21"/>
          <w:lang w:val="en-US" w:eastAsia="zh-CN" w:bidi="ar-SA"/>
        </w:rPr>
        <w:t>，</w:t>
      </w:r>
      <w:r>
        <w:rPr>
          <w:rFonts w:hint="default" w:ascii="Times New Roman" w:hAnsi="Times New Roman" w:eastAsia="仿宋_GB2312" w:cs="Times New Roman"/>
          <w:kern w:val="2"/>
          <w:sz w:val="32"/>
          <w:szCs w:val="21"/>
          <w:lang w:val="en-US" w:eastAsia="zh-CN" w:bidi="ar-SA"/>
        </w:rPr>
        <w:t>由设区的市人民政府制定</w:t>
      </w:r>
      <w:r>
        <w:rPr>
          <w:rFonts w:hint="eastAsia" w:ascii="Times New Roman" w:hAnsi="Times New Roman" w:eastAsia="仿宋_GB2312" w:cs="Times New Roman"/>
          <w:kern w:val="2"/>
          <w:sz w:val="32"/>
          <w:szCs w:val="21"/>
          <w:lang w:val="en-US" w:eastAsia="zh-CN" w:bidi="ar-SA"/>
        </w:rPr>
        <w:t>出台</w:t>
      </w:r>
      <w:r>
        <w:rPr>
          <w:rFonts w:hint="default" w:ascii="Times New Roman" w:hAnsi="Times New Roman" w:eastAsia="仿宋_GB2312" w:cs="Times New Roman"/>
          <w:kern w:val="2"/>
          <w:sz w:val="32"/>
          <w:szCs w:val="21"/>
          <w:lang w:val="en-US" w:eastAsia="zh-CN" w:bidi="ar-SA"/>
        </w:rPr>
        <w:t>城镇低效用地认定办法</w:t>
      </w:r>
      <w:r>
        <w:rPr>
          <w:rFonts w:hint="eastAsia" w:ascii="Times New Roman" w:hAnsi="Times New Roman" w:eastAsia="仿宋_GB2312" w:cs="Times New Roman"/>
          <w:kern w:val="2"/>
          <w:sz w:val="32"/>
          <w:szCs w:val="21"/>
          <w:lang w:val="en-US" w:eastAsia="zh-CN" w:bidi="ar-SA"/>
        </w:rPr>
        <w:t>，</w:t>
      </w:r>
      <w:r>
        <w:rPr>
          <w:rFonts w:hint="eastAsia" w:cs="Times New Roman"/>
          <w:kern w:val="2"/>
          <w:sz w:val="32"/>
          <w:szCs w:val="21"/>
          <w:lang w:val="en-US" w:eastAsia="zh-CN" w:bidi="ar-SA"/>
        </w:rPr>
        <w:t>同时</w:t>
      </w:r>
      <w:r>
        <w:rPr>
          <w:rFonts w:hint="default" w:ascii="Times New Roman" w:hAnsi="Times New Roman" w:cs="Times New Roman"/>
          <w:lang w:val="en-US" w:eastAsia="zh-CN"/>
        </w:rPr>
        <w:t>随着全市上下低效用地再开发工作的深入推进，在</w:t>
      </w:r>
      <w:r>
        <w:rPr>
          <w:rFonts w:hint="eastAsia" w:cs="Times New Roman"/>
          <w:lang w:val="en-US" w:eastAsia="zh-CN"/>
        </w:rPr>
        <w:t>实际工作</w:t>
      </w:r>
      <w:r>
        <w:rPr>
          <w:rFonts w:hint="default" w:ascii="Times New Roman" w:hAnsi="Times New Roman" w:cs="Times New Roman"/>
          <w:lang w:val="en-US" w:eastAsia="zh-CN"/>
        </w:rPr>
        <w:t>中，</w:t>
      </w:r>
      <w:r>
        <w:rPr>
          <w:rFonts w:hint="eastAsia" w:cs="Times New Roman"/>
          <w:lang w:val="en-US" w:eastAsia="zh-CN"/>
        </w:rPr>
        <w:t>乡镇、街道，部分政协委员等反映低效用地认定</w:t>
      </w:r>
      <w:r>
        <w:rPr>
          <w:rFonts w:hint="default" w:ascii="Times New Roman" w:hAnsi="Times New Roman" w:cs="Times New Roman"/>
          <w:lang w:val="en-US" w:eastAsia="zh-CN"/>
        </w:rPr>
        <w:t>没有</w:t>
      </w:r>
      <w:r>
        <w:rPr>
          <w:rFonts w:hint="eastAsia" w:cs="Times New Roman"/>
          <w:lang w:val="en-US" w:eastAsia="zh-CN"/>
        </w:rPr>
        <w:t>相关统一认定标准</w:t>
      </w:r>
      <w:r>
        <w:rPr>
          <w:rFonts w:hint="default"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5" w:firstLineChars="200"/>
        <w:jc w:val="both"/>
        <w:textAlignment w:val="auto"/>
        <w:rPr>
          <w:rFonts w:hint="eastAsia" w:ascii="方正黑体_GBK" w:hAnsi="方正黑体_GBK" w:eastAsia="方正黑体_GBK" w:cs="方正黑体_GBK"/>
          <w:color w:val="auto"/>
          <w:spacing w:val="8"/>
          <w:sz w:val="32"/>
          <w:szCs w:val="32"/>
          <w:lang w:val="en-US" w:eastAsia="zh-CN"/>
        </w:rPr>
      </w:pPr>
      <w:r>
        <w:rPr>
          <w:rFonts w:hint="eastAsia" w:ascii="楷体_GB2312" w:hAnsi="楷体_GB2312" w:eastAsia="楷体_GB2312" w:cs="楷体_GB2312"/>
          <w:b/>
          <w:bCs/>
          <w:color w:val="auto"/>
          <w:spacing w:val="8"/>
          <w:sz w:val="32"/>
          <w:szCs w:val="32"/>
          <w:lang w:val="en-US" w:eastAsia="zh-CN"/>
        </w:rPr>
        <w:t>二、法律法规及文件依据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21"/>
          <w:lang w:val="en-US" w:eastAsia="zh-CN" w:bidi="ar-SA"/>
        </w:rPr>
      </w:pPr>
      <w:r>
        <w:rPr>
          <w:rFonts w:hint="default" w:ascii="Times New Roman" w:hAnsi="Times New Roman" w:eastAsia="仿宋_GB2312" w:cs="Times New Roman"/>
          <w:b w:val="0"/>
          <w:bCs w:val="0"/>
          <w:color w:val="000000"/>
          <w:sz w:val="32"/>
          <w:szCs w:val="32"/>
        </w:rPr>
        <w:t>《中华人民共和国土地管理法》</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浙江省国土空间规划条例》</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浙江省土地</w:t>
      </w:r>
      <w:r>
        <w:rPr>
          <w:rFonts w:hint="default" w:ascii="Times New Roman" w:hAnsi="Times New Roman" w:eastAsia="仿宋_GB2312" w:cs="Times New Roman"/>
          <w:b w:val="0"/>
          <w:bCs w:val="0"/>
          <w:color w:val="000000"/>
          <w:sz w:val="32"/>
          <w:szCs w:val="32"/>
        </w:rPr>
        <w:t>节约集约利用</w:t>
      </w:r>
      <w:r>
        <w:rPr>
          <w:rFonts w:hint="default" w:ascii="Times New Roman" w:hAnsi="Times New Roman" w:eastAsia="仿宋_GB2312" w:cs="Times New Roman"/>
          <w:b w:val="0"/>
          <w:bCs w:val="0"/>
          <w:color w:val="000000"/>
          <w:sz w:val="32"/>
          <w:szCs w:val="32"/>
          <w:lang w:val="en-US" w:eastAsia="zh-CN"/>
        </w:rPr>
        <w:t>办法</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、《湖州市高质量推进低效用地再开发试点工作实施方案》</w:t>
      </w:r>
      <w:r>
        <w:rPr>
          <w:rFonts w:hint="eastAsia" w:ascii="Times New Roman" w:hAnsi="Times New Roman" w:eastAsia="仿宋_GB2312" w:cs="Times New Roman"/>
          <w:b w:val="0"/>
          <w:bCs w:val="0"/>
          <w:color w:val="000000"/>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华文仿宋" w:hAnsi="华文仿宋" w:eastAsia="华文仿宋" w:cs="华文仿宋"/>
          <w:sz w:val="32"/>
          <w:szCs w:val="32"/>
          <w:lang w:val="en-US" w:eastAsia="zh-CN" w:bidi="ar"/>
        </w:rPr>
      </w:pPr>
      <w:r>
        <w:rPr>
          <w:rFonts w:hint="eastAsia" w:ascii="楷体_GB2312" w:hAnsi="楷体_GB2312" w:eastAsia="楷体_GB2312" w:cs="楷体_GB2312"/>
          <w:b/>
          <w:bCs/>
          <w:color w:val="auto"/>
          <w:spacing w:val="8"/>
          <w:sz w:val="32"/>
          <w:szCs w:val="32"/>
          <w:lang w:val="en-US" w:eastAsia="zh-CN"/>
        </w:rPr>
        <w:t>三、起草过程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收集</w:t>
      </w:r>
      <w:r>
        <w:rPr>
          <w:rFonts w:hint="default" w:ascii="Times New Roman" w:hAnsi="Times New Roman" w:eastAsia="仿宋_GB2312" w:cs="Times New Roman"/>
          <w:sz w:val="32"/>
          <w:szCs w:val="32"/>
          <w:highlight w:val="none"/>
          <w:lang w:val="en-US" w:eastAsia="zh-CN"/>
        </w:rPr>
        <w:t>梳理</w:t>
      </w:r>
      <w:r>
        <w:rPr>
          <w:rFonts w:hint="eastAsia" w:ascii="Times New Roman" w:hAnsi="Times New Roman" w:eastAsia="仿宋_GB2312" w:cs="Times New Roman"/>
          <w:sz w:val="32"/>
          <w:szCs w:val="32"/>
          <w:highlight w:val="none"/>
          <w:lang w:val="en-US" w:eastAsia="zh-CN"/>
        </w:rPr>
        <w:t>全市面上</w:t>
      </w:r>
      <w:r>
        <w:rPr>
          <w:rFonts w:hint="default" w:ascii="Times New Roman" w:hAnsi="Times New Roman" w:eastAsia="仿宋_GB2312" w:cs="Times New Roman"/>
          <w:sz w:val="32"/>
          <w:szCs w:val="32"/>
          <w:highlight w:val="none"/>
          <w:lang w:val="en-US" w:eastAsia="zh-CN"/>
        </w:rPr>
        <w:t>的城镇低效用地再开发</w:t>
      </w:r>
      <w:r>
        <w:rPr>
          <w:rFonts w:hint="eastAsia" w:ascii="Times New Roman" w:hAnsi="Times New Roman" w:eastAsia="仿宋_GB2312" w:cs="Times New Roman"/>
          <w:sz w:val="32"/>
          <w:szCs w:val="32"/>
          <w:highlight w:val="none"/>
          <w:lang w:val="en-US" w:eastAsia="zh-CN"/>
        </w:rPr>
        <w:t>相关资料，学习借鉴其他省、市</w:t>
      </w:r>
      <w:r>
        <w:rPr>
          <w:rFonts w:hint="default" w:ascii="Times New Roman" w:hAnsi="Times New Roman" w:eastAsia="仿宋_GB2312" w:cs="Times New Roman"/>
          <w:sz w:val="32"/>
          <w:szCs w:val="32"/>
          <w:highlight w:val="none"/>
          <w:lang w:val="en-US" w:eastAsia="zh-CN"/>
        </w:rPr>
        <w:t>相关做法，在此基础上形成</w:t>
      </w:r>
      <w:r>
        <w:rPr>
          <w:rFonts w:hint="eastAsia" w:ascii="Times New Roman" w:hAnsi="Times New Roman" w:eastAsia="仿宋_GB2312" w:cs="Times New Roman"/>
          <w:sz w:val="32"/>
          <w:szCs w:val="32"/>
          <w:highlight w:val="none"/>
          <w:lang w:val="en-US" w:eastAsia="zh-CN"/>
        </w:rPr>
        <w:t>了</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湖州市城镇低效用地认定办法（试行）</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（以下简称《办法》）</w:t>
      </w:r>
      <w:r>
        <w:rPr>
          <w:rFonts w:hint="default" w:ascii="Times New Roman" w:hAnsi="Times New Roman" w:eastAsia="仿宋_GB2312" w:cs="Times New Roman"/>
          <w:sz w:val="32"/>
          <w:szCs w:val="32"/>
          <w:highlight w:val="none"/>
          <w:lang w:val="en-US" w:eastAsia="zh-CN"/>
        </w:rPr>
        <w:t>初稿</w:t>
      </w:r>
      <w:r>
        <w:rPr>
          <w:rFonts w:hint="eastAsia" w:ascii="Times New Roman" w:hAnsi="Times New Roman" w:eastAsia="仿宋_GB2312" w:cs="Times New Roman"/>
          <w:sz w:val="32"/>
          <w:szCs w:val="32"/>
          <w:highlight w:val="none"/>
          <w:lang w:val="en-US" w:eastAsia="zh-CN"/>
        </w:rPr>
        <w:t>，4月15日征求了市局相关处室、区县分局的意见，《办法》</w:t>
      </w:r>
      <w:r>
        <w:rPr>
          <w:rFonts w:hint="default" w:ascii="Times New Roman" w:hAnsi="Times New Roman" w:eastAsia="仿宋_GB2312" w:cs="Times New Roman"/>
          <w:sz w:val="32"/>
          <w:szCs w:val="32"/>
          <w:highlight w:val="none"/>
          <w:lang w:val="en-US" w:eastAsia="zh-CN"/>
        </w:rPr>
        <w:t>（征求意见稿）于2025年</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29</w:t>
      </w:r>
      <w:r>
        <w:rPr>
          <w:rFonts w:hint="default" w:ascii="Times New Roman" w:hAnsi="Times New Roman" w:eastAsia="仿宋_GB2312" w:cs="Times New Roman"/>
          <w:sz w:val="32"/>
          <w:szCs w:val="32"/>
          <w:highlight w:val="none"/>
          <w:lang w:val="en-US" w:eastAsia="zh-CN"/>
        </w:rPr>
        <w:t>日向</w:t>
      </w:r>
      <w:r>
        <w:rPr>
          <w:rFonts w:hint="eastAsia" w:ascii="Times New Roman" w:hAnsi="Times New Roman" w:eastAsia="仿宋_GB2312" w:cs="Times New Roman"/>
          <w:sz w:val="32"/>
          <w:szCs w:val="32"/>
          <w:highlight w:val="none"/>
          <w:lang w:val="en-US" w:eastAsia="zh-CN"/>
        </w:rPr>
        <w:t>市级相关部门</w:t>
      </w:r>
      <w:r>
        <w:rPr>
          <w:rFonts w:hint="default" w:ascii="Times New Roman" w:hAnsi="Times New Roman" w:eastAsia="仿宋_GB2312" w:cs="Times New Roman"/>
          <w:sz w:val="32"/>
          <w:szCs w:val="32"/>
          <w:highlight w:val="none"/>
          <w:lang w:val="en-US" w:eastAsia="zh-CN"/>
        </w:rPr>
        <w:t>征求修改意见，</w:t>
      </w:r>
      <w:r>
        <w:rPr>
          <w:rFonts w:hint="eastAsia" w:ascii="Times New Roman" w:hAnsi="Times New Roman" w:eastAsia="仿宋_GB2312" w:cs="仿宋_GB2312"/>
          <w:kern w:val="2"/>
          <w:sz w:val="32"/>
          <w:szCs w:val="32"/>
          <w:lang w:val="en-US" w:eastAsia="zh-CN" w:bidi="ar"/>
        </w:rPr>
        <w:t>在广泛听取意见建议，吸收采纳合理意见，现形成了</w:t>
      </w:r>
      <w:r>
        <w:rPr>
          <w:rFonts w:hint="eastAsia" w:ascii="Times New Roman" w:hAnsi="Times New Roman" w:eastAsia="仿宋_GB2312" w:cs="Times New Roman"/>
          <w:sz w:val="32"/>
          <w:szCs w:val="32"/>
          <w:highlight w:val="none"/>
          <w:lang w:val="en-US" w:eastAsia="zh-CN"/>
        </w:rPr>
        <w:t>《办法》</w:t>
      </w:r>
      <w:r>
        <w:rPr>
          <w:rFonts w:hint="default" w:ascii="Times New Roman" w:hAnsi="Times New Roman" w:eastAsia="仿宋_GB2312" w:cs="Times New Roman"/>
          <w:sz w:val="32"/>
          <w:szCs w:val="32"/>
          <w:highlight w:val="none"/>
          <w:lang w:val="en-US" w:eastAsia="zh-CN"/>
        </w:rPr>
        <w:t>（征求意见稿）</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楷体_GB2312" w:hAnsi="楷体_GB2312" w:eastAsia="楷体_GB2312" w:cs="楷体_GB2312"/>
          <w:b/>
          <w:bCs/>
          <w:color w:val="auto"/>
          <w:spacing w:val="8"/>
          <w:sz w:val="32"/>
          <w:szCs w:val="32"/>
          <w:lang w:val="en-US" w:eastAsia="zh-CN"/>
        </w:rPr>
      </w:pPr>
      <w:r>
        <w:rPr>
          <w:rFonts w:hint="eastAsia" w:ascii="楷体_GB2312" w:hAnsi="楷体_GB2312" w:eastAsia="楷体_GB2312" w:cs="楷体_GB2312"/>
          <w:b/>
          <w:bCs/>
          <w:color w:val="auto"/>
          <w:spacing w:val="8"/>
          <w:sz w:val="32"/>
          <w:szCs w:val="32"/>
          <w:lang w:val="en-US" w:eastAsia="zh-CN"/>
        </w:rPr>
        <w:t>四、主要内容解读</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21"/>
          <w:lang w:val="en-US" w:eastAsia="zh-CN" w:bidi="ar-SA"/>
        </w:rPr>
      </w:pPr>
      <w:r>
        <w:rPr>
          <w:rFonts w:hint="eastAsia" w:ascii="Times New Roman" w:hAnsi="Times New Roman" w:eastAsia="仿宋_GB2312" w:cs="Times New Roman"/>
          <w:b/>
          <w:bCs/>
          <w:kern w:val="2"/>
          <w:sz w:val="32"/>
          <w:szCs w:val="21"/>
          <w:lang w:val="en-US" w:eastAsia="zh-CN" w:bidi="ar-SA"/>
        </w:rPr>
        <w:t>（一）</w:t>
      </w:r>
      <w:r>
        <w:rPr>
          <w:rFonts w:hint="default" w:ascii="Times New Roman" w:hAnsi="Times New Roman" w:eastAsia="仿宋_GB2312" w:cs="Times New Roman"/>
          <w:b/>
          <w:bCs/>
          <w:kern w:val="2"/>
          <w:sz w:val="32"/>
          <w:szCs w:val="21"/>
          <w:lang w:val="en-US" w:eastAsia="zh-CN" w:bidi="ar-SA"/>
        </w:rPr>
        <w:t>适用范围。</w:t>
      </w:r>
      <w:r>
        <w:rPr>
          <w:rFonts w:hint="default" w:ascii="Times New Roman" w:hAnsi="Times New Roman" w:eastAsia="仿宋_GB2312" w:cs="Times New Roman"/>
          <w:kern w:val="2"/>
          <w:sz w:val="32"/>
          <w:szCs w:val="21"/>
          <w:lang w:val="en-US" w:eastAsia="zh-CN" w:bidi="ar-SA"/>
        </w:rPr>
        <w:t>城镇低效用地是指位于</w:t>
      </w:r>
      <w:r>
        <w:rPr>
          <w:rFonts w:hint="eastAsia" w:ascii="Times New Roman" w:hAnsi="Times New Roman" w:eastAsia="仿宋_GB2312" w:cs="Times New Roman"/>
          <w:b w:val="0"/>
          <w:bCs w:val="0"/>
          <w:color w:val="000000"/>
          <w:kern w:val="2"/>
          <w:sz w:val="32"/>
          <w:szCs w:val="32"/>
          <w:lang w:val="en-US" w:eastAsia="zh-CN" w:bidi="ar-SA"/>
        </w:rPr>
        <w:t>现行国土空间总体规划</w:t>
      </w:r>
      <w:r>
        <w:rPr>
          <w:rFonts w:hint="default" w:ascii="Times New Roman" w:hAnsi="Times New Roman" w:eastAsia="仿宋_GB2312" w:cs="Times New Roman"/>
          <w:b w:val="0"/>
          <w:bCs w:val="0"/>
          <w:color w:val="000000"/>
          <w:sz w:val="32"/>
          <w:szCs w:val="32"/>
        </w:rPr>
        <w:t>确定的城镇建设用地范围内</w:t>
      </w:r>
      <w:r>
        <w:rPr>
          <w:rFonts w:hint="default" w:ascii="Times New Roman" w:hAnsi="Times New Roman" w:eastAsia="仿宋_GB2312" w:cs="Times New Roman"/>
          <w:kern w:val="2"/>
          <w:sz w:val="32"/>
          <w:szCs w:val="21"/>
          <w:lang w:val="en-US" w:eastAsia="zh-CN" w:bidi="ar-SA"/>
        </w:rPr>
        <w:t>，布局散乱、利用粗放、用途不合理、权属清晰且不存在争议的存量建设用地。批而未供和闲置土地不列入城镇低效用地范围。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21"/>
          <w:lang w:val="en-US" w:eastAsia="zh-CN" w:bidi="ar-SA"/>
        </w:rPr>
      </w:pPr>
      <w:r>
        <w:rPr>
          <w:rFonts w:hint="eastAsia" w:ascii="Times New Roman" w:hAnsi="Times New Roman" w:eastAsia="仿宋_GB2312" w:cs="Times New Roman"/>
          <w:b/>
          <w:bCs/>
          <w:kern w:val="2"/>
          <w:sz w:val="32"/>
          <w:szCs w:val="21"/>
          <w:lang w:val="en-US" w:eastAsia="zh-CN" w:bidi="ar-SA"/>
        </w:rPr>
        <w:t>（二）</w:t>
      </w:r>
      <w:r>
        <w:rPr>
          <w:rFonts w:hint="default" w:ascii="Times New Roman" w:hAnsi="Times New Roman" w:eastAsia="仿宋_GB2312" w:cs="Times New Roman"/>
          <w:b/>
          <w:bCs/>
          <w:kern w:val="2"/>
          <w:sz w:val="32"/>
          <w:szCs w:val="21"/>
          <w:lang w:val="en-US" w:eastAsia="zh-CN" w:bidi="ar-SA"/>
        </w:rPr>
        <w:t>认定标准。</w:t>
      </w:r>
      <w:r>
        <w:rPr>
          <w:rFonts w:hint="default" w:ascii="Times New Roman" w:hAnsi="Times New Roman" w:eastAsia="仿宋_GB2312" w:cs="Times New Roman"/>
          <w:kern w:val="2"/>
          <w:sz w:val="32"/>
          <w:szCs w:val="21"/>
          <w:lang w:val="en-US" w:eastAsia="zh-CN" w:bidi="ar-SA"/>
        </w:rPr>
        <w:t>按照低效居住用地、低效工业用地、低效商服用地、低效设施用地等四类的标准予以认定</w:t>
      </w:r>
      <w:r>
        <w:rPr>
          <w:rFonts w:hint="eastAsia" w:ascii="Times New Roman" w:hAnsi="Times New Roman" w:eastAsia="仿宋_GB2312" w:cs="Times New Roman"/>
          <w:kern w:val="2"/>
          <w:sz w:val="32"/>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21"/>
          <w:lang w:val="en-US" w:eastAsia="zh-CN" w:bidi="ar-SA"/>
        </w:rPr>
      </w:pPr>
      <w:r>
        <w:rPr>
          <w:rFonts w:hint="eastAsia" w:ascii="Times New Roman" w:hAnsi="Times New Roman" w:eastAsia="仿宋_GB2312" w:cs="Times New Roman"/>
          <w:b/>
          <w:bCs/>
          <w:kern w:val="2"/>
          <w:sz w:val="32"/>
          <w:szCs w:val="21"/>
          <w:lang w:val="en-US" w:eastAsia="zh-CN" w:bidi="ar-SA"/>
        </w:rPr>
        <w:t>（三）</w:t>
      </w:r>
      <w:r>
        <w:rPr>
          <w:rFonts w:hint="default" w:ascii="Times New Roman" w:hAnsi="Times New Roman" w:eastAsia="仿宋_GB2312" w:cs="Times New Roman"/>
          <w:b/>
          <w:bCs/>
          <w:kern w:val="2"/>
          <w:sz w:val="32"/>
          <w:szCs w:val="21"/>
          <w:lang w:val="en-US" w:eastAsia="zh-CN" w:bidi="ar-SA"/>
        </w:rPr>
        <w:t>认定程序。</w:t>
      </w:r>
      <w:r>
        <w:rPr>
          <w:rFonts w:hint="default" w:ascii="Times New Roman" w:hAnsi="Times New Roman" w:eastAsia="仿宋_GB2312" w:cs="Times New Roman"/>
          <w:kern w:val="2"/>
          <w:sz w:val="32"/>
          <w:szCs w:val="21"/>
          <w:lang w:val="en-US" w:eastAsia="zh-CN" w:bidi="ar-SA"/>
        </w:rPr>
        <w:t>一是明确认定主体，认定的主体为各区（县）人民政府、南太湖新区管委会作为本行政辖区范围内城镇低效用地认定的责任主体。二是细化认定程序</w:t>
      </w:r>
      <w:r>
        <w:rPr>
          <w:rFonts w:hint="eastAsia" w:ascii="Times New Roman" w:hAnsi="Times New Roman" w:eastAsia="仿宋_GB2312" w:cs="Times New Roman"/>
          <w:kern w:val="2"/>
          <w:sz w:val="32"/>
          <w:szCs w:val="21"/>
          <w:lang w:val="en-US" w:eastAsia="zh-CN" w:bidi="ar-SA"/>
        </w:rPr>
        <w:t>，</w:t>
      </w:r>
      <w:r>
        <w:rPr>
          <w:rFonts w:hint="default" w:ascii="Times New Roman" w:hAnsi="Times New Roman" w:eastAsia="仿宋_GB2312" w:cs="Times New Roman"/>
          <w:kern w:val="2"/>
          <w:sz w:val="32"/>
          <w:szCs w:val="21"/>
          <w:lang w:val="en-US" w:eastAsia="zh-CN" w:bidi="ar-SA"/>
        </w:rPr>
        <w:t>调查取证、认定审核、建立台账。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bidi="ar"/>
        </w:rPr>
      </w:pPr>
    </w:p>
    <w:p/>
    <w:sectPr>
      <w:pgSz w:w="11906" w:h="16838"/>
      <w:pgMar w:top="1587" w:right="1587" w:bottom="1587" w:left="1587" w:header="851" w:footer="992" w:gutter="0"/>
      <w:cols w:space="72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5107B"/>
    <w:rsid w:val="248A06AA"/>
    <w:rsid w:val="5B0F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widowControl w:val="0"/>
      <w:snapToGrid w:val="0"/>
      <w:spacing w:line="580" w:lineRule="exact"/>
      <w:ind w:firstLine="420"/>
    </w:pPr>
    <w:rPr>
      <w:rFonts w:ascii="仿宋_GB2312" w:hAnsi="Calibri" w:eastAsia="宋体" w:cs="黑体"/>
      <w:color w:val="FF0000"/>
      <w:sz w:val="31"/>
      <w:szCs w:val="24"/>
    </w:rPr>
  </w:style>
  <w:style w:type="paragraph" w:styleId="3">
    <w:name w:val="Body Text Indent"/>
    <w:basedOn w:val="1"/>
    <w:next w:val="4"/>
    <w:qFormat/>
    <w:uiPriority w:val="0"/>
    <w:pPr>
      <w:adjustRightInd/>
      <w:spacing w:line="240" w:lineRule="auto"/>
      <w:ind w:left="-6" w:leftChars="-600" w:hanging="1254" w:hangingChars="261"/>
      <w:textAlignment w:val="auto"/>
    </w:pPr>
    <w:rPr>
      <w:b/>
      <w:bCs/>
      <w:color w:val="FF0000"/>
      <w:kern w:val="2"/>
      <w:sz w:val="48"/>
      <w:szCs w:val="24"/>
    </w:rPr>
  </w:style>
  <w:style w:type="paragraph" w:styleId="4">
    <w:name w:val="Normal Indent"/>
    <w:basedOn w:val="1"/>
    <w:next w:val="1"/>
    <w:qFormat/>
    <w:uiPriority w:val="99"/>
    <w:pPr>
      <w:widowControl w:val="0"/>
      <w:snapToGrid w:val="0"/>
      <w:spacing w:line="600" w:lineRule="atLeast"/>
      <w:ind w:firstLine="420" w:firstLineChars="200"/>
      <w:textAlignment w:val="baseline"/>
    </w:pPr>
    <w:rPr>
      <w:rFonts w:ascii="Times New Roman" w:hAnsi="Times New Roman" w:eastAsia="仿宋" w:cs="Times New Roman"/>
      <w:sz w:val="30"/>
    </w:rPr>
  </w:style>
  <w:style w:type="paragraph" w:customStyle="1" w:styleId="5">
    <w:name w:val="0"/>
    <w:basedOn w:val="1"/>
    <w:qFormat/>
    <w:uiPriority w:val="0"/>
    <w:pPr>
      <w:widowControl/>
      <w:snapToGrid w:val="0"/>
      <w:spacing w:line="600" w:lineRule="atLeast"/>
      <w:ind w:firstLine="567" w:firstLineChars="0"/>
      <w:textAlignment w:val="baseline"/>
    </w:pPr>
    <w:rPr>
      <w:rFonts w:ascii="Times New Roman" w:hAnsi="Times New Roman" w:eastAsia="仿宋_GB2312" w:cs="Times New Roman"/>
      <w:sz w:val="32"/>
      <w:szCs w:val="21"/>
    </w:rPr>
  </w:style>
  <w:style w:type="paragraph" w:styleId="6">
    <w:name w:val="footnote text"/>
    <w:basedOn w:val="1"/>
    <w:unhideWhenUsed/>
    <w:qFormat/>
    <w:uiPriority w:val="99"/>
    <w:pPr>
      <w:snapToGrid w:val="0"/>
      <w:jc w:val="left"/>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2025-04-30T03:57:00Z</dcterms:created>
  <dc:creator>admin</dc:creator>
  <lastModifiedBy>aaa</lastModifiedBy>
  <dcterms:modified xsi:type="dcterms:W3CDTF">2025-06-11T02:52:14Z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7BCEA4A5F4F94C1094D050044A6B98F7</vt:lpwstr>
  </property>
</Properties>
</file>