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37922">
      <w:pPr>
        <w:pStyle w:val="2"/>
        <w:spacing w:line="380" w:lineRule="exact"/>
        <w:ind w:firstLine="0" w:firstLineChars="0"/>
        <w:jc w:val="righ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color w:val="171A1D"/>
          <w:sz w:val="32"/>
          <w:szCs w:val="32"/>
          <w:shd w:val="clear" w:color="auto" w:fill="FFFFFF"/>
        </w:rPr>
        <w:t>EWXD00-2021-0003</w:t>
      </w:r>
    </w:p>
    <w:p w14:paraId="3E8ACFD0">
      <w:pPr>
        <w:pStyle w:val="2"/>
        <w:spacing w:line="240" w:lineRule="exact"/>
        <w:ind w:firstLine="0" w:firstLineChars="0"/>
        <w:rPr>
          <w:rFonts w:ascii="仿宋_GB2312" w:eastAsia="仿宋_GB2312"/>
          <w:b w:val="0"/>
          <w:sz w:val="32"/>
          <w:szCs w:val="32"/>
        </w:rPr>
      </w:pPr>
    </w:p>
    <w:p w14:paraId="6E533CD2">
      <w:pPr>
        <w:pStyle w:val="2"/>
        <w:spacing w:line="240" w:lineRule="exact"/>
        <w:ind w:firstLine="0" w:firstLineChars="0"/>
        <w:rPr>
          <w:rFonts w:ascii="仿宋_GB2312" w:eastAsia="仿宋_GB2312"/>
          <w:b w:val="0"/>
          <w:sz w:val="32"/>
          <w:szCs w:val="32"/>
        </w:rPr>
      </w:pPr>
    </w:p>
    <w:p w14:paraId="0A513177">
      <w:pPr>
        <w:topLinePunct/>
        <w:adjustRightInd w:val="0"/>
        <w:snapToGrid w:val="0"/>
        <w:jc w:val="center"/>
        <w:rPr>
          <w:rFonts w:ascii="方正小标宋简体" w:hAnsi="方正小标宋简体" w:eastAsia="方正小标宋简体" w:cs="方正小标宋简体"/>
          <w:bCs/>
          <w:color w:val="FF0000"/>
          <w:w w:val="95"/>
          <w:sz w:val="64"/>
          <w:szCs w:val="64"/>
        </w:rPr>
      </w:pPr>
      <w:r>
        <w:rPr>
          <w:rFonts w:hint="eastAsia" w:ascii="方正小标宋简体" w:hAnsi="方正小标宋简体" w:eastAsia="方正小标宋简体" w:cs="方正小标宋简体"/>
          <w:bCs/>
          <w:color w:val="FF0000"/>
          <w:w w:val="80"/>
          <w:sz w:val="84"/>
          <w:szCs w:val="24"/>
        </w:rPr>
        <w:t>湖州市吴兴区人民政府文件</w:t>
      </w:r>
    </w:p>
    <w:p w14:paraId="67E3485E">
      <w:pPr>
        <w:spacing w:line="240" w:lineRule="exact"/>
      </w:pPr>
    </w:p>
    <w:p w14:paraId="155C2973">
      <w:pPr>
        <w:spacing w:line="240" w:lineRule="exact"/>
      </w:pPr>
    </w:p>
    <w:p w14:paraId="0BAED874">
      <w:pPr>
        <w:spacing w:line="240" w:lineRule="exact"/>
      </w:pPr>
    </w:p>
    <w:p w14:paraId="4DB28C0B">
      <w:pPr>
        <w:spacing w:line="560" w:lineRule="exact"/>
        <w:jc w:val="center"/>
        <w:rPr>
          <w:rFonts w:eastAsia="仿宋_GB2312"/>
          <w:sz w:val="32"/>
          <w:szCs w:val="32"/>
        </w:rPr>
      </w:pPr>
      <w:bookmarkStart w:id="0" w:name="文号"/>
      <w:r>
        <w:rPr>
          <w:rFonts w:eastAsia="仿宋_GB2312"/>
          <w:sz w:val="32"/>
          <w:szCs w:val="32"/>
        </w:rPr>
        <w:t>吴政发〔2021〕39号</w:t>
      </w:r>
      <w:bookmarkEnd w:id="0"/>
    </w:p>
    <w:p w14:paraId="55B35AC9">
      <w:pPr>
        <w:spacing w:line="240" w:lineRule="exact"/>
      </w:pPr>
      <w: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46990</wp:posOffset>
                </wp:positionV>
                <wp:extent cx="5829300" cy="0"/>
                <wp:effectExtent l="0" t="13970" r="0" b="24130"/>
                <wp:wrapNone/>
                <wp:docPr id="11" name="直接连接符 11"/>
                <wp:cNvGraphicFramePr/>
                <a:graphic xmlns:a="http://schemas.openxmlformats.org/drawingml/2006/main">
                  <a:graphicData uri="http://schemas.microsoft.com/office/word/2010/wordprocessingShape">
                    <wps:wsp>
                      <wps:cNvCnPr/>
                      <wps:spPr>
                        <a:xfrm>
                          <a:off x="0" y="0"/>
                          <a:ext cx="58293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9.75pt;margin-top:3.7pt;height:0pt;width:459pt;z-index:251659264;mso-width-relative:page;mso-height-relative:page;" filled="f" stroked="t" coordsize="21600,21600" o:gfxdata="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nnFU9QAAAAHAQAADwAAAAAAAAABACAAAAAiAAAAZHJzL2Rvd25yZXYueG1sUEsBAhQAFAAAAAgA&#10;h07iQLiO/rTwAQAA2wMAAA4AAAAAAAAAAQAgAAAAIwEAAGRycy9lMm9Eb2MueG1sUEsFBgAAAAAG&#10;AAYAWQEAAIUFAAAAAA==&#10;">
                <v:fill on="f" focussize="0,0"/>
                <v:stroke weight="2.25pt" color="#FF0000" joinstyle="round"/>
                <v:imagedata o:title=""/>
                <o:lock v:ext="edit" aspectratio="f"/>
              </v:line>
            </w:pict>
          </mc:Fallback>
        </mc:AlternateContent>
      </w:r>
    </w:p>
    <w:p w14:paraId="5CAEB439">
      <w:pPr>
        <w:pStyle w:val="15"/>
        <w:rPr>
          <w:rFonts w:ascii="Times New Roman" w:hAnsi="Times New Roman"/>
        </w:rPr>
      </w:pPr>
    </w:p>
    <w:p w14:paraId="3544DB6E">
      <w:pPr>
        <w:spacing w:line="600" w:lineRule="exact"/>
        <w:jc w:val="center"/>
        <w:rPr>
          <w:rFonts w:eastAsia="方正小标宋简体"/>
          <w:spacing w:val="-8"/>
          <w:sz w:val="44"/>
          <w:szCs w:val="44"/>
        </w:rPr>
      </w:pPr>
    </w:p>
    <w:p w14:paraId="2DA2D3F1">
      <w:pPr>
        <w:spacing w:line="560" w:lineRule="exact"/>
        <w:jc w:val="center"/>
        <w:rPr>
          <w:rFonts w:ascii="方正小标宋简体" w:eastAsia="方正小标宋简体"/>
          <w:spacing w:val="-8"/>
          <w:sz w:val="44"/>
          <w:szCs w:val="44"/>
        </w:rPr>
      </w:pPr>
      <w:r>
        <w:rPr>
          <w:rFonts w:hint="eastAsia" w:ascii="方正小标宋简体" w:eastAsia="方正小标宋简体"/>
          <w:spacing w:val="-8"/>
          <w:sz w:val="44"/>
          <w:szCs w:val="44"/>
        </w:rPr>
        <w:t>吴兴区人民政府关于印发吴兴区</w:t>
      </w:r>
    </w:p>
    <w:p w14:paraId="5AA99B3E">
      <w:pPr>
        <w:spacing w:line="560" w:lineRule="exact"/>
        <w:jc w:val="center"/>
        <w:rPr>
          <w:rFonts w:ascii="方正小标宋简体" w:hAnsi="方正小标宋简体" w:eastAsia="方正小标宋简体" w:cs="方正小标宋简体"/>
          <w:sz w:val="44"/>
          <w:szCs w:val="44"/>
        </w:rPr>
      </w:pPr>
      <w:r>
        <w:rPr>
          <w:rFonts w:hint="eastAsia" w:ascii="方正小标宋简体" w:eastAsia="方正小标宋简体"/>
          <w:spacing w:val="-8"/>
          <w:sz w:val="44"/>
          <w:szCs w:val="44"/>
        </w:rPr>
        <w:t>新一轮制造业</w:t>
      </w:r>
      <w:r>
        <w:rPr>
          <w:rFonts w:hint="eastAsia" w:ascii="方正小标宋简体" w:eastAsia="方正小标宋简体"/>
          <w:sz w:val="44"/>
          <w:szCs w:val="44"/>
        </w:rPr>
        <w:t>“腾笼换鸟、凤凰涅</w:t>
      </w:r>
      <w:r>
        <w:rPr>
          <w:rFonts w:hint="eastAsia" w:ascii="宋体" w:hAnsi="宋体" w:cs="宋体"/>
          <w:sz w:val="44"/>
          <w:szCs w:val="44"/>
        </w:rPr>
        <w:t>槃</w:t>
      </w:r>
      <w:r>
        <w:rPr>
          <w:rFonts w:hint="eastAsia" w:ascii="方正小标宋简体" w:hAnsi="方正小标宋简体" w:eastAsia="方正小标宋简体" w:cs="方正小标宋简体"/>
          <w:sz w:val="44"/>
          <w:szCs w:val="44"/>
        </w:rPr>
        <w:t>”攻坚</w:t>
      </w:r>
    </w:p>
    <w:p w14:paraId="37B5796F">
      <w:pPr>
        <w:spacing w:line="56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行动方案(</w:t>
      </w:r>
      <w:r>
        <w:rPr>
          <w:rFonts w:hint="eastAsia" w:ascii="方正小标宋简体" w:eastAsia="方正小标宋简体"/>
          <w:sz w:val="44"/>
          <w:szCs w:val="44"/>
        </w:rPr>
        <w:t>2021-2023年）的通知</w:t>
      </w:r>
    </w:p>
    <w:p w14:paraId="48005DFB">
      <w:pPr>
        <w:spacing w:line="560" w:lineRule="exact"/>
        <w:rPr>
          <w:rFonts w:eastAsia="黑体"/>
          <w:sz w:val="32"/>
          <w:szCs w:val="32"/>
        </w:rPr>
      </w:pPr>
    </w:p>
    <w:p w14:paraId="51224B09">
      <w:pPr>
        <w:spacing w:line="560" w:lineRule="exact"/>
        <w:rPr>
          <w:rFonts w:eastAsia="仿宋_GB2312"/>
          <w:spacing w:val="-12"/>
          <w:w w:val="90"/>
          <w:sz w:val="32"/>
          <w:szCs w:val="32"/>
        </w:rPr>
      </w:pPr>
      <w:r>
        <w:rPr>
          <w:rFonts w:eastAsia="仿宋_GB2312"/>
          <w:spacing w:val="-12"/>
          <w:w w:val="90"/>
          <w:sz w:val="32"/>
          <w:szCs w:val="32"/>
        </w:rPr>
        <w:t>高新区管委会，各乡镇人民政府、街道办事处，区府各部门，区直各单位：</w:t>
      </w:r>
    </w:p>
    <w:p w14:paraId="2BA584D8">
      <w:pPr>
        <w:tabs>
          <w:tab w:val="left" w:pos="7560"/>
          <w:tab w:val="left" w:pos="7770"/>
          <w:tab w:val="left" w:pos="7980"/>
        </w:tabs>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吴兴区</w:t>
      </w:r>
      <w:r>
        <w:rPr>
          <w:rFonts w:eastAsia="仿宋_GB2312"/>
          <w:sz w:val="32"/>
          <w:szCs w:val="32"/>
        </w:rPr>
        <w:t>新一轮制造业“腾笼换鸟、凤凰涅槃”攻坚行动方案(2021-2023年）》已经</w:t>
      </w:r>
      <w:r>
        <w:rPr>
          <w:rFonts w:hint="eastAsia" w:eastAsia="仿宋_GB2312"/>
          <w:sz w:val="32"/>
          <w:szCs w:val="32"/>
        </w:rPr>
        <w:t>区</w:t>
      </w:r>
      <w:r>
        <w:rPr>
          <w:rFonts w:eastAsia="仿宋_GB2312"/>
          <w:sz w:val="32"/>
          <w:szCs w:val="32"/>
        </w:rPr>
        <w:t>政府同意，现印发给你们，请认真贯彻落实。</w:t>
      </w:r>
    </w:p>
    <w:p w14:paraId="07E60D84">
      <w:pPr>
        <w:spacing w:line="560" w:lineRule="exact"/>
        <w:rPr>
          <w:rFonts w:eastAsia="仿宋_GB2312"/>
          <w:sz w:val="32"/>
          <w:szCs w:val="32"/>
        </w:rPr>
      </w:pPr>
    </w:p>
    <w:p w14:paraId="1FA13987">
      <w:pPr>
        <w:spacing w:line="560" w:lineRule="exact"/>
        <w:rPr>
          <w:rFonts w:eastAsia="仿宋_GB2312"/>
          <w:sz w:val="32"/>
          <w:szCs w:val="32"/>
        </w:rPr>
      </w:pPr>
    </w:p>
    <w:p w14:paraId="0728A8D8">
      <w:pPr>
        <w:pStyle w:val="14"/>
        <w:tabs>
          <w:tab w:val="left" w:pos="4840"/>
          <w:tab w:val="left" w:pos="7770"/>
        </w:tabs>
        <w:ind w:firstLine="320"/>
        <w:jc w:val="both"/>
        <w:rPr>
          <w:rFonts w:eastAsia="仿宋_GB2312"/>
          <w:szCs w:val="32"/>
        </w:rPr>
      </w:pPr>
      <w:r>
        <w:rPr>
          <w:rFonts w:eastAsia="仿宋_GB2312"/>
          <w:szCs w:val="32"/>
        </w:rPr>
        <w:t xml:space="preserve">                        </w:t>
      </w:r>
      <w:r>
        <w:rPr>
          <w:rFonts w:hint="eastAsia" w:eastAsia="仿宋_GB2312"/>
          <w:szCs w:val="32"/>
        </w:rPr>
        <w:t xml:space="preserve">   </w:t>
      </w:r>
      <w:r>
        <w:rPr>
          <w:rFonts w:eastAsia="仿宋_GB2312"/>
          <w:szCs w:val="32"/>
        </w:rPr>
        <w:t xml:space="preserve"> </w:t>
      </w:r>
      <w:r>
        <w:rPr>
          <w:rFonts w:hint="eastAsia" w:eastAsia="仿宋_GB2312"/>
          <w:szCs w:val="32"/>
        </w:rPr>
        <w:t>吴兴区人民政府</w:t>
      </w:r>
      <w:r>
        <w:rPr>
          <w:rFonts w:eastAsia="仿宋_GB2312"/>
          <w:szCs w:val="32"/>
        </w:rPr>
        <w:t xml:space="preserve"> </w:t>
      </w:r>
    </w:p>
    <w:p w14:paraId="3DE20DCE">
      <w:pPr>
        <w:tabs>
          <w:tab w:val="left" w:pos="7770"/>
        </w:tabs>
        <w:spacing w:line="560" w:lineRule="exact"/>
        <w:rPr>
          <w:rFonts w:eastAsia="仿宋_GB2312"/>
          <w:sz w:val="32"/>
          <w:szCs w:val="32"/>
        </w:rPr>
      </w:pPr>
      <w:r>
        <w:rPr>
          <w:rFonts w:eastAsia="仿宋_GB2312"/>
          <w:sz w:val="32"/>
          <w:szCs w:val="32"/>
        </w:rPr>
        <w:t xml:space="preserve">                             2021年</w:t>
      </w:r>
      <w:r>
        <w:rPr>
          <w:rFonts w:hint="eastAsia" w:eastAsia="仿宋_GB2312"/>
          <w:sz w:val="32"/>
          <w:szCs w:val="32"/>
        </w:rPr>
        <w:t>12</w:t>
      </w:r>
      <w:r>
        <w:rPr>
          <w:rFonts w:eastAsia="仿宋_GB2312"/>
          <w:sz w:val="32"/>
          <w:szCs w:val="32"/>
        </w:rPr>
        <w:t>月29日</w:t>
      </w:r>
    </w:p>
    <w:p w14:paraId="24387F8A">
      <w:pPr>
        <w:adjustRightInd w:val="0"/>
        <w:snapToGrid w:val="0"/>
        <w:spacing w:line="560" w:lineRule="exact"/>
        <w:outlineLvl w:val="0"/>
        <w:rPr>
          <w:rFonts w:eastAsia="方正小标宋简体"/>
          <w:sz w:val="32"/>
          <w:szCs w:val="32"/>
        </w:rPr>
      </w:pPr>
      <w:r>
        <w:rPr>
          <w:rFonts w:eastAsia="方正小标宋简体"/>
          <w:sz w:val="32"/>
          <w:szCs w:val="32"/>
        </w:rPr>
        <w:br w:type="page"/>
      </w:r>
    </w:p>
    <w:p w14:paraId="26819399">
      <w:pPr>
        <w:pStyle w:val="15"/>
        <w:spacing w:line="560" w:lineRule="exact"/>
        <w:rPr>
          <w:rFonts w:ascii="仿宋_GB2312" w:hAnsi="黑体" w:eastAsia="仿宋_GB2312"/>
          <w:sz w:val="32"/>
          <w:szCs w:val="32"/>
        </w:rPr>
      </w:pPr>
    </w:p>
    <w:p w14:paraId="54080C7A">
      <w:pPr>
        <w:adjustRightInd w:val="0"/>
        <w:snapToGrid w:val="0"/>
        <w:spacing w:line="560" w:lineRule="exact"/>
        <w:jc w:val="center"/>
        <w:rPr>
          <w:rFonts w:ascii="方正小标宋简体" w:eastAsia="方正小标宋简体"/>
          <w:w w:val="95"/>
          <w:sz w:val="36"/>
          <w:szCs w:val="36"/>
        </w:rPr>
      </w:pPr>
      <w:r>
        <w:rPr>
          <w:rFonts w:hint="eastAsia" w:ascii="方正小标宋简体" w:eastAsia="方正小标宋简体"/>
          <w:sz w:val="36"/>
          <w:szCs w:val="36"/>
        </w:rPr>
        <w:t>吴兴区新一轮制造业“腾笼换鸟、凤凰涅</w:t>
      </w:r>
      <w:r>
        <w:rPr>
          <w:rFonts w:hint="eastAsia" w:ascii="宋体" w:hAnsi="宋体" w:cs="宋体"/>
          <w:sz w:val="36"/>
          <w:szCs w:val="36"/>
        </w:rPr>
        <w:t>槃</w:t>
      </w:r>
      <w:r>
        <w:rPr>
          <w:rFonts w:hint="eastAsia" w:ascii="方正小标宋简体" w:hAnsi="方正小标宋简体" w:eastAsia="方正小标宋简体" w:cs="方正小标宋简体"/>
          <w:sz w:val="36"/>
          <w:szCs w:val="36"/>
        </w:rPr>
        <w:t>”</w:t>
      </w:r>
      <w:r>
        <w:rPr>
          <w:rFonts w:hint="eastAsia" w:ascii="方正小标宋简体" w:eastAsia="方正小标宋简体"/>
          <w:w w:val="95"/>
          <w:sz w:val="36"/>
          <w:szCs w:val="36"/>
        </w:rPr>
        <w:t>攻坚行动</w:t>
      </w:r>
    </w:p>
    <w:p w14:paraId="53D3917D">
      <w:pPr>
        <w:adjustRightInd w:val="0"/>
        <w:snapToGrid w:val="0"/>
        <w:spacing w:line="560" w:lineRule="exact"/>
        <w:jc w:val="center"/>
        <w:rPr>
          <w:rFonts w:ascii="方正小标宋简体" w:eastAsia="方正小标宋简体"/>
          <w:w w:val="95"/>
          <w:sz w:val="36"/>
          <w:szCs w:val="36"/>
        </w:rPr>
      </w:pPr>
      <w:r>
        <w:rPr>
          <w:rFonts w:hint="eastAsia" w:ascii="方正小标宋简体" w:eastAsia="方正小标宋简体"/>
          <w:w w:val="95"/>
          <w:sz w:val="36"/>
          <w:szCs w:val="36"/>
        </w:rPr>
        <w:t>方案(2021-2023年）</w:t>
      </w:r>
    </w:p>
    <w:p w14:paraId="76815B33">
      <w:pPr>
        <w:pStyle w:val="14"/>
        <w:ind w:firstLine="640" w:firstLineChars="200"/>
        <w:rPr>
          <w:rFonts w:eastAsia="仿宋_GB2312"/>
          <w:szCs w:val="32"/>
        </w:rPr>
      </w:pPr>
    </w:p>
    <w:p w14:paraId="5B9497DB">
      <w:pPr>
        <w:adjustRightInd w:val="0"/>
        <w:snapToGrid w:val="0"/>
        <w:spacing w:line="560" w:lineRule="exact"/>
        <w:ind w:firstLine="640" w:firstLineChars="200"/>
        <w:rPr>
          <w:rFonts w:eastAsia="仿宋_GB2312"/>
          <w:sz w:val="32"/>
          <w:szCs w:val="32"/>
        </w:rPr>
      </w:pPr>
      <w:r>
        <w:rPr>
          <w:rFonts w:eastAsia="仿宋_GB2312"/>
          <w:sz w:val="32"/>
          <w:szCs w:val="32"/>
        </w:rPr>
        <w:t>为贯彻落实省、市新一轮制造业“腾笼换鸟、凤凰涅槃”攻坚行动推进大会精神，</w:t>
      </w:r>
      <w:r>
        <w:rPr>
          <w:rFonts w:eastAsia="仿宋_GB2312"/>
          <w:color w:val="000000" w:themeColor="text1"/>
          <w:sz w:val="32"/>
          <w:szCs w:val="32"/>
          <w14:textFill>
            <w14:solidFill>
              <w14:schemeClr w14:val="tx1"/>
            </w14:solidFill>
          </w14:textFill>
        </w:rPr>
        <w:t>加快推动制造业高质量发展，</w:t>
      </w:r>
      <w:r>
        <w:rPr>
          <w:rFonts w:eastAsia="仿宋_GB2312"/>
          <w:sz w:val="32"/>
          <w:szCs w:val="32"/>
        </w:rPr>
        <w:t>根据《浙江省新一轮制造业“腾笼换鸟、凤凰涅槃”攻坚行动方案(2021-2023年）》、《湖州市新一轮制造业“腾笼换鸟、凤凰涅槃”攻坚行动方案(2021-2023年）》，特制定本实施方案。</w:t>
      </w:r>
    </w:p>
    <w:p w14:paraId="6E928EC9">
      <w:pPr>
        <w:adjustRightInd w:val="0"/>
        <w:snapToGrid w:val="0"/>
        <w:spacing w:line="560" w:lineRule="exact"/>
        <w:ind w:firstLine="640" w:firstLineChars="200"/>
        <w:rPr>
          <w:rFonts w:eastAsia="黑体"/>
          <w:kern w:val="0"/>
          <w:sz w:val="32"/>
          <w:szCs w:val="32"/>
        </w:rPr>
      </w:pPr>
      <w:r>
        <w:rPr>
          <w:rFonts w:eastAsia="黑体"/>
          <w:kern w:val="0"/>
          <w:sz w:val="32"/>
          <w:szCs w:val="32"/>
        </w:rPr>
        <w:t>一、总体要求</w:t>
      </w:r>
    </w:p>
    <w:p w14:paraId="077CBA3F">
      <w:pPr>
        <w:adjustRightInd w:val="0"/>
        <w:snapToGrid w:val="0"/>
        <w:spacing w:line="560" w:lineRule="exact"/>
        <w:ind w:firstLine="640" w:firstLineChars="200"/>
        <w:rPr>
          <w:rFonts w:eastAsia="仿宋_GB2312"/>
          <w:sz w:val="32"/>
          <w:szCs w:val="32"/>
        </w:rPr>
      </w:pPr>
      <w:r>
        <w:rPr>
          <w:rFonts w:eastAsia="仿宋_GB2312"/>
          <w:sz w:val="32"/>
          <w:szCs w:val="32"/>
        </w:rPr>
        <w:t>坚持以习近平新时代中国特色社会主义思想为指导，立足新发展阶段，贯彻新发展理念，构建新发展格局，对标争当浙江高质量发展建设共同富裕示范区的模范生新目标新要求，持续深化“亩均论英雄”改革，全力推进低碳试点区县创建，加快实施淘汰落后、创新强工、招大引强、质量提升、企业培育攻坚行动，推动经济发展质量变革、效率变革、动力变革，构建以数字经济为引领的现代产业体系。</w:t>
      </w:r>
    </w:p>
    <w:p w14:paraId="5701B4DD">
      <w:pPr>
        <w:adjustRightInd w:val="0"/>
        <w:snapToGrid w:val="0"/>
        <w:spacing w:line="560" w:lineRule="exact"/>
        <w:ind w:firstLine="640" w:firstLineChars="200"/>
        <w:rPr>
          <w:rFonts w:eastAsia="黑体"/>
          <w:kern w:val="0"/>
          <w:sz w:val="32"/>
          <w:szCs w:val="32"/>
        </w:rPr>
      </w:pPr>
      <w:r>
        <w:rPr>
          <w:rFonts w:eastAsia="黑体"/>
          <w:kern w:val="0"/>
          <w:sz w:val="32"/>
          <w:szCs w:val="32"/>
        </w:rPr>
        <w:t>二、实施目标</w:t>
      </w:r>
    </w:p>
    <w:p w14:paraId="7784620A">
      <w:pPr>
        <w:adjustRightInd w:val="0"/>
        <w:snapToGrid w:val="0"/>
        <w:spacing w:line="560" w:lineRule="exact"/>
        <w:ind w:firstLine="640" w:firstLineChars="200"/>
        <w:rPr>
          <w:rFonts w:eastAsia="仿宋_GB2312"/>
          <w:sz w:val="32"/>
          <w:szCs w:val="32"/>
        </w:rPr>
      </w:pPr>
      <w:r>
        <w:rPr>
          <w:rFonts w:eastAsia="仿宋_GB2312"/>
          <w:sz w:val="32"/>
          <w:szCs w:val="32"/>
        </w:rPr>
        <w:t>通过三年攻坚，全区制造业质量效益达到全省平均水平，其中规上工业亩均税收达到38万元，亩均增加值达到200万元，规上制造业全员</w:t>
      </w:r>
      <w:r>
        <w:rPr>
          <w:rFonts w:eastAsia="仿宋_GB2312"/>
          <w:sz w:val="32"/>
          <w:szCs w:val="32"/>
          <w:lang w:val="en"/>
        </w:rPr>
        <w:t>劳动生产率达到</w:t>
      </w:r>
      <w:r>
        <w:rPr>
          <w:rFonts w:eastAsia="仿宋_GB2312"/>
          <w:sz w:val="32"/>
          <w:szCs w:val="32"/>
        </w:rPr>
        <w:t>33万元/人。腾出发展新空间，力争三年完成高耗低效企业整治淘汰250家以上，腾出用能8万吨标准煤以上，减碳15万吨以上，完成单位工业增加值能耗、水耗等省市下达任务；实现科技创新突破，规上制造业研发经费支出占营业收入比重达到3.2%；加速项目“双进”攻坚，引进总投资额超100亿元项目3个以上，引进亿元以上项目200个以上；提升品质制造水平，</w:t>
      </w:r>
      <w:r>
        <w:rPr>
          <w:rFonts w:eastAsia="仿宋_GB2312"/>
          <w:bCs/>
          <w:sz w:val="32"/>
          <w:szCs w:val="32"/>
        </w:rPr>
        <w:t>新增“浙江制造”标准10项，培育“品字标”品牌企业30家，全力推动制造业高质量示范区建设</w:t>
      </w:r>
      <w:r>
        <w:rPr>
          <w:rFonts w:eastAsia="仿宋_GB2312"/>
          <w:sz w:val="32"/>
          <w:szCs w:val="32"/>
        </w:rPr>
        <w:t>。</w:t>
      </w:r>
    </w:p>
    <w:p w14:paraId="2CB21F15">
      <w:pPr>
        <w:adjustRightInd w:val="0"/>
        <w:snapToGrid w:val="0"/>
        <w:spacing w:line="560" w:lineRule="exact"/>
        <w:ind w:firstLine="640" w:firstLineChars="200"/>
        <w:rPr>
          <w:rFonts w:eastAsia="黑体"/>
          <w:kern w:val="0"/>
          <w:sz w:val="32"/>
          <w:szCs w:val="32"/>
        </w:rPr>
      </w:pPr>
      <w:r>
        <w:rPr>
          <w:rFonts w:eastAsia="黑体"/>
          <w:kern w:val="0"/>
          <w:sz w:val="32"/>
          <w:szCs w:val="32"/>
        </w:rPr>
        <w:t>三、重点任务</w:t>
      </w:r>
    </w:p>
    <w:p w14:paraId="485F2F70">
      <w:pPr>
        <w:adjustRightInd w:val="0"/>
        <w:snapToGrid w:val="0"/>
        <w:spacing w:line="560" w:lineRule="exact"/>
        <w:ind w:firstLine="643" w:firstLineChars="200"/>
        <w:rPr>
          <w:rFonts w:eastAsia="楷体_GB2312"/>
          <w:b/>
          <w:kern w:val="0"/>
          <w:sz w:val="32"/>
          <w:szCs w:val="32"/>
        </w:rPr>
      </w:pPr>
      <w:r>
        <w:rPr>
          <w:rFonts w:eastAsia="楷体_GB2312"/>
          <w:b/>
          <w:kern w:val="0"/>
          <w:sz w:val="32"/>
          <w:szCs w:val="32"/>
        </w:rPr>
        <w:t>(一）实施淘汰落后攻坚行动</w:t>
      </w:r>
    </w:p>
    <w:p w14:paraId="06ABA81E">
      <w:pPr>
        <w:adjustRightInd w:val="0"/>
        <w:snapToGrid w:val="0"/>
        <w:spacing w:line="560" w:lineRule="exact"/>
        <w:ind w:firstLine="643" w:firstLineChars="200"/>
        <w:rPr>
          <w:rFonts w:eastAsia="楷体_GB2312"/>
          <w:sz w:val="32"/>
          <w:szCs w:val="32"/>
        </w:rPr>
      </w:pPr>
      <w:r>
        <w:rPr>
          <w:rFonts w:eastAsia="仿宋_GB2312"/>
          <w:b/>
          <w:kern w:val="0"/>
          <w:sz w:val="32"/>
          <w:szCs w:val="32"/>
        </w:rPr>
        <w:t>1. 坚决淘汰整治高耗低效企业。</w:t>
      </w:r>
      <w:r>
        <w:rPr>
          <w:rFonts w:eastAsia="仿宋_GB2312"/>
          <w:bCs/>
          <w:kern w:val="0"/>
          <w:sz w:val="32"/>
          <w:szCs w:val="32"/>
        </w:rPr>
        <w:t>根据省</w:t>
      </w:r>
      <w:r>
        <w:rPr>
          <w:rFonts w:eastAsia="仿宋_GB2312"/>
          <w:sz w:val="32"/>
          <w:szCs w:val="32"/>
        </w:rPr>
        <w:t>制造业高耗低效企业分区域分行业指南，结合“三低”企业标准，进一步细化高耗低效企业认定标准，全面排摸并建立高耗低效整治企业清单。</w:t>
      </w:r>
      <w:r>
        <w:rPr>
          <w:rFonts w:eastAsia="楷体_GB2312"/>
          <w:sz w:val="32"/>
          <w:szCs w:val="32"/>
        </w:rPr>
        <w:t>(责任单位：区发改经信局、区自然资源和规划分局，列第一位的为牵头单位，高新区管委会、各乡镇人民政府、环渚街道办事处、湖东街道办事处为责任主体，下同）</w:t>
      </w:r>
      <w:r>
        <w:rPr>
          <w:rFonts w:eastAsia="仿宋_GB2312"/>
          <w:sz w:val="32"/>
          <w:szCs w:val="32"/>
        </w:rPr>
        <w:t>2021年底前，严格按照安全、环保、质量、能源等法律法规、强制性标准和政策，</w:t>
      </w:r>
      <w:r>
        <w:rPr>
          <w:rFonts w:eastAsia="仿宋_GB2312"/>
          <w:bCs/>
          <w:kern w:val="0"/>
          <w:sz w:val="32"/>
          <w:szCs w:val="32"/>
        </w:rPr>
        <w:t>制定整治提升方案，实施分类整治。对存在违法违规等的企业限期整改，逾期未整改或经整改仍未达标的，坚决依法</w:t>
      </w:r>
      <w:r>
        <w:rPr>
          <w:rFonts w:hint="eastAsia" w:eastAsia="仿宋_GB2312"/>
          <w:bCs/>
          <w:kern w:val="0"/>
          <w:sz w:val="32"/>
          <w:szCs w:val="32"/>
        </w:rPr>
        <w:t>处置</w:t>
      </w:r>
      <w:r>
        <w:rPr>
          <w:rFonts w:eastAsia="仿宋_GB2312"/>
          <w:bCs/>
          <w:kern w:val="0"/>
          <w:sz w:val="32"/>
          <w:szCs w:val="32"/>
        </w:rPr>
        <w:t>；对其它高耗低效企业，通过兼并重组、整体腾退、搬迁入园、改造提升等方式，实施“一企一策”，对标提升，达标销号。</w:t>
      </w:r>
      <w:r>
        <w:rPr>
          <w:rFonts w:eastAsia="楷体_GB2312"/>
          <w:sz w:val="32"/>
          <w:szCs w:val="32"/>
        </w:rPr>
        <w:t>(责任单位：区发改经信局、区自然资源和规划分局、区生态环境分局、区应急管理局、区市场监管局）</w:t>
      </w:r>
    </w:p>
    <w:p w14:paraId="025D44DE">
      <w:pPr>
        <w:adjustRightInd w:val="0"/>
        <w:snapToGrid w:val="0"/>
        <w:spacing w:line="540" w:lineRule="exact"/>
        <w:ind w:firstLine="643" w:firstLineChars="200"/>
        <w:rPr>
          <w:rFonts w:eastAsia="楷体_GB2312"/>
          <w:sz w:val="32"/>
          <w:szCs w:val="32"/>
        </w:rPr>
      </w:pPr>
      <w:r>
        <w:rPr>
          <w:rFonts w:eastAsia="仿宋_GB2312"/>
          <w:b/>
          <w:kern w:val="0"/>
          <w:sz w:val="32"/>
          <w:szCs w:val="32"/>
        </w:rPr>
        <w:t>2. 坚决遏制“两高”项目盲目发展。</w:t>
      </w:r>
      <w:r>
        <w:rPr>
          <w:rFonts w:eastAsia="仿宋_GB2312"/>
          <w:bCs/>
          <w:kern w:val="0"/>
          <w:sz w:val="32"/>
          <w:szCs w:val="32"/>
        </w:rPr>
        <w:t>针对2018年以来建设的年综合能耗1000吨标准煤以上(含）的“两高”项目、2018年以前建设的年综合能耗5000吨标准煤以上(含）的用能项目，逐一评估检查，对不符合要求的“两高”项目坚决拿下。对不符合产业政策、产能置换、节能审查、环评审批等要求，未履行相关审批手续，违规审批、未批先建、批建不符等违法违规行为，坚决依法查处。对拟建“两高”项目，要进行科学论证；对明显超出我区能耗双控目标、环境排放容量的项目，要立即停止。</w:t>
      </w:r>
      <w:r>
        <w:rPr>
          <w:rFonts w:eastAsia="楷体_GB2312"/>
          <w:sz w:val="32"/>
          <w:szCs w:val="32"/>
        </w:rPr>
        <w:t>(责任单位：区发改经信局、区生态环境分局）</w:t>
      </w:r>
    </w:p>
    <w:p w14:paraId="4F27B471">
      <w:pPr>
        <w:adjustRightInd w:val="0"/>
        <w:snapToGrid w:val="0"/>
        <w:spacing w:line="540" w:lineRule="exact"/>
        <w:ind w:firstLine="643" w:firstLineChars="200"/>
        <w:rPr>
          <w:rFonts w:eastAsia="楷体_GB2312"/>
          <w:sz w:val="32"/>
          <w:szCs w:val="32"/>
        </w:rPr>
      </w:pPr>
      <w:r>
        <w:rPr>
          <w:rFonts w:eastAsia="仿宋_GB2312"/>
          <w:b/>
          <w:kern w:val="0"/>
          <w:sz w:val="32"/>
          <w:szCs w:val="32"/>
        </w:rPr>
        <w:t>3. 全域整治工业低效用地。</w:t>
      </w:r>
      <w:r>
        <w:rPr>
          <w:rFonts w:eastAsia="仿宋_GB2312"/>
          <w:sz w:val="32"/>
          <w:szCs w:val="32"/>
        </w:rPr>
        <w:t>结合新一轮国土空间规划编制，统筹研究工业用地布局，科学规划，避免因规划不合理造成土地资源使用低效。</w:t>
      </w:r>
      <w:r>
        <w:rPr>
          <w:rFonts w:eastAsia="楷体_GB2312"/>
          <w:sz w:val="32"/>
          <w:szCs w:val="32"/>
        </w:rPr>
        <w:t>(责任单位：区自然资源和规划分局）</w:t>
      </w:r>
      <w:r>
        <w:rPr>
          <w:rFonts w:eastAsia="仿宋_GB2312"/>
          <w:bCs/>
          <w:kern w:val="0"/>
          <w:sz w:val="32"/>
          <w:szCs w:val="32"/>
        </w:rPr>
        <w:t>严格按照《闲置土地处置办法》，对项目建设期内开发投资总额未达到25%以上的闲置用地，依法依规进行处置。</w:t>
      </w:r>
      <w:r>
        <w:rPr>
          <w:rFonts w:eastAsia="楷体_GB2312"/>
          <w:sz w:val="32"/>
          <w:szCs w:val="32"/>
        </w:rPr>
        <w:t>(责任单位：区自然资源和规划分局、区发改经信局）</w:t>
      </w:r>
      <w:r>
        <w:rPr>
          <w:rFonts w:eastAsia="仿宋_GB2312"/>
          <w:sz w:val="32"/>
          <w:szCs w:val="32"/>
        </w:rPr>
        <w:t>深化</w:t>
      </w:r>
      <w:r>
        <w:rPr>
          <w:rFonts w:eastAsia="仿宋_GB2312"/>
          <w:bCs/>
          <w:kern w:val="0"/>
          <w:sz w:val="32"/>
          <w:szCs w:val="32"/>
        </w:rPr>
        <w:t>“标准地+”改革，强化土地使用过程监管，新增工业用地实现100%“标准地”模式出让。</w:t>
      </w:r>
      <w:r>
        <w:rPr>
          <w:rFonts w:eastAsia="楷体_GB2312"/>
          <w:sz w:val="32"/>
          <w:szCs w:val="32"/>
        </w:rPr>
        <w:t>(责任单位：区发改经信局、区自然资源和规划分局）</w:t>
      </w:r>
      <w:r>
        <w:rPr>
          <w:rFonts w:eastAsia="仿宋_GB2312"/>
          <w:bCs/>
          <w:kern w:val="0"/>
          <w:sz w:val="32"/>
          <w:szCs w:val="32"/>
        </w:rPr>
        <w:t>参照“标准地”出让基本要求，加强工业土地二级市场交易监管，积极探索工业用地到期续签履约机制。</w:t>
      </w:r>
      <w:r>
        <w:rPr>
          <w:rFonts w:eastAsia="楷体_GB2312"/>
          <w:sz w:val="32"/>
          <w:szCs w:val="32"/>
        </w:rPr>
        <w:t>(责任单位：区自然资源和规划分局、区发改经信局）</w:t>
      </w:r>
    </w:p>
    <w:p w14:paraId="41422AF2">
      <w:pPr>
        <w:adjustRightInd w:val="0"/>
        <w:snapToGrid w:val="0"/>
        <w:spacing w:line="540" w:lineRule="exact"/>
        <w:ind w:firstLine="643" w:firstLineChars="200"/>
        <w:rPr>
          <w:rFonts w:eastAsia="楷体_GB2312"/>
          <w:sz w:val="32"/>
          <w:szCs w:val="32"/>
        </w:rPr>
      </w:pPr>
      <w:r>
        <w:rPr>
          <w:rFonts w:eastAsia="仿宋_GB2312"/>
          <w:b/>
          <w:bCs/>
          <w:sz w:val="32"/>
          <w:szCs w:val="32"/>
        </w:rPr>
        <w:t>4. 大力整治提升产业发展平台。</w:t>
      </w:r>
      <w:r>
        <w:rPr>
          <w:rFonts w:eastAsia="仿宋_GB2312"/>
          <w:sz w:val="32"/>
          <w:szCs w:val="32"/>
        </w:rPr>
        <w:t>加快高新区、吴兴经济开发区整合提升，积极创建制造业高质量发展示范园区。加快吴兴智能物流装备“万亩千亿”新产业平台建设。</w:t>
      </w:r>
      <w:r>
        <w:rPr>
          <w:rFonts w:eastAsia="楷体_GB2312"/>
          <w:sz w:val="32"/>
          <w:szCs w:val="32"/>
        </w:rPr>
        <w:t>(责任单位：区发改经信局、区科技局、区自然资源和规划分局、高新区管委会、吴兴经济开发区管委会）</w:t>
      </w:r>
      <w:r>
        <w:rPr>
          <w:rFonts w:eastAsia="仿宋_GB2312"/>
          <w:sz w:val="32"/>
          <w:szCs w:val="32"/>
        </w:rPr>
        <w:t>推进</w:t>
      </w:r>
      <w:r>
        <w:rPr>
          <w:rFonts w:eastAsia="仿宋_GB2312"/>
          <w:kern w:val="0"/>
          <w:sz w:val="32"/>
          <w:szCs w:val="32"/>
        </w:rPr>
        <w:t>小微企业园提质扩规，</w:t>
      </w:r>
      <w:r>
        <w:rPr>
          <w:rFonts w:eastAsia="仿宋_GB2312"/>
          <w:sz w:val="32"/>
          <w:szCs w:val="32"/>
        </w:rPr>
        <w:t>新培育四星级以上小微企业园3个。</w:t>
      </w:r>
      <w:r>
        <w:rPr>
          <w:rFonts w:eastAsia="楷体_GB2312"/>
          <w:sz w:val="32"/>
          <w:szCs w:val="32"/>
        </w:rPr>
        <w:t>(责任单位：区发改经信局、区自然资源和规划分局）</w:t>
      </w:r>
    </w:p>
    <w:p w14:paraId="227652DE">
      <w:pPr>
        <w:adjustRightInd w:val="0"/>
        <w:snapToGrid w:val="0"/>
        <w:spacing w:line="540" w:lineRule="exact"/>
        <w:ind w:firstLine="643" w:firstLineChars="200"/>
        <w:rPr>
          <w:rFonts w:eastAsia="楷体_GB2312"/>
          <w:b/>
          <w:bCs/>
          <w:sz w:val="32"/>
          <w:szCs w:val="32"/>
        </w:rPr>
      </w:pPr>
      <w:r>
        <w:rPr>
          <w:rFonts w:eastAsia="楷体_GB2312"/>
          <w:b/>
          <w:bCs/>
          <w:sz w:val="32"/>
          <w:szCs w:val="32"/>
        </w:rPr>
        <w:t>(二）实施创新强工攻坚行动</w:t>
      </w:r>
    </w:p>
    <w:p w14:paraId="3055D708">
      <w:pPr>
        <w:adjustRightInd w:val="0"/>
        <w:snapToGrid w:val="0"/>
        <w:spacing w:line="540" w:lineRule="exact"/>
        <w:ind w:firstLine="643" w:firstLineChars="200"/>
        <w:rPr>
          <w:rFonts w:eastAsia="楷体_GB2312"/>
          <w:sz w:val="32"/>
          <w:szCs w:val="32"/>
        </w:rPr>
      </w:pPr>
      <w:r>
        <w:rPr>
          <w:rFonts w:eastAsia="仿宋_GB2312"/>
          <w:b/>
          <w:sz w:val="32"/>
          <w:szCs w:val="32"/>
          <w:shd w:val="clear" w:color="auto" w:fill="FFFFFF"/>
        </w:rPr>
        <w:t>5</w:t>
      </w:r>
      <w:r>
        <w:rPr>
          <w:rFonts w:hint="eastAsia" w:eastAsia="仿宋_GB2312"/>
          <w:b/>
          <w:sz w:val="32"/>
          <w:szCs w:val="32"/>
          <w:shd w:val="clear" w:color="auto" w:fill="FFFFFF"/>
        </w:rPr>
        <w:t>.</w:t>
      </w:r>
      <w:r>
        <w:rPr>
          <w:rFonts w:eastAsia="仿宋_GB2312"/>
          <w:b/>
          <w:sz w:val="32"/>
          <w:szCs w:val="32"/>
          <w:shd w:val="clear" w:color="auto" w:fill="FFFFFF"/>
        </w:rPr>
        <w:t xml:space="preserve"> 加强关键核心技术攻关。</w:t>
      </w:r>
      <w:r>
        <w:rPr>
          <w:rFonts w:eastAsia="仿宋_GB2312"/>
          <w:kern w:val="0"/>
          <w:sz w:val="32"/>
          <w:szCs w:val="32"/>
        </w:rPr>
        <w:t>聚焦三大科创高地，既要“补短板”，也要“筑长板”，不断提升我区科技自立自强的能力和水平。聚焦“卡脖子”关键核心技术，全面对接省“尖峰、尖兵、领雁、领航”四大科技攻关计划，支持企业实施各级、各类科技计划项目，力争实施省以上重点研发项目10项以上、市级科技攻关项目60项以上，提升科技原始创新能力。</w:t>
      </w:r>
      <w:r>
        <w:rPr>
          <w:rFonts w:eastAsia="楷体_GB2312"/>
          <w:sz w:val="32"/>
          <w:szCs w:val="32"/>
        </w:rPr>
        <w:t>(责任单位：区科技局）</w:t>
      </w:r>
    </w:p>
    <w:p w14:paraId="68271336">
      <w:pPr>
        <w:adjustRightInd w:val="0"/>
        <w:snapToGrid w:val="0"/>
        <w:spacing w:line="560" w:lineRule="exact"/>
        <w:ind w:firstLine="643" w:firstLineChars="200"/>
        <w:rPr>
          <w:rFonts w:eastAsia="仿宋_GB2312"/>
          <w:sz w:val="32"/>
          <w:szCs w:val="32"/>
        </w:rPr>
      </w:pPr>
      <w:r>
        <w:rPr>
          <w:rFonts w:eastAsia="仿宋_GB2312"/>
          <w:b/>
          <w:sz w:val="32"/>
          <w:szCs w:val="32"/>
          <w:shd w:val="clear" w:color="auto" w:fill="FFFFFF"/>
        </w:rPr>
        <w:t>6. 加速重大科技成果产业化。</w:t>
      </w:r>
      <w:r>
        <w:rPr>
          <w:rFonts w:eastAsia="仿宋_GB2312"/>
          <w:kern w:val="0"/>
          <w:sz w:val="32"/>
          <w:szCs w:val="32"/>
        </w:rPr>
        <w:t>坚持创新为上的发展理念，鼓励企业加大研发投入，布局建设重点创新平台，加速科技成果转化，建成省级以上科技企业孵化器5家。用好网上技术市场3.0，每年实施科技成果产业化项目20项以上。探索建立以技术经理人为主体的科技成果市场化评价机制，力争三年全市技术交易总额突破50亿元。</w:t>
      </w:r>
      <w:r>
        <w:rPr>
          <w:rFonts w:eastAsia="楷体_GB2312"/>
          <w:sz w:val="32"/>
          <w:szCs w:val="32"/>
        </w:rPr>
        <w:t>(责任单位：区科技局）</w:t>
      </w:r>
    </w:p>
    <w:p w14:paraId="3E18FF7F">
      <w:pPr>
        <w:adjustRightInd w:val="0"/>
        <w:snapToGrid w:val="0"/>
        <w:spacing w:line="560" w:lineRule="exact"/>
        <w:ind w:firstLine="643" w:firstLineChars="200"/>
        <w:rPr>
          <w:rFonts w:eastAsia="楷体_GB2312"/>
          <w:sz w:val="32"/>
          <w:szCs w:val="32"/>
        </w:rPr>
      </w:pPr>
      <w:r>
        <w:rPr>
          <w:rFonts w:eastAsia="仿宋_GB2312"/>
          <w:b/>
          <w:sz w:val="32"/>
          <w:szCs w:val="32"/>
          <w:shd w:val="clear" w:color="auto" w:fill="FFFFFF"/>
        </w:rPr>
        <w:t>7</w:t>
      </w:r>
      <w:r>
        <w:rPr>
          <w:rFonts w:hint="eastAsia" w:eastAsia="仿宋_GB2312"/>
          <w:b/>
          <w:sz w:val="32"/>
          <w:szCs w:val="32"/>
          <w:shd w:val="clear" w:color="auto" w:fill="FFFFFF"/>
        </w:rPr>
        <w:t>.</w:t>
      </w:r>
      <w:r>
        <w:rPr>
          <w:rFonts w:eastAsia="仿宋_GB2312"/>
          <w:b/>
          <w:sz w:val="32"/>
          <w:szCs w:val="32"/>
          <w:shd w:val="clear" w:color="auto" w:fill="FFFFFF"/>
        </w:rPr>
        <w:t xml:space="preserve"> 全力打造战略性科创平台。</w:t>
      </w:r>
      <w:r>
        <w:rPr>
          <w:rFonts w:eastAsia="仿宋_GB2312"/>
          <w:kern w:val="0"/>
          <w:sz w:val="32"/>
          <w:szCs w:val="32"/>
        </w:rPr>
        <w:t>加大“一室两谷”重大科研平台建设力度，加快高端人才、科创项目资源集聚，打造绿色低碳创新策源地，突破一批重大科技成果，“太湖实验室”积极争创省实验室，力争三年创建省级新型研发机构2家以上，新建市级实验室5家以上。聚焦高新区“两培育两提升两贡献”，实现高新区规上工业增加值占全区比重超过70%，高企占全区比重超过70%。</w:t>
      </w:r>
      <w:r>
        <w:rPr>
          <w:rFonts w:eastAsia="楷体_GB2312"/>
          <w:sz w:val="32"/>
          <w:szCs w:val="32"/>
        </w:rPr>
        <w:t>(责任单位：区科技局）</w:t>
      </w:r>
    </w:p>
    <w:p w14:paraId="600E6ECC">
      <w:pPr>
        <w:adjustRightInd w:val="0"/>
        <w:snapToGrid w:val="0"/>
        <w:spacing w:line="560" w:lineRule="exact"/>
        <w:ind w:firstLine="643" w:firstLineChars="200"/>
        <w:rPr>
          <w:rFonts w:eastAsia="楷体_GB2312"/>
          <w:sz w:val="32"/>
          <w:szCs w:val="32"/>
        </w:rPr>
      </w:pPr>
      <w:r>
        <w:rPr>
          <w:rFonts w:eastAsia="仿宋_GB2312"/>
          <w:b/>
          <w:sz w:val="32"/>
          <w:szCs w:val="32"/>
          <w:shd w:val="clear" w:color="auto" w:fill="FFFFFF"/>
        </w:rPr>
        <w:t>8. 加快构建“三链”融合创新生态圈。</w:t>
      </w:r>
      <w:r>
        <w:rPr>
          <w:rFonts w:eastAsia="仿宋_GB2312"/>
          <w:kern w:val="0"/>
          <w:sz w:val="32"/>
          <w:szCs w:val="32"/>
        </w:rPr>
        <w:t>加快科技创新体制机制改革，建设产业创新赋能中心，加快实现人才链、创新链、产业链三链融合。加大科技金融支持力度，推动企业将“技术流”转化为“资金流”，实现创新资源跟着项目走，跟着人才走，跟着平台走。</w:t>
      </w:r>
      <w:r>
        <w:rPr>
          <w:rFonts w:eastAsia="楷体_GB2312"/>
          <w:sz w:val="32"/>
          <w:szCs w:val="32"/>
        </w:rPr>
        <w:t>(责任单位：区科技局）</w:t>
      </w:r>
      <w:r>
        <w:rPr>
          <w:rFonts w:eastAsia="仿宋_GB2312"/>
          <w:kern w:val="0"/>
          <w:sz w:val="32"/>
          <w:szCs w:val="32"/>
        </w:rPr>
        <w:t>围绕“1+N”工业互联网平台体系，深入推进“实施工网智联行动”，持续实施“标杆+”新智造行动,力争年度培育打造2个重点工业互联网平台，培育打造未来工厂1家以上、智能工厂(数字化车间）8家以上。</w:t>
      </w:r>
      <w:r>
        <w:rPr>
          <w:rFonts w:eastAsia="楷体_GB2312"/>
          <w:sz w:val="32"/>
          <w:szCs w:val="32"/>
        </w:rPr>
        <w:t>(责任单位：区发改经信局）</w:t>
      </w:r>
    </w:p>
    <w:p w14:paraId="24BD62C6">
      <w:pPr>
        <w:adjustRightInd w:val="0"/>
        <w:snapToGrid w:val="0"/>
        <w:spacing w:line="560" w:lineRule="exact"/>
        <w:ind w:firstLine="643" w:firstLineChars="200"/>
        <w:rPr>
          <w:rFonts w:eastAsia="黑体"/>
          <w:b/>
          <w:kern w:val="0"/>
          <w:sz w:val="32"/>
          <w:szCs w:val="32"/>
        </w:rPr>
      </w:pPr>
      <w:r>
        <w:rPr>
          <w:rFonts w:eastAsia="黑体"/>
          <w:b/>
          <w:kern w:val="0"/>
          <w:sz w:val="32"/>
          <w:szCs w:val="32"/>
        </w:rPr>
        <w:t>(三）实施招大引强攻坚行动</w:t>
      </w:r>
    </w:p>
    <w:p w14:paraId="10831788">
      <w:pPr>
        <w:adjustRightInd w:val="0"/>
        <w:snapToGrid w:val="0"/>
        <w:spacing w:line="560" w:lineRule="exact"/>
        <w:ind w:firstLine="643" w:firstLineChars="200"/>
        <w:rPr>
          <w:rFonts w:eastAsia="楷体_GB2312"/>
          <w:sz w:val="32"/>
          <w:szCs w:val="32"/>
        </w:rPr>
      </w:pPr>
      <w:r>
        <w:rPr>
          <w:rFonts w:eastAsia="仿宋_GB2312"/>
          <w:b/>
          <w:kern w:val="0"/>
          <w:sz w:val="32"/>
          <w:szCs w:val="32"/>
        </w:rPr>
        <w:t>9. 加强重大项目招引。</w:t>
      </w:r>
      <w:r>
        <w:rPr>
          <w:rFonts w:eastAsia="仿宋_GB2312"/>
          <w:sz w:val="32"/>
          <w:szCs w:val="32"/>
        </w:rPr>
        <w:t>围绕智能装备、数字经济、健康时尚、休闲旅游四大主导产业，瞄准世界500强、中国500强和行业头部企业，集中力量引进一批重大高端产业项目。优化选商引才分局架构，开展产业精准选商引才，建立“1+N”的“链长制选商引才”体系，完善选商引才大数据平台，加强驻外招商人员保障和激励。</w:t>
      </w:r>
      <w:r>
        <w:rPr>
          <w:rFonts w:eastAsia="楷体_GB2312"/>
          <w:sz w:val="32"/>
          <w:szCs w:val="32"/>
        </w:rPr>
        <w:t>(责任单位：区商务局）</w:t>
      </w:r>
    </w:p>
    <w:p w14:paraId="102A6878">
      <w:pPr>
        <w:adjustRightInd w:val="0"/>
        <w:snapToGrid w:val="0"/>
        <w:spacing w:line="560" w:lineRule="exact"/>
        <w:ind w:firstLine="643" w:firstLineChars="200"/>
        <w:rPr>
          <w:rFonts w:eastAsia="楷体_GB2312"/>
          <w:sz w:val="32"/>
          <w:szCs w:val="32"/>
        </w:rPr>
      </w:pPr>
      <w:r>
        <w:rPr>
          <w:rFonts w:eastAsia="仿宋_GB2312"/>
          <w:b/>
          <w:kern w:val="0"/>
          <w:sz w:val="32"/>
          <w:szCs w:val="32"/>
        </w:rPr>
        <w:t>10</w:t>
      </w:r>
      <w:r>
        <w:rPr>
          <w:rFonts w:hint="eastAsia" w:eastAsia="仿宋_GB2312"/>
          <w:b/>
          <w:kern w:val="0"/>
          <w:sz w:val="32"/>
          <w:szCs w:val="32"/>
        </w:rPr>
        <w:t>.</w:t>
      </w:r>
      <w:r>
        <w:rPr>
          <w:rFonts w:eastAsia="仿宋_GB2312"/>
          <w:b/>
          <w:kern w:val="0"/>
          <w:sz w:val="32"/>
          <w:szCs w:val="32"/>
        </w:rPr>
        <w:t xml:space="preserve"> 推进高质量外资集聚先行区建设。</w:t>
      </w:r>
      <w:r>
        <w:rPr>
          <w:rFonts w:eastAsia="仿宋_GB2312"/>
          <w:sz w:val="32"/>
          <w:szCs w:val="32"/>
        </w:rPr>
        <w:t>瞄准世界500强、跨国公司，加大高质量外资制造业项目引进力度，加快吴兴经济开发区中韩国际产业合作园建设，不断完善驻法、驻韩、驻意大利招商代表处。力争每年引进高质量外资项目3个以上，实到外资2亿美元以上。</w:t>
      </w:r>
      <w:r>
        <w:rPr>
          <w:rFonts w:eastAsia="楷体_GB2312"/>
          <w:sz w:val="32"/>
          <w:szCs w:val="32"/>
        </w:rPr>
        <w:t>(责任单位：区商务局、吴兴经济开发区）</w:t>
      </w:r>
    </w:p>
    <w:p w14:paraId="45F66F94">
      <w:pPr>
        <w:adjustRightInd w:val="0"/>
        <w:snapToGrid w:val="0"/>
        <w:spacing w:line="560" w:lineRule="exact"/>
        <w:ind w:firstLine="643" w:firstLineChars="200"/>
        <w:rPr>
          <w:rFonts w:eastAsia="楷体_GB2312"/>
          <w:sz w:val="32"/>
          <w:szCs w:val="32"/>
        </w:rPr>
      </w:pPr>
      <w:r>
        <w:rPr>
          <w:rFonts w:eastAsia="仿宋_GB2312"/>
          <w:b/>
          <w:kern w:val="0"/>
          <w:sz w:val="32"/>
          <w:szCs w:val="32"/>
        </w:rPr>
        <w:t>11. 加快项目落地见效。</w:t>
      </w:r>
      <w:r>
        <w:rPr>
          <w:rFonts w:eastAsia="仿宋_GB2312"/>
          <w:sz w:val="32"/>
          <w:szCs w:val="32"/>
        </w:rPr>
        <w:t>强化项目“双进双产”，落实选商引才“一号工程”，进一步强化全区精准产业选商引才“一盘棋”理念，营造“以上率下、奋力奋进”的浓厚氛围，不断强化选商引才工作领导力量。建立“吴兴区选商引才云平台”，全面落实产业项目“三单六库”推进工作机制。</w:t>
      </w:r>
      <w:r>
        <w:rPr>
          <w:rFonts w:eastAsia="仿宋_GB2312"/>
          <w:color w:val="000000"/>
          <w:sz w:val="32"/>
          <w:szCs w:val="32"/>
        </w:rPr>
        <w:t>重点推进三一履带吊二期、三一装载机、江顺科技等一批重点项目建设。力争每年亿元以上项目新开工80个、新竣工45个。</w:t>
      </w:r>
      <w:r>
        <w:rPr>
          <w:rFonts w:eastAsia="楷体_GB2312"/>
          <w:sz w:val="32"/>
          <w:szCs w:val="32"/>
        </w:rPr>
        <w:t>(责任单位：区商务局、区发改经信局）</w:t>
      </w:r>
    </w:p>
    <w:p w14:paraId="1A234C25">
      <w:pPr>
        <w:spacing w:line="560" w:lineRule="exact"/>
        <w:ind w:firstLine="643" w:firstLineChars="200"/>
        <w:rPr>
          <w:rFonts w:eastAsia="楷体_GB2312"/>
          <w:sz w:val="32"/>
          <w:szCs w:val="32"/>
        </w:rPr>
      </w:pPr>
      <w:r>
        <w:rPr>
          <w:rFonts w:eastAsia="仿宋_GB2312"/>
          <w:b/>
          <w:kern w:val="0"/>
          <w:sz w:val="32"/>
          <w:szCs w:val="32"/>
        </w:rPr>
        <w:t>12</w:t>
      </w:r>
      <w:r>
        <w:rPr>
          <w:rFonts w:hint="eastAsia" w:eastAsia="仿宋_GB2312"/>
          <w:b/>
          <w:kern w:val="0"/>
          <w:sz w:val="32"/>
          <w:szCs w:val="32"/>
        </w:rPr>
        <w:t>.</w:t>
      </w:r>
      <w:r>
        <w:rPr>
          <w:rFonts w:eastAsia="仿宋_GB2312"/>
          <w:b/>
          <w:kern w:val="0"/>
          <w:sz w:val="32"/>
          <w:szCs w:val="32"/>
        </w:rPr>
        <w:t xml:space="preserve"> 加强项目全生命周期管理服务。</w:t>
      </w:r>
      <w:r>
        <w:rPr>
          <w:rFonts w:eastAsia="仿宋_GB2312"/>
          <w:sz w:val="32"/>
          <w:szCs w:val="32"/>
        </w:rPr>
        <w:t>开展项目全周期管理服务多跨场景应用试点，对制造业项目招引落地、建设实施、竣工验收、投产达产、履约监管等实施动态跟踪管理。对总投资50亿元以上重大制造业项目落实责任，挂图作战。强化项目节点精准管控，建立项目问题在线督办和联动协调帮扶机制。</w:t>
      </w:r>
      <w:r>
        <w:rPr>
          <w:rFonts w:eastAsia="楷体_GB2312"/>
          <w:sz w:val="32"/>
          <w:szCs w:val="32"/>
        </w:rPr>
        <w:t>(责任单位：区发改经信局、区建设局、区自然资源和规划分局）</w:t>
      </w:r>
    </w:p>
    <w:p w14:paraId="572CF6F0">
      <w:pPr>
        <w:spacing w:line="560" w:lineRule="exact"/>
        <w:ind w:firstLine="643" w:firstLineChars="200"/>
        <w:rPr>
          <w:rFonts w:eastAsia="楷体_GB2312"/>
          <w:b/>
          <w:kern w:val="0"/>
          <w:sz w:val="32"/>
          <w:szCs w:val="32"/>
        </w:rPr>
      </w:pPr>
      <w:r>
        <w:rPr>
          <w:rFonts w:eastAsia="楷体_GB2312"/>
          <w:b/>
          <w:kern w:val="0"/>
          <w:sz w:val="32"/>
          <w:szCs w:val="32"/>
        </w:rPr>
        <w:t>(四）实施质量提升攻坚行动。</w:t>
      </w:r>
    </w:p>
    <w:p w14:paraId="730A4AAC">
      <w:pPr>
        <w:adjustRightInd w:val="0"/>
        <w:snapToGrid w:val="0"/>
        <w:spacing w:line="560" w:lineRule="exact"/>
        <w:ind w:firstLine="643" w:firstLineChars="200"/>
        <w:rPr>
          <w:rFonts w:eastAsia="仿宋_GB2312"/>
          <w:sz w:val="32"/>
          <w:szCs w:val="32"/>
        </w:rPr>
      </w:pPr>
      <w:r>
        <w:rPr>
          <w:rFonts w:eastAsia="仿宋_GB2312"/>
          <w:b/>
          <w:kern w:val="0"/>
          <w:sz w:val="32"/>
          <w:szCs w:val="32"/>
        </w:rPr>
        <w:t>13</w:t>
      </w:r>
      <w:r>
        <w:rPr>
          <w:rFonts w:hint="eastAsia" w:eastAsia="仿宋_GB2312"/>
          <w:b/>
          <w:kern w:val="0"/>
          <w:sz w:val="32"/>
          <w:szCs w:val="32"/>
        </w:rPr>
        <w:t>.</w:t>
      </w:r>
      <w:r>
        <w:rPr>
          <w:rFonts w:eastAsia="仿宋_GB2312"/>
          <w:b/>
          <w:kern w:val="0"/>
          <w:sz w:val="32"/>
          <w:szCs w:val="32"/>
        </w:rPr>
        <w:t xml:space="preserve"> </w:t>
      </w:r>
      <w:r>
        <w:rPr>
          <w:rFonts w:eastAsia="仿宋_GB2312"/>
          <w:b/>
          <w:sz w:val="32"/>
          <w:szCs w:val="32"/>
        </w:rPr>
        <w:t>深入推进制造业质量革命</w:t>
      </w:r>
      <w:r>
        <w:rPr>
          <w:rFonts w:eastAsia="仿宋_GB2312"/>
          <w:bCs/>
          <w:sz w:val="32"/>
          <w:szCs w:val="32"/>
        </w:rPr>
        <w:t>。持续深化质量提升行动，滚动实施吴兴区特色产业质量提升项目，打造具有影响力的童装、美妆、智能装备三大产业集群。加强质量基础设施建设，推进特色产业“一站式”服务平台建设。实施织里童装产业品质革命行动，探索产业链、创新链与标准链“三链融合”发展模式。实施产品质量全流程监管“一件事”改革。实施质量标杆示范引领“十百千”行动，推进“百城千业万企对标达标提升专项行动”。全面提升标准化水平，三年制(修）订“浙江制造”团体标准15项以上</w:t>
      </w:r>
      <w:r>
        <w:rPr>
          <w:rFonts w:eastAsia="仿宋_GB2312"/>
          <w:sz w:val="32"/>
          <w:szCs w:val="32"/>
        </w:rPr>
        <w:t>。</w:t>
      </w:r>
      <w:r>
        <w:rPr>
          <w:rFonts w:eastAsia="楷体_GB2312"/>
          <w:sz w:val="32"/>
          <w:szCs w:val="32"/>
        </w:rPr>
        <w:t>(责任单位：区市场监管局）</w:t>
      </w:r>
    </w:p>
    <w:p w14:paraId="6CDFA17E">
      <w:pPr>
        <w:adjustRightInd w:val="0"/>
        <w:snapToGrid w:val="0"/>
        <w:spacing w:line="560" w:lineRule="exact"/>
        <w:ind w:firstLine="643" w:firstLineChars="200"/>
        <w:rPr>
          <w:rFonts w:eastAsia="楷体_GB2312"/>
          <w:sz w:val="32"/>
          <w:szCs w:val="32"/>
        </w:rPr>
      </w:pPr>
      <w:r>
        <w:rPr>
          <w:rFonts w:eastAsia="仿宋_GB2312"/>
          <w:b/>
          <w:sz w:val="32"/>
          <w:szCs w:val="32"/>
        </w:rPr>
        <w:t>14</w:t>
      </w:r>
      <w:r>
        <w:rPr>
          <w:rFonts w:hint="eastAsia" w:eastAsia="仿宋_GB2312"/>
          <w:b/>
          <w:sz w:val="32"/>
          <w:szCs w:val="32"/>
        </w:rPr>
        <w:t>.</w:t>
      </w:r>
      <w:r>
        <w:rPr>
          <w:rFonts w:eastAsia="仿宋_GB2312"/>
          <w:b/>
          <w:sz w:val="32"/>
          <w:szCs w:val="32"/>
        </w:rPr>
        <w:t xml:space="preserve"> 推动企业数字化改造。</w:t>
      </w:r>
      <w:r>
        <w:rPr>
          <w:rFonts w:eastAsia="仿宋_GB2312"/>
          <w:bCs/>
          <w:sz w:val="32"/>
          <w:szCs w:val="32"/>
          <w:shd w:val="clear" w:color="auto" w:fill="FFFFFF"/>
        </w:rPr>
        <w:t>加快推动传统产业高端化数字化绿色化，分行业分区域分类型推进企业数字化技术改造，重点推动纺织服装业、机械加工业企业数字化改造，每年组织实施一批省级重点技改示范项目，引领推进规上工业企业数字化技术改造全覆盖。培育壮大信息工程服务机构，助推中小企业数字化改造，力争2023年全省重点行业中小企业基础数字化应用比例达到80%。</w:t>
      </w:r>
      <w:r>
        <w:rPr>
          <w:rFonts w:eastAsia="楷体_GB2312"/>
          <w:sz w:val="32"/>
          <w:szCs w:val="32"/>
        </w:rPr>
        <w:t>(责任单位：区发改经信局）</w:t>
      </w:r>
    </w:p>
    <w:p w14:paraId="5A434619">
      <w:pPr>
        <w:adjustRightInd w:val="0"/>
        <w:snapToGrid w:val="0"/>
        <w:spacing w:line="540" w:lineRule="exact"/>
        <w:ind w:firstLine="643" w:firstLineChars="200"/>
        <w:rPr>
          <w:rFonts w:eastAsia="仿宋_GB2312"/>
          <w:sz w:val="32"/>
          <w:szCs w:val="32"/>
        </w:rPr>
      </w:pPr>
      <w:r>
        <w:rPr>
          <w:rFonts w:eastAsia="仿宋_GB2312"/>
          <w:b/>
          <w:kern w:val="0"/>
          <w:sz w:val="32"/>
          <w:szCs w:val="32"/>
        </w:rPr>
        <w:t>15</w:t>
      </w:r>
      <w:r>
        <w:rPr>
          <w:rFonts w:hint="eastAsia" w:eastAsia="仿宋_GB2312"/>
          <w:b/>
          <w:kern w:val="0"/>
          <w:sz w:val="32"/>
          <w:szCs w:val="32"/>
        </w:rPr>
        <w:t>.</w:t>
      </w:r>
      <w:r>
        <w:rPr>
          <w:rFonts w:eastAsia="仿宋_GB2312"/>
          <w:b/>
          <w:kern w:val="0"/>
          <w:sz w:val="32"/>
          <w:szCs w:val="32"/>
        </w:rPr>
        <w:t xml:space="preserve"> </w:t>
      </w:r>
      <w:r>
        <w:rPr>
          <w:rFonts w:eastAsia="仿宋_GB2312"/>
          <w:b/>
          <w:sz w:val="32"/>
          <w:szCs w:val="32"/>
        </w:rPr>
        <w:t>加快制造业产品升级换代。</w:t>
      </w:r>
      <w:r>
        <w:rPr>
          <w:rFonts w:eastAsia="仿宋_GB2312"/>
          <w:sz w:val="32"/>
          <w:szCs w:val="32"/>
        </w:rPr>
        <w:t>围绕产品创新升级、功能改进、节材替代等，组织实施产品升级改造示范项目，推动产品精品化、服务化、个性化升级。实施制造业设计能力提升专项行动，办好“中国·织里”全国童装设计大赛，推动工业设计成果转化应用。实施服务型制造工程，培育省级服务型制造示范企业(平台）5家，发展服务型制造新模式新业态，引领高品质消费需求。实施一批传统产业智能化产品改造项目，推动传统产业高端化智能化发展。</w:t>
      </w:r>
      <w:r>
        <w:rPr>
          <w:rFonts w:eastAsia="楷体_GB2312"/>
          <w:sz w:val="32"/>
          <w:szCs w:val="32"/>
        </w:rPr>
        <w:t>(责任单位：区发改经信局）</w:t>
      </w:r>
    </w:p>
    <w:p w14:paraId="61E51980">
      <w:pPr>
        <w:adjustRightInd w:val="0"/>
        <w:snapToGrid w:val="0"/>
        <w:spacing w:line="540" w:lineRule="exact"/>
        <w:ind w:firstLine="643" w:firstLineChars="200"/>
        <w:rPr>
          <w:rFonts w:eastAsia="楷体_GB2312"/>
          <w:sz w:val="32"/>
          <w:szCs w:val="32"/>
        </w:rPr>
      </w:pPr>
      <w:r>
        <w:rPr>
          <w:rFonts w:eastAsia="仿宋_GB2312"/>
          <w:b/>
          <w:kern w:val="0"/>
          <w:sz w:val="32"/>
          <w:szCs w:val="32"/>
        </w:rPr>
        <w:t>16. 大力推进制造业品牌建设</w:t>
      </w:r>
      <w:r>
        <w:rPr>
          <w:rFonts w:eastAsia="仿宋_GB2312"/>
          <w:b/>
          <w:sz w:val="32"/>
          <w:szCs w:val="32"/>
        </w:rPr>
        <w:t>。</w:t>
      </w:r>
      <w:r>
        <w:rPr>
          <w:rFonts w:eastAsia="仿宋_GB2312"/>
          <w:sz w:val="32"/>
          <w:szCs w:val="32"/>
        </w:rPr>
        <w:t>大力推进“品字标”公共品牌建设，梳理 “品字标”品牌重点培育清单，加强“品字标”品牌培育和领域拓展。实施品牌竞争力提升工程，创新品牌培育机制，每年培育“品字标”品牌企业10家以上，推广“浙江制造精品”10项。健全绿色产品认证体系。</w:t>
      </w:r>
      <w:r>
        <w:rPr>
          <w:rFonts w:eastAsia="楷体_GB2312"/>
          <w:sz w:val="32"/>
          <w:szCs w:val="32"/>
        </w:rPr>
        <w:t>(责任单位：区市场监管局、区发改经信局）</w:t>
      </w:r>
      <w:r>
        <w:rPr>
          <w:rFonts w:eastAsia="仿宋_GB2312"/>
          <w:sz w:val="32"/>
          <w:szCs w:val="32"/>
        </w:rPr>
        <w:t>建立“名品+名企+名产业+名产地”提升机制，打造高美誉度集群品牌、区域品牌，争创全国质量品牌提升示范区。</w:t>
      </w:r>
      <w:r>
        <w:rPr>
          <w:rFonts w:eastAsia="楷体_GB2312"/>
          <w:sz w:val="32"/>
          <w:szCs w:val="32"/>
        </w:rPr>
        <w:t>(责任单位：区市场监管局、区发改经信局、区商务局）</w:t>
      </w:r>
    </w:p>
    <w:p w14:paraId="2D103D56">
      <w:pPr>
        <w:adjustRightInd w:val="0"/>
        <w:snapToGrid w:val="0"/>
        <w:spacing w:line="540" w:lineRule="exact"/>
        <w:ind w:firstLine="643" w:firstLineChars="200"/>
        <w:rPr>
          <w:rFonts w:eastAsia="楷体_GB2312"/>
          <w:sz w:val="32"/>
          <w:szCs w:val="32"/>
        </w:rPr>
      </w:pPr>
      <w:r>
        <w:rPr>
          <w:rFonts w:eastAsia="仿宋_GB2312"/>
          <w:b/>
          <w:kern w:val="0"/>
          <w:sz w:val="32"/>
          <w:szCs w:val="32"/>
        </w:rPr>
        <w:t>17</w:t>
      </w:r>
      <w:r>
        <w:rPr>
          <w:rFonts w:hint="eastAsia" w:eastAsia="仿宋_GB2312"/>
          <w:b/>
          <w:kern w:val="0"/>
          <w:sz w:val="32"/>
          <w:szCs w:val="32"/>
        </w:rPr>
        <w:t>.</w:t>
      </w:r>
      <w:r>
        <w:rPr>
          <w:rFonts w:eastAsia="仿宋_GB2312"/>
          <w:b/>
          <w:kern w:val="0"/>
          <w:sz w:val="32"/>
          <w:szCs w:val="32"/>
        </w:rPr>
        <w:t xml:space="preserve"> 创建知识产权保护高地。</w:t>
      </w:r>
      <w:r>
        <w:rPr>
          <w:rFonts w:eastAsia="仿宋_GB2312"/>
          <w:sz w:val="32"/>
          <w:szCs w:val="32"/>
        </w:rPr>
        <w:t>全面推进知识产权强企计划，建立企业创造力榜单制度，培育一批知识产权数量密集、品牌价值高、具有国际竞争优势的知识产权示范(优势）企业、领军企业。聚焦数字经济、生命健康、高端装备制造等战略性新兴产业，努力打造一批高价值核心专利、知名品牌和国际标准。加大行政执法力度，严格落实知识产权惩罚性赔偿制度。面向科技型上市企业，建立知识产权绿色通道，强化知识产权护航。加强知识产权信息化、智能化基础设施建设，推动知识产权线上线下融合保护。发挥行业协会作用，构建知识产权保护自律机制。</w:t>
      </w:r>
      <w:r>
        <w:rPr>
          <w:rFonts w:eastAsia="楷体_GB2312"/>
          <w:sz w:val="32"/>
          <w:szCs w:val="32"/>
        </w:rPr>
        <w:t>(责任单位：区市场监管局、区公安分局）</w:t>
      </w:r>
    </w:p>
    <w:p w14:paraId="630DCD0E">
      <w:pPr>
        <w:adjustRightInd w:val="0"/>
        <w:snapToGrid w:val="0"/>
        <w:spacing w:line="540" w:lineRule="exact"/>
        <w:ind w:firstLine="643" w:firstLineChars="200"/>
        <w:rPr>
          <w:rFonts w:eastAsia="楷体_GB2312"/>
          <w:b/>
          <w:kern w:val="0"/>
          <w:sz w:val="32"/>
          <w:szCs w:val="32"/>
        </w:rPr>
      </w:pPr>
      <w:r>
        <w:rPr>
          <w:rFonts w:eastAsia="楷体_GB2312"/>
          <w:b/>
          <w:kern w:val="0"/>
          <w:sz w:val="32"/>
          <w:szCs w:val="32"/>
        </w:rPr>
        <w:t>(五）实施企业培育攻坚行动。</w:t>
      </w:r>
    </w:p>
    <w:p w14:paraId="2380707F">
      <w:pPr>
        <w:pStyle w:val="5"/>
        <w:spacing w:line="540" w:lineRule="exact"/>
        <w:ind w:firstLine="643"/>
        <w:rPr>
          <w:rFonts w:eastAsia="楷体_GB2312"/>
          <w:bCs/>
          <w:kern w:val="0"/>
          <w:szCs w:val="32"/>
        </w:rPr>
      </w:pPr>
      <w:r>
        <w:rPr>
          <w:rFonts w:eastAsia="仿宋_GB2312"/>
          <w:b/>
          <w:kern w:val="0"/>
          <w:szCs w:val="32"/>
        </w:rPr>
        <w:t xml:space="preserve">  18. 加大企业梯度培育。</w:t>
      </w:r>
      <w:r>
        <w:rPr>
          <w:rFonts w:eastAsia="仿宋_GB2312"/>
          <w:bCs/>
          <w:kern w:val="0"/>
          <w:szCs w:val="32"/>
        </w:rPr>
        <w:t>聚焦“五企”培育，深化企业“培大育强”专项行动，动态管理20家以上冠军领航企业培育，实施“凤凰行动”“金象金牛”企业培育等工作，</w:t>
      </w:r>
      <w:r>
        <w:rPr>
          <w:rFonts w:eastAsia="仿宋_GB2312"/>
          <w:bCs/>
          <w:szCs w:val="32"/>
        </w:rPr>
        <w:t>对标国际国内细分行业龙头，</w:t>
      </w:r>
      <w:r>
        <w:rPr>
          <w:rFonts w:eastAsia="仿宋_GB2312"/>
          <w:bCs/>
          <w:color w:val="171A1D"/>
          <w:szCs w:val="32"/>
          <w:shd w:val="clear" w:color="auto" w:fill="FFFFFF"/>
        </w:rPr>
        <w:t>开展分类指导、精准服务、监测评价、动态跟踪，</w:t>
      </w:r>
      <w:r>
        <w:rPr>
          <w:rFonts w:eastAsia="仿宋_GB2312"/>
          <w:bCs/>
          <w:kern w:val="0"/>
          <w:szCs w:val="32"/>
        </w:rPr>
        <w:t>培育一批制造业单项冠军、隐形冠军企业和专精特新“小巨人”企业。</w:t>
      </w:r>
      <w:r>
        <w:rPr>
          <w:rFonts w:eastAsia="仿宋_GB2312"/>
          <w:bCs/>
          <w:szCs w:val="32"/>
        </w:rPr>
        <w:t>推动</w:t>
      </w:r>
      <w:r>
        <w:rPr>
          <w:rFonts w:eastAsia="仿宋_GB2312"/>
          <w:bCs/>
          <w:kern w:val="0"/>
          <w:szCs w:val="32"/>
        </w:rPr>
        <w:t>上市公司发挥融资渠道作用</w:t>
      </w:r>
      <w:r>
        <w:rPr>
          <w:rFonts w:eastAsia="仿宋_GB2312"/>
          <w:bCs/>
          <w:szCs w:val="32"/>
        </w:rPr>
        <w:t>，重点</w:t>
      </w:r>
      <w:r>
        <w:rPr>
          <w:rFonts w:eastAsia="仿宋_GB2312"/>
          <w:bCs/>
          <w:kern w:val="0"/>
          <w:szCs w:val="32"/>
        </w:rPr>
        <w:t>投资一批高端制造业项目。</w:t>
      </w:r>
      <w:r>
        <w:rPr>
          <w:rFonts w:eastAsia="仿宋_GB2312"/>
          <w:bCs/>
          <w:szCs w:val="32"/>
        </w:rPr>
        <w:t>鼓励企业开展以获取技术、品牌、销售渠道为主的兼并重组，加快培育一批具有产业生态主导力的龙头企业。</w:t>
      </w:r>
      <w:r>
        <w:rPr>
          <w:rFonts w:eastAsia="楷体_GB2312"/>
          <w:bCs/>
          <w:kern w:val="0"/>
          <w:szCs w:val="32"/>
        </w:rPr>
        <w:t>(</w:t>
      </w:r>
      <w:r>
        <w:rPr>
          <w:rFonts w:eastAsia="楷体_GB2312"/>
          <w:bCs/>
          <w:szCs w:val="32"/>
        </w:rPr>
        <w:t>责任单位：</w:t>
      </w:r>
      <w:r>
        <w:rPr>
          <w:rFonts w:eastAsia="楷体_GB2312"/>
          <w:bCs/>
          <w:kern w:val="0"/>
          <w:szCs w:val="32"/>
        </w:rPr>
        <w:t>区发改经信局）</w:t>
      </w:r>
    </w:p>
    <w:p w14:paraId="11688CE2">
      <w:pPr>
        <w:widowControl/>
        <w:adjustRightInd w:val="0"/>
        <w:snapToGrid w:val="0"/>
        <w:spacing w:line="560" w:lineRule="exact"/>
        <w:ind w:firstLine="643" w:firstLineChars="200"/>
        <w:jc w:val="left"/>
        <w:rPr>
          <w:rFonts w:eastAsia="楷体_GB2312"/>
          <w:sz w:val="32"/>
          <w:szCs w:val="32"/>
        </w:rPr>
      </w:pPr>
      <w:r>
        <w:rPr>
          <w:rFonts w:eastAsia="仿宋_GB2312"/>
          <w:b/>
          <w:kern w:val="0"/>
          <w:sz w:val="32"/>
          <w:szCs w:val="32"/>
        </w:rPr>
        <w:t>19. 推动小微企业上规升级。</w:t>
      </w:r>
      <w:r>
        <w:rPr>
          <w:rFonts w:eastAsia="仿宋_GB2312"/>
          <w:bCs/>
          <w:sz w:val="32"/>
          <w:szCs w:val="32"/>
          <w:shd w:val="clear" w:color="auto" w:fill="FFFFFF"/>
        </w:rPr>
        <w:t>鼓励小微企业上规升级，重点加大小微企业园入园企业运行监测，建立完善“小升规”企业培育库，引导数字产业、智能装备、节能环保、新材料等新兴产业以及金属新材、纺织服装等传统产业小微企业上规升级，</w:t>
      </w:r>
      <w:r>
        <w:rPr>
          <w:rFonts w:eastAsia="仿宋_GB2312"/>
          <w:bCs/>
          <w:sz w:val="32"/>
          <w:szCs w:val="32"/>
        </w:rPr>
        <w:t>将小微企业园打造成为“小而专、小而高、小而好”的企业成长、产业培育平台，力争三年培育“小升规”企业100家以上。</w:t>
      </w:r>
      <w:r>
        <w:rPr>
          <w:rFonts w:eastAsia="楷体_GB2312"/>
          <w:sz w:val="32"/>
          <w:szCs w:val="32"/>
        </w:rPr>
        <w:t>(责任单位：区发改经信局）</w:t>
      </w:r>
    </w:p>
    <w:p w14:paraId="72F17E49">
      <w:pPr>
        <w:widowControl/>
        <w:adjustRightInd w:val="0"/>
        <w:snapToGrid w:val="0"/>
        <w:spacing w:line="560" w:lineRule="exact"/>
        <w:ind w:firstLine="643" w:firstLineChars="200"/>
        <w:jc w:val="left"/>
        <w:rPr>
          <w:rFonts w:ascii="仿宋_GB2312" w:eastAsia="仿宋_GB2312"/>
          <w:b/>
          <w:bCs/>
          <w:sz w:val="32"/>
          <w:szCs w:val="32"/>
        </w:rPr>
      </w:pPr>
      <w:r>
        <w:rPr>
          <w:rFonts w:eastAsia="仿宋_GB2312"/>
          <w:b/>
          <w:kern w:val="0"/>
          <w:sz w:val="32"/>
          <w:szCs w:val="32"/>
        </w:rPr>
        <w:t>20. 加大创新性企业培育。</w:t>
      </w:r>
      <w:r>
        <w:rPr>
          <w:rFonts w:eastAsia="仿宋_GB2312"/>
          <w:kern w:val="0"/>
          <w:sz w:val="32"/>
          <w:szCs w:val="32"/>
        </w:rPr>
        <w:t>继续实施科技企业“双倍增”计划，坚持引育并举，优存量、拓增量，推进企业研发机构提质扩面，鼓励企业不断加大研发投入，加强高价值专利培育和布局，持续推动企业可持续高质量发展。力争每年新认定国家级高新技术企业30家以上、省级科技型中小企业100家以上、省级以上研发机构10家以上。</w:t>
      </w:r>
      <w:r>
        <w:rPr>
          <w:rFonts w:eastAsia="楷体_GB2312"/>
          <w:sz w:val="32"/>
          <w:szCs w:val="32"/>
        </w:rPr>
        <w:t>(责任单位：区科技局）</w:t>
      </w:r>
    </w:p>
    <w:p w14:paraId="35869B99">
      <w:pPr>
        <w:widowControl/>
        <w:adjustRightInd w:val="0"/>
        <w:snapToGrid w:val="0"/>
        <w:spacing w:line="560" w:lineRule="exact"/>
        <w:ind w:firstLine="640" w:firstLineChars="200"/>
        <w:jc w:val="left"/>
        <w:rPr>
          <w:rFonts w:eastAsia="黑体"/>
          <w:kern w:val="0"/>
          <w:sz w:val="32"/>
          <w:szCs w:val="32"/>
        </w:rPr>
      </w:pPr>
      <w:r>
        <w:rPr>
          <w:rFonts w:eastAsia="黑体"/>
          <w:kern w:val="0"/>
          <w:sz w:val="32"/>
          <w:szCs w:val="32"/>
        </w:rPr>
        <w:t>四、政策措施</w:t>
      </w:r>
    </w:p>
    <w:p w14:paraId="080C17C6">
      <w:pPr>
        <w:widowControl/>
        <w:adjustRightInd w:val="0"/>
        <w:snapToGrid w:val="0"/>
        <w:spacing w:line="560" w:lineRule="exact"/>
        <w:ind w:firstLine="643" w:firstLineChars="200"/>
        <w:jc w:val="left"/>
        <w:rPr>
          <w:rFonts w:eastAsia="楷体_GB2312"/>
          <w:sz w:val="32"/>
          <w:szCs w:val="32"/>
        </w:rPr>
      </w:pPr>
      <w:r>
        <w:rPr>
          <w:rFonts w:eastAsia="楷体_GB2312"/>
          <w:b/>
          <w:kern w:val="0"/>
          <w:sz w:val="32"/>
          <w:szCs w:val="32"/>
        </w:rPr>
        <w:t>(一）加大财税政策支持力度。</w:t>
      </w:r>
      <w:r>
        <w:rPr>
          <w:rFonts w:eastAsia="仿宋_GB2312"/>
          <w:sz w:val="32"/>
          <w:szCs w:val="32"/>
        </w:rPr>
        <w:t>强化政策集成，优化使用方式，大力支持新一轮制造业“腾笼换鸟、凤凰涅槃”攻坚行动。</w:t>
      </w:r>
      <w:r>
        <w:rPr>
          <w:rFonts w:eastAsia="楷体_GB2312"/>
          <w:sz w:val="32"/>
          <w:szCs w:val="32"/>
        </w:rPr>
        <w:t>(责任单位：区财政局、区发改经信局）</w:t>
      </w:r>
      <w:r>
        <w:rPr>
          <w:rFonts w:eastAsia="仿宋_GB2312"/>
          <w:sz w:val="32"/>
          <w:szCs w:val="32"/>
        </w:rPr>
        <w:t>加大制造业高质量发展等政策宣贯和兑付力度，加大对重大项目建设、企业培育等的支持。</w:t>
      </w:r>
      <w:r>
        <w:rPr>
          <w:rFonts w:eastAsia="楷体_GB2312"/>
          <w:sz w:val="32"/>
          <w:szCs w:val="32"/>
        </w:rPr>
        <w:t>(责任单位：区发改经信局、区财政局）</w:t>
      </w:r>
      <w:r>
        <w:rPr>
          <w:rFonts w:eastAsia="仿宋_GB2312"/>
          <w:sz w:val="32"/>
          <w:szCs w:val="32"/>
        </w:rPr>
        <w:t>充分发挥研发费用税前加计扣除新政引领撬动作用，扩大政策覆盖面，激励企业加大研发投入。</w:t>
      </w:r>
      <w:r>
        <w:rPr>
          <w:rFonts w:eastAsia="楷体_GB2312"/>
          <w:sz w:val="32"/>
          <w:szCs w:val="32"/>
        </w:rPr>
        <w:t>(责任单位：区财政局、区科技局）</w:t>
      </w:r>
    </w:p>
    <w:p w14:paraId="52F8BC94">
      <w:pPr>
        <w:autoSpaceDE w:val="0"/>
        <w:adjustRightInd w:val="0"/>
        <w:snapToGrid w:val="0"/>
        <w:spacing w:line="560" w:lineRule="exact"/>
        <w:ind w:firstLine="643" w:firstLineChars="200"/>
        <w:rPr>
          <w:rFonts w:eastAsia="楷体_GB2312"/>
          <w:sz w:val="32"/>
          <w:szCs w:val="32"/>
        </w:rPr>
      </w:pPr>
      <w:r>
        <w:rPr>
          <w:rFonts w:eastAsia="楷体_GB2312"/>
          <w:b/>
          <w:kern w:val="0"/>
          <w:sz w:val="32"/>
          <w:szCs w:val="32"/>
        </w:rPr>
        <w:t>(二）强化工业用地集约利用。</w:t>
      </w:r>
      <w:r>
        <w:rPr>
          <w:rFonts w:eastAsia="仿宋_GB2312"/>
          <w:sz w:val="32"/>
          <w:szCs w:val="32"/>
        </w:rPr>
        <w:t>每年出让土地总量中工业用地比例不低于40%，确保工业用地总量稳中有升。强化工业用地保障机制，盘活腾出存量工业用地必须全部用于工业发展，确需改变用途的，应严格执行“先补后占、改一补一”政策，确保占补平衡。</w:t>
      </w:r>
      <w:r>
        <w:rPr>
          <w:rFonts w:eastAsia="楷体_GB2312"/>
          <w:sz w:val="32"/>
          <w:szCs w:val="32"/>
        </w:rPr>
        <w:t>(责任单位：区自然资源和规划分局）</w:t>
      </w:r>
      <w:r>
        <w:rPr>
          <w:rFonts w:eastAsia="仿宋_GB2312"/>
          <w:sz w:val="32"/>
          <w:szCs w:val="32"/>
        </w:rPr>
        <w:t>在符合国家有关规定前提下，提取土地出让收入的0.5%以上作为“腾笼换鸟”专项经费，用于盘活工业用地、企业整治提升、宿舍型保障性租赁住房、产业园区配套设施等。</w:t>
      </w:r>
      <w:r>
        <w:rPr>
          <w:rFonts w:eastAsia="楷体_GB2312"/>
          <w:sz w:val="32"/>
          <w:szCs w:val="32"/>
        </w:rPr>
        <w:t>(责任单位：区财政局、区发改经信局、区自然资源和规划分局、区税务局）</w:t>
      </w:r>
      <w:r>
        <w:rPr>
          <w:rFonts w:eastAsia="仿宋_GB2312"/>
          <w:sz w:val="32"/>
          <w:szCs w:val="32"/>
        </w:rPr>
        <w:t>实施差别化地价政策，符合我区产业体系导向优先发展的先进制造业且土地利用率、亩均税收高的项目，按不低于所在地土地等别对应工业用地最低价标准的70%确定土地出让底价。</w:t>
      </w:r>
      <w:r>
        <w:rPr>
          <w:rFonts w:eastAsia="楷体_GB2312"/>
          <w:sz w:val="32"/>
          <w:szCs w:val="32"/>
        </w:rPr>
        <w:t>(责任单位：区自然资源和规划分局、区发改经信局）</w:t>
      </w:r>
      <w:r>
        <w:rPr>
          <w:rFonts w:eastAsia="仿宋_GB2312"/>
          <w:sz w:val="32"/>
          <w:szCs w:val="32"/>
        </w:rPr>
        <w:t>鼓励存量工业用地“提容增效”，在符合详细规划、不改变土地用途的前提下，民营企业在自有工业用地上新建、扩建自用生产性用房或利用地下空间，提高容积率的，不再增收土地价款，并减免相应的城市基础设施配套费。</w:t>
      </w:r>
      <w:r>
        <w:rPr>
          <w:rFonts w:eastAsia="楷体_GB2312"/>
          <w:sz w:val="32"/>
          <w:szCs w:val="32"/>
        </w:rPr>
        <w:t>(责任单位：区自然资源和规划分局）</w:t>
      </w:r>
      <w:r>
        <w:rPr>
          <w:rFonts w:eastAsia="仿宋_GB2312"/>
          <w:sz w:val="32"/>
          <w:szCs w:val="32"/>
        </w:rPr>
        <w:t>积极探索工业低效用地全域治理路径。</w:t>
      </w:r>
      <w:r>
        <w:rPr>
          <w:rFonts w:eastAsia="楷体_GB2312"/>
          <w:sz w:val="32"/>
          <w:szCs w:val="32"/>
        </w:rPr>
        <w:t>(责任单位：区发改经信局、区自然资源和规划分局）</w:t>
      </w:r>
    </w:p>
    <w:p w14:paraId="2B6755B4">
      <w:pPr>
        <w:autoSpaceDE w:val="0"/>
        <w:adjustRightInd w:val="0"/>
        <w:snapToGrid w:val="0"/>
        <w:spacing w:line="560" w:lineRule="exact"/>
        <w:ind w:firstLine="643" w:firstLineChars="200"/>
        <w:rPr>
          <w:rFonts w:eastAsia="楷体_GB2312"/>
          <w:sz w:val="32"/>
          <w:szCs w:val="32"/>
        </w:rPr>
      </w:pPr>
      <w:r>
        <w:rPr>
          <w:rFonts w:eastAsia="楷体_GB2312"/>
          <w:b/>
          <w:bCs/>
          <w:sz w:val="32"/>
          <w:szCs w:val="32"/>
        </w:rPr>
        <w:t>(三）加大绿色金融支持力度。</w:t>
      </w:r>
      <w:r>
        <w:rPr>
          <w:rFonts w:eastAsia="仿宋_GB2312"/>
          <w:sz w:val="32"/>
          <w:szCs w:val="32"/>
        </w:rPr>
        <w:t>深化绿色金融改革创新试验区建设，拓宽绿色金融支持绿色智造支持路径。引导金融资源有效聚集，创新绿色金融产品，深化“绿色企业(项目）”系列贷。强化“腾笼换鸟”新增投资项目融资保障，优先给予中长期贷款支持。每年制造业贷款、小微企业贷款、绿色贷款增速不低于20%。</w:t>
      </w:r>
      <w:r>
        <w:rPr>
          <w:rFonts w:eastAsia="楷体_GB2312"/>
          <w:sz w:val="32"/>
          <w:szCs w:val="32"/>
        </w:rPr>
        <w:t>(责任单位：区发改经信局）</w:t>
      </w:r>
    </w:p>
    <w:p w14:paraId="364FAF5C">
      <w:pPr>
        <w:autoSpaceDE w:val="0"/>
        <w:adjustRightInd w:val="0"/>
        <w:snapToGrid w:val="0"/>
        <w:spacing w:line="560" w:lineRule="exact"/>
        <w:ind w:firstLine="643" w:firstLineChars="200"/>
        <w:rPr>
          <w:rFonts w:eastAsia="楷体_GB2312"/>
          <w:sz w:val="32"/>
          <w:szCs w:val="32"/>
        </w:rPr>
      </w:pPr>
      <w:r>
        <w:rPr>
          <w:rFonts w:eastAsia="楷体_GB2312"/>
          <w:b/>
          <w:kern w:val="0"/>
          <w:sz w:val="32"/>
          <w:szCs w:val="32"/>
        </w:rPr>
        <w:t>(四）优化能耗碳耗资源配置。</w:t>
      </w:r>
      <w:r>
        <w:rPr>
          <w:rFonts w:eastAsia="仿宋_GB2312"/>
          <w:sz w:val="32"/>
          <w:szCs w:val="32"/>
        </w:rPr>
        <w:t>腾出的碳排放和能耗指标，重点用于实施“腾笼换鸟”新兴产业项目、强链补链项目和技改项目。</w:t>
      </w:r>
      <w:r>
        <w:rPr>
          <w:rFonts w:eastAsia="楷体_GB2312"/>
          <w:sz w:val="32"/>
          <w:szCs w:val="32"/>
        </w:rPr>
        <w:t>(责任单位：区发改经信局）</w:t>
      </w:r>
      <w:r>
        <w:rPr>
          <w:rFonts w:eastAsia="仿宋_GB2312"/>
          <w:sz w:val="32"/>
          <w:szCs w:val="32"/>
        </w:rPr>
        <w:t>深化“亩均论英雄3.0版”，迭代升级综合评价机制，以亩均效益为导向推进资源要素优化配置，推动高耗低效企业整治提升。</w:t>
      </w:r>
      <w:r>
        <w:rPr>
          <w:rFonts w:eastAsia="楷体_GB2312"/>
          <w:sz w:val="32"/>
          <w:szCs w:val="32"/>
        </w:rPr>
        <w:t>(责任单位：区发改经信局、区财政局，吴兴供电分公司）</w:t>
      </w:r>
      <w:r>
        <w:rPr>
          <w:rFonts w:eastAsia="仿宋_GB2312"/>
          <w:sz w:val="32"/>
          <w:szCs w:val="32"/>
        </w:rPr>
        <w:t>深化“碳效码”改革，开展重点行业和企业碳效对标行动，强化对标评价结果应用，深入开展“碳效+能效服务”，提升企业低碳管理水平。</w:t>
      </w:r>
      <w:r>
        <w:rPr>
          <w:rFonts w:eastAsia="楷体_GB2312"/>
          <w:sz w:val="32"/>
          <w:szCs w:val="32"/>
        </w:rPr>
        <w:t>(责任单位：区发改经信局、区生态环境分局）</w:t>
      </w:r>
    </w:p>
    <w:p w14:paraId="2A073583">
      <w:pPr>
        <w:autoSpaceDE w:val="0"/>
        <w:adjustRightInd w:val="0"/>
        <w:snapToGrid w:val="0"/>
        <w:spacing w:line="560" w:lineRule="exact"/>
        <w:ind w:firstLine="643" w:firstLineChars="200"/>
        <w:rPr>
          <w:rFonts w:eastAsia="楷体_GB2312"/>
          <w:sz w:val="32"/>
          <w:szCs w:val="32"/>
        </w:rPr>
      </w:pPr>
      <w:r>
        <w:rPr>
          <w:rFonts w:eastAsia="楷体_GB2312"/>
          <w:b/>
          <w:kern w:val="0"/>
          <w:sz w:val="32"/>
          <w:szCs w:val="32"/>
        </w:rPr>
        <w:t>(五）加快建设保障性租赁住房。</w:t>
      </w:r>
      <w:r>
        <w:rPr>
          <w:rFonts w:eastAsia="仿宋_GB2312"/>
          <w:sz w:val="32"/>
          <w:szCs w:val="32"/>
        </w:rPr>
        <w:t>重点发展保障性租赁住房，产业园区内的存量工业项目，以及产业园区外亩均效益A、B类且用地面积50亩以上的存量工业项目，在确保安全的前提下，可将配套建设行政办公及生活服务设施的用地面积占项目总用地面积的比例上限由7%提高到15%，建筑面积占比上限相应提高到30%，提高部分主要用于建设宿舍型保障性租赁住房。产业园区内的新建工业项目，可结合实际和职工居住需求，充分利用上述政策建设宿舍型保障性租赁住房。鼓励产业园区统一规划、统筹建设宿舍型保障性租赁住房。</w:t>
      </w:r>
      <w:r>
        <w:rPr>
          <w:rFonts w:eastAsia="楷体_GB2312"/>
          <w:sz w:val="32"/>
          <w:szCs w:val="32"/>
        </w:rPr>
        <w:t>(责任单位：区住建局、区自然资源和规划局、区发改经信局）</w:t>
      </w:r>
    </w:p>
    <w:p w14:paraId="719CBB4D">
      <w:pPr>
        <w:autoSpaceDE w:val="0"/>
        <w:adjustRightInd w:val="0"/>
        <w:snapToGrid w:val="0"/>
        <w:spacing w:line="560" w:lineRule="exact"/>
        <w:ind w:firstLine="643" w:firstLineChars="200"/>
        <w:rPr>
          <w:rFonts w:eastAsia="楷体_GB2312"/>
          <w:sz w:val="32"/>
          <w:szCs w:val="32"/>
        </w:rPr>
      </w:pPr>
      <w:r>
        <w:rPr>
          <w:rFonts w:eastAsia="楷体_GB2312"/>
          <w:b/>
          <w:kern w:val="0"/>
          <w:sz w:val="32"/>
          <w:szCs w:val="32"/>
        </w:rPr>
        <w:t>(六）强化制造业人才保障。</w:t>
      </w:r>
      <w:r>
        <w:rPr>
          <w:rFonts w:eastAsia="仿宋_GB2312"/>
          <w:sz w:val="32"/>
          <w:szCs w:val="32"/>
        </w:rPr>
        <w:t>启动实施“飞英计划”，对标国家、省、市重大人才工程，瞄准创新领军人才、青年领军人才等专项类别，加速引进产业层次高、带动能力强的高端人才项目。</w:t>
      </w:r>
      <w:r>
        <w:rPr>
          <w:rFonts w:eastAsia="楷体_GB2312"/>
          <w:sz w:val="32"/>
          <w:szCs w:val="32"/>
        </w:rPr>
        <w:t>(责任单位： 区委人才办、区发改经信局）</w:t>
      </w:r>
      <w:r>
        <w:rPr>
          <w:rFonts w:eastAsia="仿宋_GB2312"/>
          <w:color w:val="000000"/>
          <w:kern w:val="0"/>
          <w:sz w:val="32"/>
          <w:szCs w:val="32"/>
          <w:lang w:bidi="ar"/>
        </w:rPr>
        <w:t>深入实施新时代浙江工匠、湖州工匠培育工程和“金蓝领” 职业技能提升行动，以自主评价、新型学徒、线上培训、基层队伍“一乡一品，一工一匠”打响吴兴职业技能培养品牌。</w:t>
      </w:r>
      <w:r>
        <w:rPr>
          <w:rFonts w:eastAsia="仿宋_GB2312"/>
          <w:sz w:val="32"/>
          <w:szCs w:val="32"/>
        </w:rPr>
        <w:t>建强用好特色产业工程师协同创新中心，助推机械物流产业发展。</w:t>
      </w:r>
      <w:r>
        <w:rPr>
          <w:rFonts w:eastAsia="楷体_GB2312"/>
          <w:sz w:val="32"/>
          <w:szCs w:val="32"/>
        </w:rPr>
        <w:t>(责任单位：区人力社保局、区总工会、区教育局、区发改经信局）</w:t>
      </w:r>
    </w:p>
    <w:p w14:paraId="24CA7B93">
      <w:pPr>
        <w:autoSpaceDE w:val="0"/>
        <w:adjustRightInd w:val="0"/>
        <w:snapToGrid w:val="0"/>
        <w:spacing w:line="560" w:lineRule="exact"/>
        <w:ind w:firstLine="640" w:firstLineChars="200"/>
        <w:rPr>
          <w:rFonts w:eastAsia="黑体"/>
          <w:kern w:val="0"/>
          <w:sz w:val="32"/>
          <w:szCs w:val="32"/>
        </w:rPr>
      </w:pPr>
      <w:r>
        <w:rPr>
          <w:rFonts w:eastAsia="黑体"/>
          <w:kern w:val="0"/>
          <w:sz w:val="32"/>
          <w:szCs w:val="32"/>
        </w:rPr>
        <w:t>五、组织实施</w:t>
      </w:r>
    </w:p>
    <w:p w14:paraId="06F380F6">
      <w:pPr>
        <w:autoSpaceDE w:val="0"/>
        <w:adjustRightInd w:val="0"/>
        <w:snapToGrid w:val="0"/>
        <w:spacing w:line="560" w:lineRule="exact"/>
        <w:ind w:firstLine="643" w:firstLineChars="200"/>
        <w:rPr>
          <w:rFonts w:eastAsia="楷体_GB2312"/>
          <w:sz w:val="32"/>
          <w:szCs w:val="32"/>
        </w:rPr>
      </w:pPr>
      <w:r>
        <w:rPr>
          <w:rFonts w:eastAsia="楷体_GB2312"/>
          <w:b/>
          <w:kern w:val="0"/>
          <w:sz w:val="32"/>
          <w:szCs w:val="32"/>
        </w:rPr>
        <w:t>(一）加强组织协调。</w:t>
      </w:r>
      <w:r>
        <w:rPr>
          <w:rFonts w:eastAsia="仿宋_GB2312"/>
          <w:sz w:val="32"/>
          <w:szCs w:val="32"/>
        </w:rPr>
        <w:t>区制造业高质量发展领导小组统筹负责新一轮制造业“腾笼换鸟、凤凰涅槃”攻坚行动，并成立新一轮制造业“腾笼换鸟、凤凰涅槃”攻坚行动工作专班，下设六个工作组，聚焦攻坚目标，强化部门联动，落实清单责任，实施挂图作战，实行闭环管理。高新区、各乡镇、环渚街道、湖东街道要高度重视，实施专班化工作机制，细化本地区攻坚行动实施方案，抓好落实。</w:t>
      </w:r>
      <w:r>
        <w:rPr>
          <w:rFonts w:eastAsia="楷体_GB2312"/>
          <w:sz w:val="32"/>
          <w:szCs w:val="32"/>
        </w:rPr>
        <w:t>(责任单位：区制高办、区发改经信局）</w:t>
      </w:r>
    </w:p>
    <w:p w14:paraId="46A70694">
      <w:pPr>
        <w:widowControl/>
        <w:autoSpaceDE w:val="0"/>
        <w:adjustRightInd w:val="0"/>
        <w:snapToGrid w:val="0"/>
        <w:spacing w:line="560" w:lineRule="exact"/>
        <w:ind w:firstLine="643" w:firstLineChars="200"/>
        <w:jc w:val="left"/>
        <w:rPr>
          <w:rFonts w:eastAsia="楷体_GB2312"/>
          <w:sz w:val="32"/>
          <w:szCs w:val="32"/>
        </w:rPr>
      </w:pPr>
      <w:r>
        <w:rPr>
          <w:rFonts w:eastAsia="楷体_GB2312"/>
          <w:b/>
          <w:kern w:val="0"/>
          <w:sz w:val="32"/>
          <w:szCs w:val="32"/>
        </w:rPr>
        <w:t>(二）加强评价考核。</w:t>
      </w:r>
      <w:r>
        <w:rPr>
          <w:rFonts w:eastAsia="仿宋_GB2312"/>
          <w:kern w:val="0"/>
          <w:sz w:val="32"/>
          <w:szCs w:val="32"/>
        </w:rPr>
        <w:t>紧盯省、市考核评价办法，按照三年和分年度攻坚目标，建立任务明确、责任到位、措施落实的“赛马”机制，实施月度监测、季度通报、年度考核，强化争先创优，积极向上争取用地计划指标、环境容量指标。</w:t>
      </w:r>
      <w:r>
        <w:rPr>
          <w:rFonts w:eastAsia="楷体_GB2312"/>
          <w:sz w:val="32"/>
          <w:szCs w:val="32"/>
        </w:rPr>
        <w:t>(责任单位：区制高办、区发改经信局、区自然资源和规划分局、区财政局、区生态环境分局）</w:t>
      </w:r>
    </w:p>
    <w:p w14:paraId="10B431DD">
      <w:pPr>
        <w:autoSpaceDE w:val="0"/>
        <w:adjustRightInd w:val="0"/>
        <w:snapToGrid w:val="0"/>
        <w:spacing w:line="560" w:lineRule="exact"/>
        <w:ind w:firstLine="643" w:firstLineChars="200"/>
        <w:rPr>
          <w:rFonts w:eastAsia="楷体_GB2312"/>
          <w:sz w:val="32"/>
          <w:szCs w:val="32"/>
        </w:rPr>
      </w:pPr>
      <w:r>
        <w:rPr>
          <w:rFonts w:eastAsia="楷体_GB2312"/>
          <w:b/>
          <w:kern w:val="0"/>
          <w:sz w:val="32"/>
          <w:szCs w:val="32"/>
        </w:rPr>
        <w:t>(三）加强数字治理。</w:t>
      </w:r>
      <w:r>
        <w:rPr>
          <w:rFonts w:eastAsia="仿宋_GB2312"/>
          <w:kern w:val="0"/>
          <w:sz w:val="32"/>
          <w:szCs w:val="32"/>
        </w:rPr>
        <w:t>深</w:t>
      </w:r>
      <w:r>
        <w:rPr>
          <w:rFonts w:eastAsia="仿宋_GB2312"/>
          <w:sz w:val="32"/>
          <w:szCs w:val="32"/>
        </w:rPr>
        <w:t>化数字化改革，体系化规范化推进数字经济系统建设，强化企业码综合应用，加快童装行业产业大脑建设，提升产业治理能力和治理水平现代化</w:t>
      </w:r>
      <w:r>
        <w:rPr>
          <w:rFonts w:eastAsia="仿宋_GB2312"/>
          <w:kern w:val="0"/>
          <w:sz w:val="32"/>
          <w:szCs w:val="32"/>
        </w:rPr>
        <w:t>。</w:t>
      </w:r>
      <w:r>
        <w:rPr>
          <w:rFonts w:eastAsia="楷体_GB2312"/>
          <w:sz w:val="32"/>
          <w:szCs w:val="32"/>
        </w:rPr>
        <w:t>(责任单位：区发改经信局）</w:t>
      </w:r>
    </w:p>
    <w:p w14:paraId="6BE99372">
      <w:pPr>
        <w:autoSpaceDE w:val="0"/>
        <w:adjustRightInd w:val="0"/>
        <w:snapToGrid w:val="0"/>
        <w:spacing w:line="560" w:lineRule="exact"/>
        <w:ind w:firstLine="643" w:firstLineChars="200"/>
        <w:rPr>
          <w:rFonts w:eastAsia="仿宋_GB2312"/>
          <w:sz w:val="32"/>
          <w:szCs w:val="32"/>
        </w:rPr>
      </w:pPr>
      <w:r>
        <w:rPr>
          <w:rFonts w:eastAsia="楷体_GB2312"/>
          <w:b/>
          <w:kern w:val="0"/>
          <w:sz w:val="32"/>
          <w:szCs w:val="32"/>
        </w:rPr>
        <w:t>(四）加强服务指导。</w:t>
      </w:r>
      <w:r>
        <w:rPr>
          <w:rFonts w:eastAsia="仿宋_GB2312"/>
          <w:sz w:val="32"/>
          <w:szCs w:val="32"/>
        </w:rPr>
        <w:t>坚持问题导向、需求导向，深入实施“三服务”2.0版，提供联动服务、精准服务，解决企业最需要最紧迫的难题。开展政策宣贯，总结典型经验，推广最佳实践，发挥引领带动作用。</w:t>
      </w:r>
      <w:r>
        <w:rPr>
          <w:rFonts w:eastAsia="楷体_GB2312"/>
          <w:sz w:val="32"/>
          <w:szCs w:val="32"/>
        </w:rPr>
        <w:t>(责任单位：区制高办、区发改经信局）</w:t>
      </w:r>
    </w:p>
    <w:p w14:paraId="7ACA6409">
      <w:pPr>
        <w:pStyle w:val="14"/>
        <w:ind w:firstLine="640" w:firstLineChars="200"/>
        <w:jc w:val="both"/>
        <w:rPr>
          <w:rFonts w:eastAsia="仿宋_GB2312"/>
          <w:szCs w:val="32"/>
        </w:rPr>
      </w:pPr>
      <w:r>
        <w:rPr>
          <w:rFonts w:eastAsia="仿宋_GB2312"/>
          <w:szCs w:val="32"/>
        </w:rPr>
        <w:t>本方案自印发之日起施行，有效期至2023年12月31日。</w:t>
      </w:r>
    </w:p>
    <w:p w14:paraId="416CB590">
      <w:pPr>
        <w:pStyle w:val="16"/>
        <w:spacing w:line="560" w:lineRule="exact"/>
        <w:ind w:firstLine="640" w:firstLineChars="200"/>
        <w:rPr>
          <w:rFonts w:ascii="Times New Roman" w:hAnsi="Times New Roman" w:eastAsia="仿宋_GB2312"/>
          <w:sz w:val="32"/>
          <w:szCs w:val="32"/>
        </w:rPr>
      </w:pPr>
    </w:p>
    <w:p w14:paraId="027E3EBE">
      <w:pPr>
        <w:pStyle w:val="16"/>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附件：1.主要目标指标表</w:t>
      </w:r>
    </w:p>
    <w:p w14:paraId="4039A1F1">
      <w:pPr>
        <w:pStyle w:val="16"/>
        <w:spacing w:line="560" w:lineRule="exact"/>
        <w:ind w:left="1756" w:leftChars="760" w:hanging="160" w:hangingChars="50"/>
        <w:rPr>
          <w:rFonts w:ascii="Times New Roman" w:hAnsi="Times New Roman" w:eastAsia="仿宋_GB2312"/>
          <w:sz w:val="32"/>
          <w:szCs w:val="32"/>
        </w:rPr>
      </w:pPr>
      <w:r>
        <w:rPr>
          <w:rFonts w:ascii="Times New Roman" w:hAnsi="Times New Roman" w:eastAsia="仿宋_GB2312"/>
          <w:sz w:val="32"/>
          <w:szCs w:val="32"/>
        </w:rPr>
        <w:t>2.吴兴区新一轮制造业“腾笼换鸟、凤凰涅槃”攻坚行动工作专班组成方案</w:t>
      </w:r>
    </w:p>
    <w:p w14:paraId="7E0666C0">
      <w:pPr>
        <w:pStyle w:val="16"/>
        <w:spacing w:line="560" w:lineRule="exact"/>
        <w:ind w:firstLine="320"/>
        <w:rPr>
          <w:rFonts w:ascii="Times New Roman" w:hAnsi="Times New Roman" w:eastAsia="楷体_GB2312"/>
          <w:sz w:val="32"/>
          <w:szCs w:val="32"/>
        </w:rPr>
      </w:pPr>
    </w:p>
    <w:p w14:paraId="56A0E08A">
      <w:pPr>
        <w:pStyle w:val="16"/>
        <w:spacing w:line="560" w:lineRule="exact"/>
        <w:ind w:firstLine="320"/>
        <w:rPr>
          <w:rFonts w:ascii="Times New Roman" w:hAnsi="Times New Roman" w:eastAsia="楷体_GB2312"/>
          <w:sz w:val="32"/>
          <w:szCs w:val="32"/>
        </w:rPr>
      </w:pPr>
    </w:p>
    <w:p w14:paraId="74D2F3A8">
      <w:pPr>
        <w:pStyle w:val="17"/>
        <w:spacing w:line="560" w:lineRule="exact"/>
        <w:ind w:firstLine="0" w:firstLineChars="0"/>
        <w:rPr>
          <w:bCs/>
        </w:rPr>
      </w:pPr>
    </w:p>
    <w:p w14:paraId="5BDA78F4">
      <w:pPr>
        <w:pStyle w:val="17"/>
        <w:spacing w:line="560" w:lineRule="exact"/>
        <w:ind w:firstLine="0" w:firstLineChars="0"/>
        <w:rPr>
          <w:bCs/>
        </w:rPr>
      </w:pPr>
    </w:p>
    <w:p w14:paraId="675F0B78">
      <w:pPr>
        <w:pStyle w:val="17"/>
        <w:spacing w:line="560" w:lineRule="exact"/>
        <w:ind w:firstLine="0" w:firstLineChars="0"/>
        <w:rPr>
          <w:bCs/>
        </w:rPr>
      </w:pPr>
    </w:p>
    <w:p w14:paraId="4447EAD6">
      <w:pPr>
        <w:widowControl/>
        <w:jc w:val="left"/>
        <w:rPr>
          <w:rFonts w:eastAsia="仿宋_GB2312"/>
          <w:bCs/>
          <w:sz w:val="32"/>
          <w:szCs w:val="32"/>
        </w:rPr>
      </w:pPr>
      <w:r>
        <w:rPr>
          <w:bCs/>
        </w:rPr>
        <w:br w:type="page"/>
      </w:r>
    </w:p>
    <w:p w14:paraId="1608F155">
      <w:pPr>
        <w:pStyle w:val="17"/>
        <w:spacing w:line="560" w:lineRule="exact"/>
        <w:ind w:firstLine="0" w:firstLineChars="0"/>
        <w:rPr>
          <w:rFonts w:ascii="仿宋_GB2312"/>
          <w:bCs/>
        </w:rPr>
      </w:pPr>
      <w:r>
        <w:rPr>
          <w:rFonts w:hint="eastAsia" w:ascii="仿宋_GB2312"/>
          <w:bCs/>
        </w:rPr>
        <w:t>附件1</w:t>
      </w:r>
    </w:p>
    <w:p w14:paraId="701EF855">
      <w:pPr>
        <w:pStyle w:val="17"/>
        <w:spacing w:line="240" w:lineRule="exact"/>
        <w:ind w:firstLine="0" w:firstLineChars="0"/>
        <w:rPr>
          <w:bCs/>
        </w:rPr>
      </w:pPr>
    </w:p>
    <w:p w14:paraId="6F29C665">
      <w:pPr>
        <w:pStyle w:val="17"/>
        <w:spacing w:line="560" w:lineRule="exact"/>
        <w:ind w:firstLine="0" w:firstLineChars="0"/>
        <w:jc w:val="center"/>
        <w:rPr>
          <w:rFonts w:ascii="方正小标宋简体" w:eastAsia="方正小标宋简体"/>
          <w:bCs/>
          <w:sz w:val="36"/>
          <w:szCs w:val="36"/>
        </w:rPr>
      </w:pPr>
      <w:r>
        <w:rPr>
          <w:rFonts w:hint="eastAsia" w:ascii="方正小标宋简体" w:eastAsia="方正小标宋简体"/>
          <w:bCs/>
          <w:sz w:val="36"/>
          <w:szCs w:val="36"/>
        </w:rPr>
        <w:t>主要指标目标表</w:t>
      </w:r>
    </w:p>
    <w:p w14:paraId="30ACF1BA">
      <w:pPr>
        <w:pStyle w:val="17"/>
        <w:spacing w:line="240" w:lineRule="exact"/>
        <w:ind w:firstLine="0" w:firstLineChars="0"/>
        <w:jc w:val="center"/>
        <w:rPr>
          <w:rFonts w:eastAsia="华文中宋"/>
          <w:b/>
        </w:rPr>
      </w:pPr>
    </w:p>
    <w:tbl>
      <w:tblPr>
        <w:tblStyle w:val="11"/>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5"/>
        <w:gridCol w:w="430"/>
        <w:gridCol w:w="3920"/>
        <w:gridCol w:w="950"/>
        <w:gridCol w:w="1040"/>
        <w:gridCol w:w="1060"/>
        <w:gridCol w:w="2039"/>
      </w:tblGrid>
      <w:tr w14:paraId="5C30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7" w:hRule="exact"/>
          <w:tblHeader/>
          <w:jc w:val="center"/>
        </w:trPr>
        <w:tc>
          <w:tcPr>
            <w:tcW w:w="645" w:type="dxa"/>
            <w:shd w:val="clear" w:color="auto" w:fill="FFFFFF"/>
            <w:vAlign w:val="center"/>
          </w:tcPr>
          <w:p w14:paraId="75C228BC">
            <w:pPr>
              <w:spacing w:line="360" w:lineRule="exact"/>
              <w:jc w:val="center"/>
              <w:rPr>
                <w:rFonts w:ascii="方正小标宋简体" w:eastAsia="方正小标宋简体"/>
                <w:sz w:val="24"/>
                <w:szCs w:val="24"/>
              </w:rPr>
            </w:pPr>
            <w:r>
              <w:rPr>
                <w:rFonts w:hint="eastAsia" w:ascii="方正小标宋简体" w:eastAsia="方正小标宋简体"/>
                <w:sz w:val="24"/>
                <w:szCs w:val="24"/>
              </w:rPr>
              <w:t>一级</w:t>
            </w:r>
          </w:p>
          <w:p w14:paraId="34A1AF08">
            <w:pPr>
              <w:spacing w:line="360" w:lineRule="exact"/>
              <w:jc w:val="center"/>
              <w:rPr>
                <w:rFonts w:ascii="方正小标宋简体" w:eastAsia="方正小标宋简体"/>
                <w:sz w:val="24"/>
                <w:szCs w:val="24"/>
              </w:rPr>
            </w:pPr>
            <w:r>
              <w:rPr>
                <w:rFonts w:hint="eastAsia" w:ascii="方正小标宋简体" w:eastAsia="方正小标宋简体"/>
                <w:sz w:val="24"/>
                <w:szCs w:val="24"/>
              </w:rPr>
              <w:t>指标</w:t>
            </w:r>
          </w:p>
        </w:tc>
        <w:tc>
          <w:tcPr>
            <w:tcW w:w="430" w:type="dxa"/>
            <w:shd w:val="clear" w:color="auto" w:fill="FFFFFF"/>
            <w:vAlign w:val="center"/>
          </w:tcPr>
          <w:p w14:paraId="39C48DC3">
            <w:pPr>
              <w:spacing w:line="360" w:lineRule="exact"/>
              <w:jc w:val="center"/>
              <w:rPr>
                <w:rFonts w:ascii="方正小标宋简体" w:eastAsia="方正小标宋简体"/>
                <w:sz w:val="24"/>
                <w:szCs w:val="24"/>
              </w:rPr>
            </w:pPr>
            <w:r>
              <w:rPr>
                <w:rFonts w:hint="eastAsia" w:ascii="方正小标宋简体" w:eastAsia="方正小标宋简体"/>
                <w:sz w:val="24"/>
                <w:szCs w:val="24"/>
              </w:rPr>
              <w:t>序号</w:t>
            </w:r>
          </w:p>
        </w:tc>
        <w:tc>
          <w:tcPr>
            <w:tcW w:w="3920" w:type="dxa"/>
            <w:shd w:val="clear" w:color="auto" w:fill="FFFFFF"/>
            <w:vAlign w:val="center"/>
          </w:tcPr>
          <w:p w14:paraId="447F5319">
            <w:pPr>
              <w:spacing w:line="360" w:lineRule="exact"/>
              <w:jc w:val="center"/>
              <w:rPr>
                <w:rFonts w:ascii="方正小标宋简体" w:eastAsia="方正小标宋简体"/>
                <w:sz w:val="24"/>
                <w:szCs w:val="24"/>
              </w:rPr>
            </w:pPr>
            <w:r>
              <w:rPr>
                <w:rFonts w:hint="eastAsia" w:ascii="方正小标宋简体" w:eastAsia="方正小标宋简体"/>
                <w:sz w:val="24"/>
                <w:szCs w:val="24"/>
              </w:rPr>
              <w:t>二级指标</w:t>
            </w:r>
          </w:p>
        </w:tc>
        <w:tc>
          <w:tcPr>
            <w:tcW w:w="950" w:type="dxa"/>
            <w:shd w:val="clear" w:color="auto" w:fill="FFFFFF"/>
            <w:vAlign w:val="center"/>
          </w:tcPr>
          <w:p w14:paraId="63A3B714">
            <w:pPr>
              <w:spacing w:line="360" w:lineRule="exact"/>
              <w:jc w:val="center"/>
              <w:rPr>
                <w:rFonts w:ascii="方正小标宋简体" w:eastAsia="方正小标宋简体"/>
                <w:sz w:val="24"/>
                <w:szCs w:val="24"/>
              </w:rPr>
            </w:pPr>
            <w:r>
              <w:rPr>
                <w:rFonts w:hint="eastAsia" w:ascii="方正小标宋简体" w:eastAsia="方正小标宋简体"/>
                <w:sz w:val="24"/>
                <w:szCs w:val="24"/>
              </w:rPr>
              <w:t>全省</w:t>
            </w:r>
          </w:p>
          <w:p w14:paraId="1AB361AB">
            <w:pPr>
              <w:spacing w:line="360" w:lineRule="exact"/>
              <w:jc w:val="center"/>
              <w:rPr>
                <w:rFonts w:ascii="方正小标宋简体" w:eastAsia="方正小标宋简体"/>
                <w:sz w:val="24"/>
                <w:szCs w:val="24"/>
              </w:rPr>
            </w:pPr>
            <w:r>
              <w:rPr>
                <w:rFonts w:hint="eastAsia" w:ascii="方正小标宋简体" w:eastAsia="方正小标宋简体"/>
                <w:sz w:val="24"/>
                <w:szCs w:val="24"/>
              </w:rPr>
              <w:t>目标</w:t>
            </w:r>
          </w:p>
        </w:tc>
        <w:tc>
          <w:tcPr>
            <w:tcW w:w="1040" w:type="dxa"/>
            <w:shd w:val="clear" w:color="auto" w:fill="FFFFFF"/>
            <w:vAlign w:val="center"/>
          </w:tcPr>
          <w:p w14:paraId="6EB6AA12">
            <w:pPr>
              <w:spacing w:line="360" w:lineRule="exact"/>
              <w:jc w:val="center"/>
              <w:rPr>
                <w:rFonts w:ascii="方正小标宋简体" w:eastAsia="方正小标宋简体"/>
                <w:sz w:val="24"/>
                <w:szCs w:val="24"/>
              </w:rPr>
            </w:pPr>
            <w:r>
              <w:rPr>
                <w:rFonts w:hint="eastAsia" w:ascii="方正小标宋简体" w:eastAsia="方正小标宋简体"/>
                <w:sz w:val="24"/>
                <w:szCs w:val="24"/>
              </w:rPr>
              <w:t>全市目标</w:t>
            </w:r>
          </w:p>
        </w:tc>
        <w:tc>
          <w:tcPr>
            <w:tcW w:w="1060" w:type="dxa"/>
            <w:shd w:val="clear" w:color="auto" w:fill="FFFFFF"/>
            <w:vAlign w:val="center"/>
          </w:tcPr>
          <w:p w14:paraId="70A76348">
            <w:pPr>
              <w:spacing w:line="360" w:lineRule="exact"/>
              <w:jc w:val="center"/>
              <w:rPr>
                <w:rFonts w:ascii="方正小标宋简体" w:eastAsia="方正小标宋简体"/>
                <w:sz w:val="24"/>
                <w:szCs w:val="24"/>
              </w:rPr>
            </w:pPr>
            <w:r>
              <w:rPr>
                <w:rFonts w:hint="eastAsia" w:ascii="方正小标宋简体" w:eastAsia="方正小标宋简体"/>
                <w:sz w:val="24"/>
                <w:szCs w:val="24"/>
              </w:rPr>
              <w:t>2023年</w:t>
            </w:r>
          </w:p>
        </w:tc>
        <w:tc>
          <w:tcPr>
            <w:tcW w:w="2039" w:type="dxa"/>
            <w:shd w:val="clear" w:color="auto" w:fill="FFFFFF"/>
            <w:vAlign w:val="center"/>
          </w:tcPr>
          <w:p w14:paraId="6098ACFA">
            <w:pPr>
              <w:spacing w:line="360" w:lineRule="exact"/>
              <w:jc w:val="center"/>
              <w:rPr>
                <w:rFonts w:ascii="方正小标宋简体" w:eastAsia="方正小标宋简体"/>
                <w:sz w:val="24"/>
                <w:szCs w:val="24"/>
              </w:rPr>
            </w:pPr>
            <w:r>
              <w:rPr>
                <w:rFonts w:hint="eastAsia" w:ascii="方正小标宋简体" w:eastAsia="方正小标宋简体"/>
                <w:sz w:val="24"/>
                <w:szCs w:val="24"/>
              </w:rPr>
              <w:t>责任部门</w:t>
            </w:r>
          </w:p>
        </w:tc>
      </w:tr>
      <w:tr w14:paraId="5A4D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9" w:hRule="exact"/>
          <w:tblHeader/>
          <w:jc w:val="center"/>
        </w:trPr>
        <w:tc>
          <w:tcPr>
            <w:tcW w:w="645" w:type="dxa"/>
            <w:vMerge w:val="restart"/>
            <w:shd w:val="clear" w:color="auto" w:fill="FFFFFF"/>
            <w:vAlign w:val="center"/>
          </w:tcPr>
          <w:p w14:paraId="595BA7B8">
            <w:pPr>
              <w:spacing w:line="360" w:lineRule="exact"/>
              <w:jc w:val="center"/>
              <w:rPr>
                <w:rFonts w:ascii="仿宋_GB2312" w:eastAsia="仿宋_GB2312"/>
                <w:bCs/>
                <w:sz w:val="24"/>
                <w:szCs w:val="24"/>
              </w:rPr>
            </w:pPr>
            <w:r>
              <w:rPr>
                <w:rFonts w:hint="eastAsia" w:ascii="仿宋_GB2312" w:eastAsia="仿宋_GB2312"/>
                <w:bCs/>
                <w:kern w:val="0"/>
                <w:sz w:val="24"/>
                <w:szCs w:val="24"/>
              </w:rPr>
              <w:t>整治增效</w:t>
            </w:r>
          </w:p>
        </w:tc>
        <w:tc>
          <w:tcPr>
            <w:tcW w:w="430" w:type="dxa"/>
            <w:shd w:val="clear" w:color="auto" w:fill="FFFFFF"/>
            <w:vAlign w:val="center"/>
          </w:tcPr>
          <w:p w14:paraId="2C3E1523">
            <w:pPr>
              <w:spacing w:line="360" w:lineRule="exact"/>
              <w:jc w:val="center"/>
              <w:rPr>
                <w:rFonts w:ascii="仿宋_GB2312" w:eastAsia="仿宋_GB2312"/>
                <w:b/>
                <w:bCs/>
                <w:sz w:val="24"/>
                <w:szCs w:val="24"/>
              </w:rPr>
            </w:pPr>
            <w:r>
              <w:rPr>
                <w:rFonts w:hint="eastAsia" w:ascii="仿宋_GB2312" w:eastAsia="仿宋_GB2312"/>
                <w:b/>
                <w:bCs/>
                <w:sz w:val="24"/>
                <w:szCs w:val="24"/>
              </w:rPr>
              <w:t>1</w:t>
            </w:r>
          </w:p>
        </w:tc>
        <w:tc>
          <w:tcPr>
            <w:tcW w:w="3920" w:type="dxa"/>
            <w:shd w:val="clear" w:color="auto" w:fill="FFFFFF"/>
            <w:vAlign w:val="center"/>
          </w:tcPr>
          <w:p w14:paraId="64BDAAA4">
            <w:pPr>
              <w:spacing w:line="360" w:lineRule="exact"/>
              <w:jc w:val="left"/>
              <w:rPr>
                <w:rFonts w:ascii="仿宋_GB2312" w:eastAsia="仿宋_GB2312"/>
                <w:sz w:val="24"/>
                <w:szCs w:val="24"/>
              </w:rPr>
            </w:pPr>
            <w:r>
              <w:rPr>
                <w:rFonts w:hint="eastAsia" w:ascii="仿宋_GB2312" w:eastAsia="仿宋_GB2312"/>
                <w:sz w:val="24"/>
                <w:szCs w:val="24"/>
              </w:rPr>
              <w:t>规上工业亩均税收</w:t>
            </w:r>
          </w:p>
        </w:tc>
        <w:tc>
          <w:tcPr>
            <w:tcW w:w="950" w:type="dxa"/>
            <w:shd w:val="clear" w:color="auto" w:fill="FFFFFF"/>
            <w:vAlign w:val="center"/>
          </w:tcPr>
          <w:p w14:paraId="5B4847FE">
            <w:pPr>
              <w:spacing w:line="360" w:lineRule="exact"/>
              <w:jc w:val="center"/>
              <w:rPr>
                <w:rFonts w:ascii="仿宋_GB2312" w:eastAsia="仿宋_GB2312"/>
                <w:sz w:val="24"/>
                <w:szCs w:val="24"/>
              </w:rPr>
            </w:pPr>
            <w:r>
              <w:rPr>
                <w:rFonts w:hint="eastAsia" w:ascii="仿宋_GB2312" w:eastAsia="仿宋_GB2312"/>
                <w:sz w:val="24"/>
                <w:szCs w:val="24"/>
              </w:rPr>
              <w:t>37</w:t>
            </w:r>
          </w:p>
        </w:tc>
        <w:tc>
          <w:tcPr>
            <w:tcW w:w="1040" w:type="dxa"/>
            <w:shd w:val="clear" w:color="auto" w:fill="FFFFFF"/>
            <w:vAlign w:val="center"/>
          </w:tcPr>
          <w:p w14:paraId="7EFEC31F">
            <w:pPr>
              <w:spacing w:line="360" w:lineRule="exact"/>
              <w:jc w:val="center"/>
              <w:rPr>
                <w:rFonts w:ascii="仿宋_GB2312" w:eastAsia="仿宋_GB2312"/>
                <w:sz w:val="24"/>
                <w:szCs w:val="24"/>
              </w:rPr>
            </w:pPr>
            <w:r>
              <w:rPr>
                <w:rFonts w:hint="eastAsia" w:ascii="仿宋_GB2312" w:eastAsia="仿宋_GB2312"/>
                <w:sz w:val="24"/>
                <w:szCs w:val="24"/>
              </w:rPr>
              <w:t>37</w:t>
            </w:r>
          </w:p>
        </w:tc>
        <w:tc>
          <w:tcPr>
            <w:tcW w:w="1060" w:type="dxa"/>
            <w:shd w:val="clear" w:color="auto" w:fill="FFFFFF"/>
            <w:vAlign w:val="center"/>
          </w:tcPr>
          <w:p w14:paraId="0E907307">
            <w:pPr>
              <w:spacing w:line="360" w:lineRule="exact"/>
              <w:jc w:val="center"/>
              <w:rPr>
                <w:rFonts w:ascii="仿宋_GB2312" w:eastAsia="仿宋_GB2312"/>
                <w:sz w:val="24"/>
                <w:szCs w:val="24"/>
              </w:rPr>
            </w:pPr>
            <w:r>
              <w:rPr>
                <w:rFonts w:hint="eastAsia" w:ascii="仿宋_GB2312" w:eastAsia="仿宋_GB2312"/>
                <w:sz w:val="24"/>
                <w:szCs w:val="24"/>
              </w:rPr>
              <w:t>38</w:t>
            </w:r>
          </w:p>
        </w:tc>
        <w:tc>
          <w:tcPr>
            <w:tcW w:w="2039" w:type="dxa"/>
            <w:shd w:val="clear" w:color="auto" w:fill="FFFFFF"/>
            <w:vAlign w:val="center"/>
          </w:tcPr>
          <w:p w14:paraId="56998345">
            <w:pPr>
              <w:spacing w:line="360" w:lineRule="exact"/>
              <w:jc w:val="center"/>
              <w:rPr>
                <w:rFonts w:ascii="仿宋_GB2312" w:eastAsia="仿宋_GB2312"/>
                <w:sz w:val="24"/>
                <w:szCs w:val="24"/>
              </w:rPr>
            </w:pPr>
            <w:r>
              <w:rPr>
                <w:rFonts w:hint="eastAsia" w:ascii="仿宋_GB2312" w:eastAsia="仿宋_GB2312"/>
                <w:sz w:val="24"/>
                <w:szCs w:val="24"/>
              </w:rPr>
              <w:t>区发改经信局</w:t>
            </w:r>
          </w:p>
        </w:tc>
      </w:tr>
      <w:tr w14:paraId="5D15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9" w:hRule="exact"/>
          <w:tblHeader/>
          <w:jc w:val="center"/>
        </w:trPr>
        <w:tc>
          <w:tcPr>
            <w:tcW w:w="645" w:type="dxa"/>
            <w:vMerge w:val="continue"/>
            <w:shd w:val="clear" w:color="auto" w:fill="FFFFFF"/>
            <w:vAlign w:val="center"/>
          </w:tcPr>
          <w:p w14:paraId="79089243">
            <w:pPr>
              <w:spacing w:line="360" w:lineRule="exact"/>
              <w:jc w:val="center"/>
              <w:rPr>
                <w:rFonts w:ascii="仿宋_GB2312" w:eastAsia="仿宋_GB2312"/>
                <w:bCs/>
                <w:sz w:val="24"/>
                <w:szCs w:val="24"/>
              </w:rPr>
            </w:pPr>
          </w:p>
        </w:tc>
        <w:tc>
          <w:tcPr>
            <w:tcW w:w="430" w:type="dxa"/>
            <w:shd w:val="clear" w:color="auto" w:fill="FFFFFF"/>
            <w:vAlign w:val="center"/>
          </w:tcPr>
          <w:p w14:paraId="58E01C8F">
            <w:pPr>
              <w:spacing w:line="360" w:lineRule="exact"/>
              <w:jc w:val="center"/>
              <w:rPr>
                <w:rFonts w:ascii="仿宋_GB2312" w:eastAsia="仿宋_GB2312"/>
                <w:b/>
                <w:bCs/>
                <w:sz w:val="24"/>
                <w:szCs w:val="24"/>
              </w:rPr>
            </w:pPr>
            <w:r>
              <w:rPr>
                <w:rFonts w:hint="eastAsia" w:ascii="仿宋_GB2312" w:eastAsia="仿宋_GB2312"/>
                <w:b/>
                <w:bCs/>
                <w:sz w:val="24"/>
                <w:szCs w:val="24"/>
              </w:rPr>
              <w:t>2</w:t>
            </w:r>
          </w:p>
        </w:tc>
        <w:tc>
          <w:tcPr>
            <w:tcW w:w="3920" w:type="dxa"/>
            <w:shd w:val="clear" w:color="auto" w:fill="FFFFFF"/>
            <w:vAlign w:val="center"/>
          </w:tcPr>
          <w:p w14:paraId="28B47C7B">
            <w:pPr>
              <w:spacing w:line="360" w:lineRule="exact"/>
              <w:jc w:val="left"/>
              <w:rPr>
                <w:rFonts w:ascii="仿宋_GB2312" w:eastAsia="仿宋_GB2312"/>
                <w:sz w:val="24"/>
                <w:szCs w:val="24"/>
              </w:rPr>
            </w:pPr>
            <w:r>
              <w:rPr>
                <w:rFonts w:hint="eastAsia" w:ascii="仿宋_GB2312" w:eastAsia="仿宋_GB2312"/>
                <w:sz w:val="24"/>
                <w:szCs w:val="24"/>
              </w:rPr>
              <w:t>规上工业亩均增加值(万元/亩）</w:t>
            </w:r>
          </w:p>
        </w:tc>
        <w:tc>
          <w:tcPr>
            <w:tcW w:w="950" w:type="dxa"/>
            <w:shd w:val="clear" w:color="auto" w:fill="FFFFFF"/>
            <w:vAlign w:val="center"/>
          </w:tcPr>
          <w:p w14:paraId="2F184F0E">
            <w:pPr>
              <w:spacing w:line="360" w:lineRule="exact"/>
              <w:jc w:val="center"/>
              <w:rPr>
                <w:rFonts w:ascii="仿宋_GB2312" w:eastAsia="仿宋_GB2312"/>
                <w:sz w:val="24"/>
                <w:szCs w:val="24"/>
              </w:rPr>
            </w:pPr>
            <w:r>
              <w:rPr>
                <w:rFonts w:hint="eastAsia" w:ascii="仿宋_GB2312" w:eastAsia="仿宋_GB2312"/>
                <w:sz w:val="24"/>
                <w:szCs w:val="24"/>
              </w:rPr>
              <w:t>180</w:t>
            </w:r>
          </w:p>
        </w:tc>
        <w:tc>
          <w:tcPr>
            <w:tcW w:w="1040" w:type="dxa"/>
            <w:shd w:val="clear" w:color="auto" w:fill="FFFFFF"/>
            <w:vAlign w:val="center"/>
          </w:tcPr>
          <w:p w14:paraId="529D93CB">
            <w:pPr>
              <w:spacing w:line="360" w:lineRule="exact"/>
              <w:jc w:val="center"/>
              <w:rPr>
                <w:rFonts w:ascii="仿宋_GB2312" w:eastAsia="仿宋_GB2312"/>
                <w:sz w:val="24"/>
                <w:szCs w:val="24"/>
              </w:rPr>
            </w:pPr>
            <w:r>
              <w:rPr>
                <w:rFonts w:hint="eastAsia" w:ascii="仿宋_GB2312" w:eastAsia="仿宋_GB2312"/>
                <w:sz w:val="24"/>
                <w:szCs w:val="24"/>
              </w:rPr>
              <w:t>180</w:t>
            </w:r>
          </w:p>
        </w:tc>
        <w:tc>
          <w:tcPr>
            <w:tcW w:w="1060" w:type="dxa"/>
            <w:shd w:val="clear" w:color="auto" w:fill="FFFFFF"/>
            <w:vAlign w:val="center"/>
          </w:tcPr>
          <w:p w14:paraId="023BA612">
            <w:pPr>
              <w:spacing w:line="360" w:lineRule="exact"/>
              <w:jc w:val="center"/>
              <w:rPr>
                <w:rFonts w:ascii="仿宋_GB2312" w:eastAsia="仿宋_GB2312"/>
                <w:sz w:val="24"/>
                <w:szCs w:val="24"/>
              </w:rPr>
            </w:pPr>
            <w:r>
              <w:rPr>
                <w:rFonts w:hint="eastAsia" w:ascii="仿宋_GB2312" w:eastAsia="仿宋_GB2312"/>
                <w:sz w:val="24"/>
                <w:szCs w:val="24"/>
              </w:rPr>
              <w:t>200</w:t>
            </w:r>
          </w:p>
        </w:tc>
        <w:tc>
          <w:tcPr>
            <w:tcW w:w="2039" w:type="dxa"/>
            <w:shd w:val="clear" w:color="auto" w:fill="FFFFFF"/>
            <w:vAlign w:val="center"/>
          </w:tcPr>
          <w:p w14:paraId="455EB36A">
            <w:pPr>
              <w:spacing w:line="360" w:lineRule="exact"/>
              <w:jc w:val="center"/>
              <w:rPr>
                <w:rFonts w:ascii="仿宋_GB2312" w:eastAsia="仿宋_GB2312"/>
                <w:sz w:val="24"/>
                <w:szCs w:val="24"/>
              </w:rPr>
            </w:pPr>
            <w:r>
              <w:rPr>
                <w:rFonts w:hint="eastAsia" w:ascii="仿宋_GB2312" w:eastAsia="仿宋_GB2312"/>
                <w:sz w:val="24"/>
                <w:szCs w:val="24"/>
              </w:rPr>
              <w:t>区发改经信局</w:t>
            </w:r>
          </w:p>
        </w:tc>
      </w:tr>
      <w:tr w14:paraId="7187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9" w:hRule="exact"/>
          <w:tblHeader/>
          <w:jc w:val="center"/>
        </w:trPr>
        <w:tc>
          <w:tcPr>
            <w:tcW w:w="645" w:type="dxa"/>
            <w:vMerge w:val="continue"/>
            <w:shd w:val="clear" w:color="auto" w:fill="FFFFFF"/>
            <w:vAlign w:val="center"/>
          </w:tcPr>
          <w:p w14:paraId="28DF9FE5">
            <w:pPr>
              <w:spacing w:line="360" w:lineRule="exact"/>
              <w:jc w:val="center"/>
              <w:rPr>
                <w:rFonts w:ascii="仿宋_GB2312" w:eastAsia="仿宋_GB2312"/>
                <w:bCs/>
                <w:sz w:val="24"/>
                <w:szCs w:val="24"/>
              </w:rPr>
            </w:pPr>
          </w:p>
        </w:tc>
        <w:tc>
          <w:tcPr>
            <w:tcW w:w="430" w:type="dxa"/>
            <w:shd w:val="clear" w:color="auto" w:fill="FFFFFF"/>
            <w:vAlign w:val="center"/>
          </w:tcPr>
          <w:p w14:paraId="2605D65B">
            <w:pPr>
              <w:spacing w:line="360" w:lineRule="exact"/>
              <w:jc w:val="center"/>
              <w:rPr>
                <w:rFonts w:ascii="仿宋_GB2312" w:eastAsia="仿宋_GB2312"/>
                <w:b/>
                <w:bCs/>
                <w:sz w:val="24"/>
                <w:szCs w:val="24"/>
              </w:rPr>
            </w:pPr>
            <w:r>
              <w:rPr>
                <w:rFonts w:hint="eastAsia" w:ascii="仿宋_GB2312" w:eastAsia="仿宋_GB2312"/>
                <w:b/>
                <w:bCs/>
                <w:sz w:val="24"/>
                <w:szCs w:val="24"/>
              </w:rPr>
              <w:t>3</w:t>
            </w:r>
          </w:p>
        </w:tc>
        <w:tc>
          <w:tcPr>
            <w:tcW w:w="3920" w:type="dxa"/>
            <w:shd w:val="clear" w:color="auto" w:fill="FFFFFF"/>
            <w:vAlign w:val="center"/>
          </w:tcPr>
          <w:p w14:paraId="48FD2372">
            <w:pPr>
              <w:spacing w:line="360" w:lineRule="exact"/>
              <w:jc w:val="left"/>
              <w:rPr>
                <w:rFonts w:ascii="仿宋_GB2312" w:eastAsia="仿宋_GB2312"/>
                <w:sz w:val="24"/>
                <w:szCs w:val="24"/>
                <w:lang w:val="en"/>
              </w:rPr>
            </w:pPr>
            <w:r>
              <w:rPr>
                <w:rFonts w:hint="eastAsia" w:ascii="仿宋_GB2312" w:eastAsia="仿宋_GB2312"/>
                <w:sz w:val="24"/>
                <w:szCs w:val="24"/>
              </w:rPr>
              <w:t>规上工业全员</w:t>
            </w:r>
            <w:r>
              <w:rPr>
                <w:rFonts w:hint="eastAsia" w:ascii="仿宋_GB2312" w:eastAsia="仿宋_GB2312"/>
                <w:sz w:val="24"/>
                <w:szCs w:val="24"/>
                <w:lang w:val="en"/>
              </w:rPr>
              <w:t>劳动生产率</w:t>
            </w:r>
          </w:p>
          <w:p w14:paraId="3245A3B5">
            <w:pPr>
              <w:spacing w:line="360" w:lineRule="exact"/>
              <w:jc w:val="left"/>
              <w:rPr>
                <w:rFonts w:ascii="仿宋_GB2312" w:eastAsia="仿宋_GB2312"/>
                <w:sz w:val="24"/>
                <w:szCs w:val="24"/>
              </w:rPr>
            </w:pPr>
            <w:r>
              <w:rPr>
                <w:rFonts w:hint="eastAsia" w:ascii="仿宋_GB2312" w:eastAsia="仿宋_GB2312"/>
                <w:sz w:val="24"/>
                <w:szCs w:val="24"/>
                <w:lang w:val="en"/>
              </w:rPr>
              <w:t>(</w:t>
            </w:r>
            <w:r>
              <w:rPr>
                <w:rFonts w:hint="eastAsia" w:ascii="仿宋_GB2312" w:eastAsia="仿宋_GB2312"/>
                <w:sz w:val="24"/>
                <w:szCs w:val="24"/>
              </w:rPr>
              <w:t>万元/人）</w:t>
            </w:r>
          </w:p>
        </w:tc>
        <w:tc>
          <w:tcPr>
            <w:tcW w:w="950" w:type="dxa"/>
            <w:shd w:val="clear" w:color="auto" w:fill="FFFFFF"/>
            <w:vAlign w:val="center"/>
          </w:tcPr>
          <w:p w14:paraId="34A621AF">
            <w:pPr>
              <w:spacing w:line="360" w:lineRule="exact"/>
              <w:jc w:val="center"/>
              <w:rPr>
                <w:rFonts w:ascii="仿宋_GB2312" w:eastAsia="仿宋_GB2312"/>
                <w:sz w:val="24"/>
                <w:szCs w:val="24"/>
              </w:rPr>
            </w:pPr>
            <w:r>
              <w:rPr>
                <w:rFonts w:hint="eastAsia" w:ascii="仿宋_GB2312" w:eastAsia="仿宋_GB2312"/>
                <w:sz w:val="24"/>
                <w:szCs w:val="24"/>
              </w:rPr>
              <w:t>33</w:t>
            </w:r>
          </w:p>
        </w:tc>
        <w:tc>
          <w:tcPr>
            <w:tcW w:w="1040" w:type="dxa"/>
            <w:shd w:val="clear" w:color="auto" w:fill="FFFFFF"/>
            <w:vAlign w:val="center"/>
          </w:tcPr>
          <w:p w14:paraId="646702A0">
            <w:pPr>
              <w:spacing w:line="360" w:lineRule="exact"/>
              <w:jc w:val="center"/>
              <w:rPr>
                <w:rFonts w:ascii="仿宋_GB2312" w:eastAsia="仿宋_GB2312"/>
                <w:sz w:val="24"/>
                <w:szCs w:val="24"/>
              </w:rPr>
            </w:pPr>
            <w:r>
              <w:rPr>
                <w:rFonts w:hint="eastAsia" w:ascii="仿宋_GB2312" w:eastAsia="仿宋_GB2312"/>
                <w:sz w:val="24"/>
                <w:szCs w:val="24"/>
              </w:rPr>
              <w:t>33</w:t>
            </w:r>
          </w:p>
        </w:tc>
        <w:tc>
          <w:tcPr>
            <w:tcW w:w="1060" w:type="dxa"/>
            <w:shd w:val="clear" w:color="auto" w:fill="FFFFFF"/>
            <w:vAlign w:val="center"/>
          </w:tcPr>
          <w:p w14:paraId="5EDC9BF9">
            <w:pPr>
              <w:spacing w:line="360" w:lineRule="exact"/>
              <w:jc w:val="center"/>
              <w:rPr>
                <w:rFonts w:ascii="仿宋_GB2312" w:eastAsia="仿宋_GB2312"/>
                <w:sz w:val="24"/>
                <w:szCs w:val="24"/>
              </w:rPr>
            </w:pPr>
            <w:r>
              <w:rPr>
                <w:rFonts w:hint="eastAsia" w:ascii="仿宋_GB2312" w:eastAsia="仿宋_GB2312"/>
                <w:sz w:val="24"/>
                <w:szCs w:val="24"/>
              </w:rPr>
              <w:t>33</w:t>
            </w:r>
          </w:p>
        </w:tc>
        <w:tc>
          <w:tcPr>
            <w:tcW w:w="2039" w:type="dxa"/>
            <w:shd w:val="clear" w:color="auto" w:fill="FFFFFF"/>
            <w:vAlign w:val="center"/>
          </w:tcPr>
          <w:p w14:paraId="50589638">
            <w:pPr>
              <w:spacing w:line="360" w:lineRule="exact"/>
              <w:jc w:val="center"/>
              <w:rPr>
                <w:rFonts w:ascii="仿宋_GB2312" w:eastAsia="仿宋_GB2312"/>
                <w:sz w:val="24"/>
                <w:szCs w:val="24"/>
              </w:rPr>
            </w:pPr>
            <w:r>
              <w:rPr>
                <w:rFonts w:hint="eastAsia" w:ascii="仿宋_GB2312" w:eastAsia="仿宋_GB2312"/>
                <w:sz w:val="24"/>
                <w:szCs w:val="24"/>
              </w:rPr>
              <w:t>区发改经信局</w:t>
            </w:r>
          </w:p>
        </w:tc>
      </w:tr>
      <w:tr w14:paraId="6180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9" w:hRule="exact"/>
          <w:tblHeader/>
          <w:jc w:val="center"/>
        </w:trPr>
        <w:tc>
          <w:tcPr>
            <w:tcW w:w="645" w:type="dxa"/>
            <w:vMerge w:val="continue"/>
            <w:shd w:val="clear" w:color="auto" w:fill="FFFFFF"/>
            <w:vAlign w:val="center"/>
          </w:tcPr>
          <w:p w14:paraId="7EB88F57">
            <w:pPr>
              <w:spacing w:line="360" w:lineRule="exact"/>
              <w:jc w:val="center"/>
              <w:rPr>
                <w:rFonts w:ascii="仿宋_GB2312" w:eastAsia="仿宋_GB2312"/>
                <w:bCs/>
                <w:sz w:val="24"/>
                <w:szCs w:val="24"/>
              </w:rPr>
            </w:pPr>
          </w:p>
        </w:tc>
        <w:tc>
          <w:tcPr>
            <w:tcW w:w="430" w:type="dxa"/>
            <w:shd w:val="clear" w:color="auto" w:fill="FFFFFF"/>
            <w:vAlign w:val="center"/>
          </w:tcPr>
          <w:p w14:paraId="095FE86E">
            <w:pPr>
              <w:spacing w:line="360" w:lineRule="exact"/>
              <w:jc w:val="center"/>
              <w:rPr>
                <w:rFonts w:ascii="仿宋_GB2312" w:eastAsia="仿宋_GB2312"/>
                <w:b/>
                <w:bCs/>
                <w:sz w:val="24"/>
                <w:szCs w:val="24"/>
              </w:rPr>
            </w:pPr>
            <w:r>
              <w:rPr>
                <w:rFonts w:hint="eastAsia" w:ascii="仿宋_GB2312" w:eastAsia="仿宋_GB2312"/>
                <w:b/>
                <w:bCs/>
                <w:sz w:val="24"/>
                <w:szCs w:val="24"/>
              </w:rPr>
              <w:t>4</w:t>
            </w:r>
          </w:p>
        </w:tc>
        <w:tc>
          <w:tcPr>
            <w:tcW w:w="3920" w:type="dxa"/>
            <w:shd w:val="clear" w:color="auto" w:fill="FFFFFF"/>
            <w:vAlign w:val="center"/>
          </w:tcPr>
          <w:p w14:paraId="3F64861F">
            <w:pPr>
              <w:spacing w:line="360" w:lineRule="exact"/>
              <w:jc w:val="left"/>
              <w:rPr>
                <w:rFonts w:ascii="仿宋_GB2312" w:eastAsia="仿宋_GB2312"/>
                <w:sz w:val="24"/>
                <w:szCs w:val="24"/>
              </w:rPr>
            </w:pPr>
            <w:r>
              <w:rPr>
                <w:rFonts w:hint="eastAsia" w:ascii="仿宋_GB2312" w:eastAsia="仿宋_GB2312"/>
                <w:sz w:val="24"/>
                <w:szCs w:val="24"/>
              </w:rPr>
              <w:t>高耗低效企业淘汰整治数(家）</w:t>
            </w:r>
          </w:p>
        </w:tc>
        <w:tc>
          <w:tcPr>
            <w:tcW w:w="950" w:type="dxa"/>
            <w:shd w:val="clear" w:color="auto" w:fill="FFFFFF"/>
            <w:vAlign w:val="center"/>
          </w:tcPr>
          <w:p w14:paraId="0E7A3C04">
            <w:pPr>
              <w:spacing w:line="360" w:lineRule="exact"/>
              <w:jc w:val="center"/>
              <w:rPr>
                <w:rFonts w:ascii="仿宋_GB2312" w:eastAsia="仿宋_GB2312"/>
                <w:sz w:val="24"/>
                <w:szCs w:val="24"/>
              </w:rPr>
            </w:pPr>
            <w:r>
              <w:rPr>
                <w:rFonts w:hint="eastAsia" w:ascii="仿宋_GB2312" w:eastAsia="仿宋_GB2312"/>
                <w:sz w:val="24"/>
                <w:szCs w:val="24"/>
              </w:rPr>
              <w:t>[15000]</w:t>
            </w:r>
          </w:p>
        </w:tc>
        <w:tc>
          <w:tcPr>
            <w:tcW w:w="1040" w:type="dxa"/>
            <w:shd w:val="clear" w:color="auto" w:fill="FFFFFF"/>
            <w:vAlign w:val="center"/>
          </w:tcPr>
          <w:p w14:paraId="025D1663">
            <w:pPr>
              <w:spacing w:line="360" w:lineRule="exact"/>
              <w:jc w:val="center"/>
              <w:rPr>
                <w:rFonts w:ascii="仿宋_GB2312" w:eastAsia="仿宋_GB2312"/>
                <w:sz w:val="24"/>
                <w:szCs w:val="24"/>
              </w:rPr>
            </w:pPr>
            <w:r>
              <w:rPr>
                <w:rFonts w:hint="eastAsia" w:ascii="仿宋_GB2312" w:eastAsia="仿宋_GB2312"/>
                <w:sz w:val="24"/>
                <w:szCs w:val="24"/>
              </w:rPr>
              <w:t>[1500]</w:t>
            </w:r>
          </w:p>
        </w:tc>
        <w:tc>
          <w:tcPr>
            <w:tcW w:w="1060" w:type="dxa"/>
            <w:shd w:val="clear" w:color="auto" w:fill="FFFFFF"/>
            <w:vAlign w:val="center"/>
          </w:tcPr>
          <w:p w14:paraId="48307888">
            <w:pPr>
              <w:spacing w:line="360" w:lineRule="exact"/>
              <w:jc w:val="center"/>
              <w:rPr>
                <w:rFonts w:ascii="仿宋_GB2312" w:eastAsia="仿宋_GB2312"/>
                <w:sz w:val="24"/>
                <w:szCs w:val="24"/>
              </w:rPr>
            </w:pPr>
            <w:r>
              <w:rPr>
                <w:rFonts w:hint="eastAsia" w:ascii="仿宋_GB2312" w:eastAsia="仿宋_GB2312"/>
                <w:sz w:val="24"/>
                <w:szCs w:val="24"/>
              </w:rPr>
              <w:t>[250]</w:t>
            </w:r>
          </w:p>
        </w:tc>
        <w:tc>
          <w:tcPr>
            <w:tcW w:w="2039" w:type="dxa"/>
            <w:shd w:val="clear" w:color="auto" w:fill="FFFFFF"/>
            <w:vAlign w:val="center"/>
          </w:tcPr>
          <w:p w14:paraId="068CC577">
            <w:pPr>
              <w:spacing w:line="360" w:lineRule="exact"/>
              <w:jc w:val="center"/>
              <w:rPr>
                <w:rFonts w:ascii="仿宋_GB2312" w:eastAsia="仿宋_GB2312"/>
                <w:sz w:val="24"/>
                <w:szCs w:val="24"/>
              </w:rPr>
            </w:pPr>
            <w:r>
              <w:rPr>
                <w:rFonts w:hint="eastAsia" w:ascii="仿宋_GB2312" w:eastAsia="仿宋_GB2312"/>
                <w:sz w:val="24"/>
                <w:szCs w:val="24"/>
              </w:rPr>
              <w:t>区发改经信局</w:t>
            </w:r>
          </w:p>
        </w:tc>
      </w:tr>
      <w:tr w14:paraId="06F2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8" w:hRule="exact"/>
          <w:tblHeader/>
          <w:jc w:val="center"/>
        </w:trPr>
        <w:tc>
          <w:tcPr>
            <w:tcW w:w="645" w:type="dxa"/>
            <w:vMerge w:val="continue"/>
            <w:shd w:val="clear" w:color="auto" w:fill="FFFFFF"/>
            <w:vAlign w:val="center"/>
          </w:tcPr>
          <w:p w14:paraId="0A3348C2">
            <w:pPr>
              <w:spacing w:line="360" w:lineRule="exact"/>
              <w:jc w:val="center"/>
              <w:rPr>
                <w:rFonts w:ascii="仿宋_GB2312" w:eastAsia="仿宋_GB2312"/>
                <w:bCs/>
                <w:sz w:val="24"/>
                <w:szCs w:val="24"/>
              </w:rPr>
            </w:pPr>
          </w:p>
        </w:tc>
        <w:tc>
          <w:tcPr>
            <w:tcW w:w="430" w:type="dxa"/>
            <w:shd w:val="clear" w:color="auto" w:fill="FFFFFF"/>
            <w:vAlign w:val="center"/>
          </w:tcPr>
          <w:p w14:paraId="6C7AEAF4">
            <w:pPr>
              <w:spacing w:line="360" w:lineRule="exact"/>
              <w:jc w:val="center"/>
              <w:rPr>
                <w:rFonts w:ascii="仿宋_GB2312" w:eastAsia="仿宋_GB2312"/>
                <w:b/>
                <w:bCs/>
                <w:sz w:val="24"/>
                <w:szCs w:val="24"/>
              </w:rPr>
            </w:pPr>
            <w:r>
              <w:rPr>
                <w:rFonts w:hint="eastAsia" w:ascii="仿宋_GB2312" w:eastAsia="仿宋_GB2312"/>
                <w:b/>
                <w:bCs/>
                <w:sz w:val="24"/>
                <w:szCs w:val="24"/>
              </w:rPr>
              <w:t>5</w:t>
            </w:r>
          </w:p>
        </w:tc>
        <w:tc>
          <w:tcPr>
            <w:tcW w:w="3920" w:type="dxa"/>
            <w:shd w:val="clear" w:color="auto" w:fill="FFFFFF"/>
            <w:vAlign w:val="center"/>
          </w:tcPr>
          <w:p w14:paraId="4294807C">
            <w:pPr>
              <w:spacing w:line="360" w:lineRule="exact"/>
              <w:jc w:val="left"/>
              <w:rPr>
                <w:rFonts w:ascii="仿宋_GB2312" w:eastAsia="仿宋_GB2312"/>
                <w:sz w:val="24"/>
                <w:szCs w:val="24"/>
              </w:rPr>
            </w:pPr>
            <w:r>
              <w:rPr>
                <w:rFonts w:hint="eastAsia" w:ascii="仿宋_GB2312" w:eastAsia="仿宋_GB2312"/>
                <w:sz w:val="24"/>
                <w:szCs w:val="24"/>
              </w:rPr>
              <w:t>腾出低效工业用地(平方公里）</w:t>
            </w:r>
          </w:p>
        </w:tc>
        <w:tc>
          <w:tcPr>
            <w:tcW w:w="950" w:type="dxa"/>
            <w:shd w:val="clear" w:color="auto" w:fill="FFFFFF"/>
            <w:vAlign w:val="center"/>
          </w:tcPr>
          <w:p w14:paraId="5611F9F9">
            <w:pPr>
              <w:spacing w:line="360" w:lineRule="exact"/>
              <w:jc w:val="center"/>
              <w:rPr>
                <w:rFonts w:ascii="仿宋_GB2312" w:eastAsia="仿宋_GB2312"/>
                <w:sz w:val="24"/>
                <w:szCs w:val="24"/>
              </w:rPr>
            </w:pPr>
            <w:r>
              <w:rPr>
                <w:rFonts w:hint="eastAsia" w:ascii="仿宋_GB2312" w:eastAsia="仿宋_GB2312"/>
                <w:sz w:val="24"/>
                <w:szCs w:val="24"/>
              </w:rPr>
              <w:t>[100]</w:t>
            </w:r>
          </w:p>
        </w:tc>
        <w:tc>
          <w:tcPr>
            <w:tcW w:w="1040" w:type="dxa"/>
            <w:shd w:val="clear" w:color="auto" w:fill="FFFFFF"/>
            <w:vAlign w:val="center"/>
          </w:tcPr>
          <w:p w14:paraId="0AAFB900">
            <w:pPr>
              <w:spacing w:line="360" w:lineRule="exact"/>
              <w:jc w:val="center"/>
              <w:rPr>
                <w:rFonts w:ascii="仿宋_GB2312" w:eastAsia="仿宋_GB2312"/>
                <w:sz w:val="24"/>
                <w:szCs w:val="24"/>
              </w:rPr>
            </w:pPr>
            <w:r>
              <w:rPr>
                <w:rFonts w:hint="eastAsia" w:ascii="仿宋_GB2312" w:eastAsia="仿宋_GB2312"/>
                <w:sz w:val="24"/>
                <w:szCs w:val="24"/>
              </w:rPr>
              <w:t>[6]</w:t>
            </w:r>
          </w:p>
        </w:tc>
        <w:tc>
          <w:tcPr>
            <w:tcW w:w="1060" w:type="dxa"/>
            <w:shd w:val="clear" w:color="auto" w:fill="FFFFFF"/>
            <w:vAlign w:val="center"/>
          </w:tcPr>
          <w:p w14:paraId="1258EBED">
            <w:pPr>
              <w:spacing w:line="360" w:lineRule="exact"/>
              <w:jc w:val="center"/>
              <w:rPr>
                <w:rFonts w:ascii="仿宋_GB2312" w:eastAsia="仿宋_GB2312"/>
                <w:sz w:val="24"/>
                <w:szCs w:val="24"/>
              </w:rPr>
            </w:pPr>
            <w:r>
              <w:rPr>
                <w:rFonts w:hint="eastAsia" w:ascii="仿宋_GB2312" w:eastAsia="仿宋_GB2312"/>
                <w:sz w:val="24"/>
                <w:szCs w:val="24"/>
              </w:rPr>
              <w:t>[1]</w:t>
            </w:r>
          </w:p>
        </w:tc>
        <w:tc>
          <w:tcPr>
            <w:tcW w:w="2039" w:type="dxa"/>
            <w:shd w:val="clear" w:color="auto" w:fill="FFFFFF"/>
            <w:vAlign w:val="center"/>
          </w:tcPr>
          <w:p w14:paraId="785F9C0A">
            <w:pPr>
              <w:spacing w:line="360" w:lineRule="exact"/>
              <w:jc w:val="center"/>
              <w:rPr>
                <w:rFonts w:ascii="仿宋_GB2312" w:eastAsia="仿宋_GB2312"/>
                <w:sz w:val="24"/>
                <w:szCs w:val="24"/>
              </w:rPr>
            </w:pPr>
            <w:r>
              <w:rPr>
                <w:rFonts w:hint="eastAsia" w:ascii="仿宋_GB2312" w:eastAsia="仿宋_GB2312"/>
                <w:sz w:val="24"/>
                <w:szCs w:val="24"/>
              </w:rPr>
              <w:t>区自然资源和规划分局</w:t>
            </w:r>
          </w:p>
        </w:tc>
      </w:tr>
      <w:tr w14:paraId="3A0E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9" w:hRule="exact"/>
          <w:tblHeader/>
          <w:jc w:val="center"/>
        </w:trPr>
        <w:tc>
          <w:tcPr>
            <w:tcW w:w="645" w:type="dxa"/>
            <w:vMerge w:val="restart"/>
            <w:shd w:val="clear" w:color="auto" w:fill="FFFFFF"/>
            <w:vAlign w:val="center"/>
          </w:tcPr>
          <w:p w14:paraId="13CD7F63">
            <w:pPr>
              <w:spacing w:line="360" w:lineRule="exact"/>
              <w:jc w:val="center"/>
              <w:rPr>
                <w:rFonts w:ascii="仿宋_GB2312" w:eastAsia="仿宋_GB2312"/>
                <w:bCs/>
                <w:kern w:val="0"/>
                <w:sz w:val="24"/>
                <w:szCs w:val="24"/>
              </w:rPr>
            </w:pPr>
            <w:r>
              <w:rPr>
                <w:rFonts w:hint="eastAsia" w:ascii="仿宋_GB2312" w:eastAsia="仿宋_GB2312"/>
                <w:bCs/>
                <w:kern w:val="0"/>
                <w:sz w:val="24"/>
                <w:szCs w:val="24"/>
              </w:rPr>
              <w:t>创新强工</w:t>
            </w:r>
          </w:p>
        </w:tc>
        <w:tc>
          <w:tcPr>
            <w:tcW w:w="430" w:type="dxa"/>
            <w:shd w:val="clear" w:color="auto" w:fill="FFFFFF"/>
            <w:vAlign w:val="center"/>
          </w:tcPr>
          <w:p w14:paraId="4D9CC325">
            <w:pPr>
              <w:spacing w:line="360" w:lineRule="exact"/>
              <w:jc w:val="center"/>
              <w:rPr>
                <w:rFonts w:ascii="仿宋_GB2312" w:eastAsia="仿宋_GB2312"/>
                <w:b/>
                <w:bCs/>
                <w:sz w:val="24"/>
                <w:szCs w:val="24"/>
              </w:rPr>
            </w:pPr>
            <w:r>
              <w:rPr>
                <w:rFonts w:hint="eastAsia" w:ascii="仿宋_GB2312" w:eastAsia="仿宋_GB2312"/>
                <w:b/>
                <w:bCs/>
                <w:sz w:val="24"/>
                <w:szCs w:val="24"/>
              </w:rPr>
              <w:t>6</w:t>
            </w:r>
          </w:p>
        </w:tc>
        <w:tc>
          <w:tcPr>
            <w:tcW w:w="3920" w:type="dxa"/>
            <w:shd w:val="clear" w:color="auto" w:fill="FFFFFF"/>
            <w:vAlign w:val="center"/>
          </w:tcPr>
          <w:p w14:paraId="11F7358A">
            <w:pPr>
              <w:spacing w:line="360" w:lineRule="exact"/>
              <w:jc w:val="left"/>
              <w:rPr>
                <w:rFonts w:ascii="仿宋_GB2312" w:eastAsia="仿宋_GB2312"/>
                <w:sz w:val="24"/>
                <w:szCs w:val="24"/>
              </w:rPr>
            </w:pPr>
            <w:r>
              <w:rPr>
                <w:rFonts w:hint="eastAsia" w:ascii="仿宋_GB2312" w:eastAsia="仿宋_GB2312"/>
                <w:sz w:val="24"/>
                <w:szCs w:val="24"/>
              </w:rPr>
              <w:t>规上制造业研发经费支出占</w:t>
            </w:r>
          </w:p>
          <w:p w14:paraId="53CDB377">
            <w:pPr>
              <w:spacing w:line="360" w:lineRule="exact"/>
              <w:jc w:val="left"/>
              <w:rPr>
                <w:rFonts w:ascii="仿宋_GB2312" w:eastAsia="仿宋_GB2312"/>
                <w:sz w:val="24"/>
                <w:szCs w:val="24"/>
              </w:rPr>
            </w:pPr>
            <w:r>
              <w:rPr>
                <w:rFonts w:hint="eastAsia" w:ascii="仿宋_GB2312" w:eastAsia="仿宋_GB2312"/>
                <w:sz w:val="24"/>
                <w:szCs w:val="24"/>
              </w:rPr>
              <w:t>营业收入比重(%）</w:t>
            </w:r>
          </w:p>
        </w:tc>
        <w:tc>
          <w:tcPr>
            <w:tcW w:w="950" w:type="dxa"/>
            <w:shd w:val="clear" w:color="auto" w:fill="FFFFFF"/>
            <w:vAlign w:val="center"/>
          </w:tcPr>
          <w:p w14:paraId="156ACF40">
            <w:pPr>
              <w:spacing w:line="360" w:lineRule="exact"/>
              <w:jc w:val="center"/>
              <w:rPr>
                <w:rFonts w:ascii="仿宋_GB2312" w:eastAsia="仿宋_GB2312"/>
                <w:sz w:val="24"/>
                <w:szCs w:val="24"/>
              </w:rPr>
            </w:pPr>
            <w:r>
              <w:rPr>
                <w:rFonts w:hint="eastAsia" w:ascii="仿宋_GB2312" w:eastAsia="仿宋_GB2312"/>
                <w:sz w:val="24"/>
                <w:szCs w:val="24"/>
              </w:rPr>
              <w:t>2.3</w:t>
            </w:r>
          </w:p>
        </w:tc>
        <w:tc>
          <w:tcPr>
            <w:tcW w:w="1040" w:type="dxa"/>
            <w:shd w:val="clear" w:color="auto" w:fill="FFFFFF"/>
            <w:vAlign w:val="center"/>
          </w:tcPr>
          <w:p w14:paraId="3D9D76C2">
            <w:pPr>
              <w:spacing w:line="360" w:lineRule="exact"/>
              <w:jc w:val="center"/>
              <w:rPr>
                <w:rFonts w:ascii="仿宋_GB2312" w:eastAsia="仿宋_GB2312"/>
                <w:sz w:val="24"/>
                <w:szCs w:val="24"/>
              </w:rPr>
            </w:pPr>
            <w:r>
              <w:rPr>
                <w:rFonts w:hint="eastAsia" w:ascii="仿宋_GB2312" w:eastAsia="仿宋_GB2312"/>
                <w:sz w:val="24"/>
                <w:szCs w:val="24"/>
              </w:rPr>
              <w:t>2.3</w:t>
            </w:r>
          </w:p>
        </w:tc>
        <w:tc>
          <w:tcPr>
            <w:tcW w:w="1060" w:type="dxa"/>
            <w:shd w:val="clear" w:color="auto" w:fill="FFFFFF"/>
            <w:vAlign w:val="center"/>
          </w:tcPr>
          <w:p w14:paraId="5CE1C645">
            <w:pPr>
              <w:spacing w:line="360" w:lineRule="exact"/>
              <w:jc w:val="center"/>
              <w:rPr>
                <w:rFonts w:ascii="仿宋_GB2312" w:eastAsia="仿宋_GB2312"/>
                <w:sz w:val="24"/>
                <w:szCs w:val="24"/>
              </w:rPr>
            </w:pPr>
            <w:r>
              <w:rPr>
                <w:rFonts w:hint="eastAsia" w:ascii="仿宋_GB2312" w:eastAsia="仿宋_GB2312"/>
                <w:sz w:val="24"/>
                <w:szCs w:val="24"/>
              </w:rPr>
              <w:t>3.2</w:t>
            </w:r>
          </w:p>
        </w:tc>
        <w:tc>
          <w:tcPr>
            <w:tcW w:w="2039" w:type="dxa"/>
            <w:shd w:val="clear" w:color="auto" w:fill="FFFFFF"/>
            <w:vAlign w:val="center"/>
          </w:tcPr>
          <w:p w14:paraId="5C801E14">
            <w:pPr>
              <w:spacing w:line="360" w:lineRule="exact"/>
              <w:jc w:val="center"/>
              <w:rPr>
                <w:rFonts w:ascii="仿宋_GB2312" w:eastAsia="仿宋_GB2312"/>
                <w:sz w:val="24"/>
                <w:szCs w:val="24"/>
              </w:rPr>
            </w:pPr>
            <w:r>
              <w:rPr>
                <w:rFonts w:hint="eastAsia" w:ascii="仿宋_GB2312" w:eastAsia="仿宋_GB2312"/>
                <w:sz w:val="24"/>
                <w:szCs w:val="24"/>
              </w:rPr>
              <w:t>区科技局</w:t>
            </w:r>
          </w:p>
        </w:tc>
      </w:tr>
      <w:tr w14:paraId="0DDF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9" w:hRule="exact"/>
          <w:tblHeader/>
          <w:jc w:val="center"/>
        </w:trPr>
        <w:tc>
          <w:tcPr>
            <w:tcW w:w="645" w:type="dxa"/>
            <w:vMerge w:val="continue"/>
            <w:shd w:val="clear" w:color="auto" w:fill="FFFFFF"/>
            <w:vAlign w:val="center"/>
          </w:tcPr>
          <w:p w14:paraId="674F8C3B">
            <w:pPr>
              <w:spacing w:line="360" w:lineRule="exact"/>
              <w:jc w:val="center"/>
              <w:rPr>
                <w:rFonts w:ascii="仿宋_GB2312" w:eastAsia="仿宋_GB2312"/>
                <w:bCs/>
                <w:kern w:val="0"/>
                <w:sz w:val="24"/>
                <w:szCs w:val="24"/>
              </w:rPr>
            </w:pPr>
          </w:p>
        </w:tc>
        <w:tc>
          <w:tcPr>
            <w:tcW w:w="430" w:type="dxa"/>
            <w:shd w:val="clear" w:color="auto" w:fill="FFFFFF"/>
            <w:vAlign w:val="center"/>
          </w:tcPr>
          <w:p w14:paraId="71C3A3E6">
            <w:pPr>
              <w:spacing w:line="360" w:lineRule="exact"/>
              <w:jc w:val="center"/>
              <w:rPr>
                <w:rFonts w:ascii="仿宋_GB2312" w:eastAsia="仿宋_GB2312"/>
                <w:b/>
                <w:bCs/>
                <w:sz w:val="24"/>
                <w:szCs w:val="24"/>
              </w:rPr>
            </w:pPr>
            <w:r>
              <w:rPr>
                <w:rFonts w:hint="eastAsia" w:ascii="仿宋_GB2312" w:eastAsia="仿宋_GB2312"/>
                <w:b/>
                <w:bCs/>
                <w:sz w:val="24"/>
                <w:szCs w:val="24"/>
              </w:rPr>
              <w:t>7</w:t>
            </w:r>
          </w:p>
        </w:tc>
        <w:tc>
          <w:tcPr>
            <w:tcW w:w="3920" w:type="dxa"/>
            <w:shd w:val="clear" w:color="auto" w:fill="FFFFFF"/>
            <w:vAlign w:val="center"/>
          </w:tcPr>
          <w:p w14:paraId="7973A10B">
            <w:pPr>
              <w:spacing w:line="360" w:lineRule="exact"/>
              <w:jc w:val="left"/>
              <w:rPr>
                <w:rFonts w:ascii="仿宋_GB2312" w:eastAsia="仿宋_GB2312"/>
                <w:sz w:val="24"/>
                <w:szCs w:val="24"/>
              </w:rPr>
            </w:pPr>
            <w:r>
              <w:rPr>
                <w:rFonts w:hint="eastAsia" w:ascii="仿宋_GB2312" w:eastAsia="仿宋_GB2312"/>
                <w:sz w:val="24"/>
                <w:szCs w:val="24"/>
              </w:rPr>
              <w:t>R&amp;D活动企业占比(%）</w:t>
            </w:r>
          </w:p>
        </w:tc>
        <w:tc>
          <w:tcPr>
            <w:tcW w:w="950" w:type="dxa"/>
            <w:shd w:val="clear" w:color="auto" w:fill="FFFFFF"/>
            <w:vAlign w:val="center"/>
          </w:tcPr>
          <w:p w14:paraId="63F611D0">
            <w:pPr>
              <w:spacing w:line="360" w:lineRule="exact"/>
              <w:jc w:val="center"/>
              <w:rPr>
                <w:rFonts w:ascii="仿宋_GB2312" w:eastAsia="仿宋_GB2312"/>
                <w:sz w:val="24"/>
                <w:szCs w:val="24"/>
              </w:rPr>
            </w:pPr>
            <w:r>
              <w:rPr>
                <w:rFonts w:hint="eastAsia" w:ascii="仿宋_GB2312" w:eastAsia="仿宋_GB2312"/>
                <w:sz w:val="24"/>
                <w:szCs w:val="24"/>
              </w:rPr>
              <w:t>——</w:t>
            </w:r>
          </w:p>
        </w:tc>
        <w:tc>
          <w:tcPr>
            <w:tcW w:w="1040" w:type="dxa"/>
            <w:shd w:val="clear" w:color="auto" w:fill="FFFFFF"/>
            <w:vAlign w:val="center"/>
          </w:tcPr>
          <w:p w14:paraId="72164B46">
            <w:pPr>
              <w:spacing w:line="360" w:lineRule="exact"/>
              <w:jc w:val="center"/>
              <w:rPr>
                <w:rFonts w:ascii="仿宋_GB2312" w:eastAsia="仿宋_GB2312"/>
                <w:sz w:val="24"/>
                <w:szCs w:val="24"/>
              </w:rPr>
            </w:pPr>
            <w:r>
              <w:rPr>
                <w:rFonts w:hint="eastAsia" w:ascii="仿宋_GB2312" w:eastAsia="仿宋_GB2312"/>
                <w:sz w:val="24"/>
                <w:szCs w:val="24"/>
              </w:rPr>
              <w:t>60</w:t>
            </w:r>
          </w:p>
        </w:tc>
        <w:tc>
          <w:tcPr>
            <w:tcW w:w="1060" w:type="dxa"/>
            <w:shd w:val="clear" w:color="auto" w:fill="FFFFFF"/>
            <w:vAlign w:val="center"/>
          </w:tcPr>
          <w:p w14:paraId="5C52C027">
            <w:pPr>
              <w:spacing w:line="360" w:lineRule="exact"/>
              <w:jc w:val="center"/>
              <w:rPr>
                <w:rFonts w:ascii="仿宋_GB2312" w:eastAsia="仿宋_GB2312"/>
                <w:sz w:val="24"/>
                <w:szCs w:val="24"/>
              </w:rPr>
            </w:pPr>
            <w:r>
              <w:rPr>
                <w:rFonts w:hint="eastAsia" w:ascii="仿宋_GB2312" w:eastAsia="仿宋_GB2312"/>
                <w:sz w:val="24"/>
                <w:szCs w:val="24"/>
              </w:rPr>
              <w:t>——</w:t>
            </w:r>
          </w:p>
        </w:tc>
        <w:tc>
          <w:tcPr>
            <w:tcW w:w="2039" w:type="dxa"/>
            <w:shd w:val="clear" w:color="auto" w:fill="FFFFFF"/>
            <w:vAlign w:val="center"/>
          </w:tcPr>
          <w:p w14:paraId="6DA27E98">
            <w:pPr>
              <w:spacing w:line="360" w:lineRule="exact"/>
              <w:jc w:val="center"/>
              <w:rPr>
                <w:rFonts w:ascii="仿宋_GB2312" w:eastAsia="仿宋_GB2312"/>
                <w:sz w:val="24"/>
                <w:szCs w:val="24"/>
              </w:rPr>
            </w:pPr>
            <w:r>
              <w:rPr>
                <w:rFonts w:hint="eastAsia" w:ascii="仿宋_GB2312" w:eastAsia="仿宋_GB2312"/>
                <w:sz w:val="24"/>
                <w:szCs w:val="24"/>
              </w:rPr>
              <w:t>区科技局</w:t>
            </w:r>
          </w:p>
        </w:tc>
      </w:tr>
      <w:tr w14:paraId="2214D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9" w:hRule="exact"/>
          <w:tblHeader/>
          <w:jc w:val="center"/>
        </w:trPr>
        <w:tc>
          <w:tcPr>
            <w:tcW w:w="645" w:type="dxa"/>
            <w:vMerge w:val="continue"/>
            <w:shd w:val="clear" w:color="auto" w:fill="FFFFFF"/>
            <w:vAlign w:val="center"/>
          </w:tcPr>
          <w:p w14:paraId="503F083A">
            <w:pPr>
              <w:spacing w:line="360" w:lineRule="exact"/>
              <w:jc w:val="center"/>
              <w:rPr>
                <w:rFonts w:ascii="仿宋_GB2312" w:eastAsia="仿宋_GB2312"/>
                <w:bCs/>
                <w:kern w:val="0"/>
                <w:sz w:val="24"/>
                <w:szCs w:val="24"/>
              </w:rPr>
            </w:pPr>
          </w:p>
        </w:tc>
        <w:tc>
          <w:tcPr>
            <w:tcW w:w="430" w:type="dxa"/>
            <w:shd w:val="clear" w:color="auto" w:fill="FFFFFF"/>
            <w:vAlign w:val="center"/>
          </w:tcPr>
          <w:p w14:paraId="1D2B6773">
            <w:pPr>
              <w:spacing w:line="360" w:lineRule="exact"/>
              <w:jc w:val="center"/>
              <w:rPr>
                <w:rFonts w:ascii="仿宋_GB2312" w:eastAsia="仿宋_GB2312"/>
                <w:b/>
                <w:bCs/>
                <w:sz w:val="24"/>
                <w:szCs w:val="24"/>
              </w:rPr>
            </w:pPr>
            <w:r>
              <w:rPr>
                <w:rFonts w:hint="eastAsia" w:ascii="仿宋_GB2312" w:eastAsia="仿宋_GB2312"/>
                <w:b/>
                <w:bCs/>
                <w:sz w:val="24"/>
                <w:szCs w:val="24"/>
              </w:rPr>
              <w:t>8</w:t>
            </w:r>
          </w:p>
        </w:tc>
        <w:tc>
          <w:tcPr>
            <w:tcW w:w="3920" w:type="dxa"/>
            <w:shd w:val="clear" w:color="auto" w:fill="FFFFFF"/>
            <w:vAlign w:val="center"/>
          </w:tcPr>
          <w:p w14:paraId="252C5A1B">
            <w:pPr>
              <w:spacing w:line="360" w:lineRule="exact"/>
              <w:jc w:val="left"/>
              <w:rPr>
                <w:rFonts w:ascii="仿宋_GB2312" w:eastAsia="仿宋_GB2312"/>
                <w:sz w:val="24"/>
                <w:szCs w:val="24"/>
              </w:rPr>
            </w:pPr>
            <w:r>
              <w:rPr>
                <w:rFonts w:hint="eastAsia" w:ascii="仿宋_GB2312" w:eastAsia="仿宋_GB2312"/>
                <w:sz w:val="24"/>
                <w:szCs w:val="24"/>
              </w:rPr>
              <w:t>实施重点研发项目(个）</w:t>
            </w:r>
          </w:p>
        </w:tc>
        <w:tc>
          <w:tcPr>
            <w:tcW w:w="950" w:type="dxa"/>
            <w:shd w:val="clear" w:color="auto" w:fill="FFFFFF"/>
            <w:vAlign w:val="center"/>
          </w:tcPr>
          <w:p w14:paraId="3189818C">
            <w:pPr>
              <w:spacing w:line="360" w:lineRule="exact"/>
              <w:jc w:val="center"/>
              <w:rPr>
                <w:rFonts w:ascii="仿宋_GB2312" w:eastAsia="仿宋_GB2312"/>
                <w:sz w:val="24"/>
                <w:szCs w:val="24"/>
              </w:rPr>
            </w:pPr>
            <w:r>
              <w:rPr>
                <w:rFonts w:hint="eastAsia" w:ascii="仿宋_GB2312" w:eastAsia="仿宋_GB2312"/>
                <w:sz w:val="24"/>
                <w:szCs w:val="24"/>
              </w:rPr>
              <w:t>——</w:t>
            </w:r>
          </w:p>
        </w:tc>
        <w:tc>
          <w:tcPr>
            <w:tcW w:w="1040" w:type="dxa"/>
            <w:shd w:val="clear" w:color="auto" w:fill="FFFFFF"/>
            <w:vAlign w:val="center"/>
          </w:tcPr>
          <w:p w14:paraId="033B9322">
            <w:pPr>
              <w:spacing w:line="360" w:lineRule="exact"/>
              <w:jc w:val="center"/>
              <w:rPr>
                <w:rFonts w:ascii="仿宋_GB2312" w:eastAsia="仿宋_GB2312"/>
                <w:sz w:val="24"/>
                <w:szCs w:val="24"/>
              </w:rPr>
            </w:pPr>
            <w:r>
              <w:rPr>
                <w:rFonts w:hint="eastAsia" w:ascii="仿宋_GB2312" w:eastAsia="仿宋_GB2312"/>
                <w:sz w:val="24"/>
                <w:szCs w:val="24"/>
              </w:rPr>
              <w:t>[240]</w:t>
            </w:r>
          </w:p>
        </w:tc>
        <w:tc>
          <w:tcPr>
            <w:tcW w:w="1060" w:type="dxa"/>
            <w:shd w:val="clear" w:color="auto" w:fill="FFFFFF"/>
            <w:vAlign w:val="center"/>
          </w:tcPr>
          <w:p w14:paraId="1F882677">
            <w:pPr>
              <w:spacing w:line="360" w:lineRule="exact"/>
              <w:jc w:val="center"/>
              <w:rPr>
                <w:rFonts w:ascii="仿宋_GB2312" w:eastAsia="仿宋_GB2312"/>
                <w:sz w:val="24"/>
                <w:szCs w:val="24"/>
              </w:rPr>
            </w:pPr>
            <w:r>
              <w:rPr>
                <w:rFonts w:hint="eastAsia" w:ascii="仿宋_GB2312" w:eastAsia="仿宋_GB2312"/>
                <w:sz w:val="24"/>
                <w:szCs w:val="24"/>
              </w:rPr>
              <w:t>[70]</w:t>
            </w:r>
          </w:p>
        </w:tc>
        <w:tc>
          <w:tcPr>
            <w:tcW w:w="2039" w:type="dxa"/>
            <w:shd w:val="clear" w:color="auto" w:fill="FFFFFF"/>
            <w:vAlign w:val="center"/>
          </w:tcPr>
          <w:p w14:paraId="45387607">
            <w:pPr>
              <w:spacing w:line="360" w:lineRule="exact"/>
              <w:jc w:val="center"/>
              <w:rPr>
                <w:rFonts w:ascii="仿宋_GB2312" w:eastAsia="仿宋_GB2312"/>
                <w:sz w:val="24"/>
                <w:szCs w:val="24"/>
              </w:rPr>
            </w:pPr>
            <w:r>
              <w:rPr>
                <w:rFonts w:hint="eastAsia" w:ascii="仿宋_GB2312" w:eastAsia="仿宋_GB2312"/>
                <w:sz w:val="24"/>
                <w:szCs w:val="24"/>
              </w:rPr>
              <w:t>区科技局</w:t>
            </w:r>
          </w:p>
        </w:tc>
      </w:tr>
      <w:tr w14:paraId="40EE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4" w:hRule="exact"/>
          <w:tblHeader/>
          <w:jc w:val="center"/>
        </w:trPr>
        <w:tc>
          <w:tcPr>
            <w:tcW w:w="645" w:type="dxa"/>
            <w:vMerge w:val="continue"/>
            <w:shd w:val="clear" w:color="auto" w:fill="FFFFFF"/>
            <w:vAlign w:val="center"/>
          </w:tcPr>
          <w:p w14:paraId="138AA096">
            <w:pPr>
              <w:spacing w:line="360" w:lineRule="exact"/>
              <w:jc w:val="center"/>
              <w:rPr>
                <w:rFonts w:ascii="仿宋_GB2312" w:eastAsia="仿宋_GB2312"/>
                <w:bCs/>
                <w:kern w:val="0"/>
                <w:sz w:val="24"/>
                <w:szCs w:val="24"/>
              </w:rPr>
            </w:pPr>
          </w:p>
        </w:tc>
        <w:tc>
          <w:tcPr>
            <w:tcW w:w="430" w:type="dxa"/>
            <w:shd w:val="clear" w:color="auto" w:fill="FFFFFF"/>
            <w:vAlign w:val="center"/>
          </w:tcPr>
          <w:p w14:paraId="483F4653">
            <w:pPr>
              <w:spacing w:line="360" w:lineRule="exact"/>
              <w:jc w:val="center"/>
              <w:rPr>
                <w:rFonts w:ascii="仿宋_GB2312" w:eastAsia="仿宋_GB2312"/>
                <w:b/>
                <w:bCs/>
                <w:sz w:val="24"/>
                <w:szCs w:val="24"/>
              </w:rPr>
            </w:pPr>
            <w:r>
              <w:rPr>
                <w:rFonts w:hint="eastAsia" w:ascii="仿宋_GB2312" w:eastAsia="仿宋_GB2312"/>
                <w:b/>
                <w:bCs/>
                <w:sz w:val="24"/>
                <w:szCs w:val="24"/>
              </w:rPr>
              <w:t>9</w:t>
            </w:r>
          </w:p>
        </w:tc>
        <w:tc>
          <w:tcPr>
            <w:tcW w:w="3920" w:type="dxa"/>
            <w:shd w:val="clear" w:color="auto" w:fill="FFFFFF"/>
            <w:vAlign w:val="center"/>
          </w:tcPr>
          <w:p w14:paraId="3E79C1F5">
            <w:pPr>
              <w:spacing w:line="360" w:lineRule="exact"/>
              <w:jc w:val="left"/>
              <w:rPr>
                <w:rFonts w:ascii="仿宋_GB2312" w:eastAsia="仿宋_GB2312"/>
                <w:sz w:val="24"/>
                <w:szCs w:val="24"/>
              </w:rPr>
            </w:pPr>
            <w:r>
              <w:rPr>
                <w:rFonts w:hint="eastAsia" w:ascii="仿宋_GB2312" w:eastAsia="仿宋_GB2312"/>
                <w:sz w:val="24"/>
                <w:szCs w:val="24"/>
              </w:rPr>
              <w:t>实施科技成果产业化项目(个）</w:t>
            </w:r>
          </w:p>
        </w:tc>
        <w:tc>
          <w:tcPr>
            <w:tcW w:w="950" w:type="dxa"/>
            <w:shd w:val="clear" w:color="auto" w:fill="FFFFFF"/>
            <w:vAlign w:val="center"/>
          </w:tcPr>
          <w:p w14:paraId="6012ABBE">
            <w:pPr>
              <w:spacing w:line="360" w:lineRule="exact"/>
              <w:jc w:val="center"/>
              <w:rPr>
                <w:rFonts w:ascii="仿宋_GB2312" w:eastAsia="仿宋_GB2312"/>
                <w:sz w:val="24"/>
                <w:szCs w:val="24"/>
              </w:rPr>
            </w:pPr>
            <w:r>
              <w:rPr>
                <w:rFonts w:hint="eastAsia" w:ascii="仿宋_GB2312" w:eastAsia="仿宋_GB2312"/>
                <w:sz w:val="24"/>
                <w:szCs w:val="24"/>
              </w:rPr>
              <w:t>——</w:t>
            </w:r>
          </w:p>
        </w:tc>
        <w:tc>
          <w:tcPr>
            <w:tcW w:w="1040" w:type="dxa"/>
            <w:shd w:val="clear" w:color="auto" w:fill="FFFFFF"/>
            <w:vAlign w:val="center"/>
          </w:tcPr>
          <w:p w14:paraId="47538CC3">
            <w:pPr>
              <w:spacing w:line="360" w:lineRule="exact"/>
              <w:jc w:val="center"/>
              <w:rPr>
                <w:rFonts w:ascii="仿宋_GB2312" w:eastAsia="仿宋_GB2312"/>
                <w:sz w:val="24"/>
                <w:szCs w:val="24"/>
              </w:rPr>
            </w:pPr>
            <w:r>
              <w:rPr>
                <w:rFonts w:hint="eastAsia" w:ascii="仿宋_GB2312" w:eastAsia="仿宋_GB2312"/>
                <w:sz w:val="24"/>
                <w:szCs w:val="24"/>
              </w:rPr>
              <w:t>[300]</w:t>
            </w:r>
          </w:p>
        </w:tc>
        <w:tc>
          <w:tcPr>
            <w:tcW w:w="1060" w:type="dxa"/>
            <w:shd w:val="clear" w:color="auto" w:fill="FFFFFF"/>
            <w:vAlign w:val="center"/>
          </w:tcPr>
          <w:p w14:paraId="6B4BEE87">
            <w:pPr>
              <w:spacing w:line="360" w:lineRule="exact"/>
              <w:jc w:val="center"/>
              <w:rPr>
                <w:rFonts w:ascii="仿宋_GB2312" w:eastAsia="仿宋_GB2312"/>
                <w:sz w:val="24"/>
                <w:szCs w:val="24"/>
              </w:rPr>
            </w:pPr>
            <w:r>
              <w:rPr>
                <w:rFonts w:hint="eastAsia" w:ascii="仿宋_GB2312" w:eastAsia="仿宋_GB2312"/>
                <w:sz w:val="24"/>
                <w:szCs w:val="24"/>
              </w:rPr>
              <w:t>——</w:t>
            </w:r>
          </w:p>
        </w:tc>
        <w:tc>
          <w:tcPr>
            <w:tcW w:w="2039" w:type="dxa"/>
            <w:shd w:val="clear" w:color="auto" w:fill="FFFFFF"/>
            <w:vAlign w:val="center"/>
          </w:tcPr>
          <w:p w14:paraId="5B0A9B24">
            <w:pPr>
              <w:spacing w:line="360" w:lineRule="exact"/>
              <w:jc w:val="center"/>
              <w:rPr>
                <w:rFonts w:ascii="仿宋_GB2312" w:eastAsia="仿宋_GB2312"/>
                <w:sz w:val="24"/>
                <w:szCs w:val="24"/>
              </w:rPr>
            </w:pPr>
            <w:r>
              <w:rPr>
                <w:rFonts w:hint="eastAsia" w:ascii="仿宋_GB2312" w:eastAsia="仿宋_GB2312"/>
                <w:sz w:val="24"/>
                <w:szCs w:val="24"/>
              </w:rPr>
              <w:t>区科技局</w:t>
            </w:r>
          </w:p>
        </w:tc>
      </w:tr>
      <w:tr w14:paraId="7481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9" w:hRule="exact"/>
          <w:tblHeader/>
          <w:jc w:val="center"/>
        </w:trPr>
        <w:tc>
          <w:tcPr>
            <w:tcW w:w="645" w:type="dxa"/>
            <w:vMerge w:val="restart"/>
            <w:shd w:val="clear" w:color="auto" w:fill="FFFFFF"/>
            <w:vAlign w:val="center"/>
          </w:tcPr>
          <w:p w14:paraId="1BF23498">
            <w:pPr>
              <w:spacing w:line="360" w:lineRule="exact"/>
              <w:jc w:val="center"/>
              <w:rPr>
                <w:rFonts w:ascii="仿宋_GB2312" w:eastAsia="仿宋_GB2312"/>
                <w:bCs/>
                <w:kern w:val="0"/>
                <w:sz w:val="24"/>
                <w:szCs w:val="24"/>
              </w:rPr>
            </w:pPr>
            <w:r>
              <w:rPr>
                <w:rFonts w:hint="eastAsia" w:ascii="仿宋_GB2312" w:eastAsia="仿宋_GB2312"/>
                <w:bCs/>
                <w:kern w:val="0"/>
                <w:sz w:val="24"/>
                <w:szCs w:val="24"/>
              </w:rPr>
              <w:t>招大引强</w:t>
            </w:r>
          </w:p>
        </w:tc>
        <w:tc>
          <w:tcPr>
            <w:tcW w:w="430" w:type="dxa"/>
            <w:shd w:val="clear" w:color="auto" w:fill="FFFFFF"/>
            <w:vAlign w:val="center"/>
          </w:tcPr>
          <w:p w14:paraId="35D87E04">
            <w:pPr>
              <w:spacing w:line="360" w:lineRule="exact"/>
              <w:jc w:val="center"/>
              <w:rPr>
                <w:rFonts w:ascii="仿宋_GB2312" w:eastAsia="仿宋_GB2312"/>
                <w:b/>
                <w:bCs/>
                <w:sz w:val="24"/>
                <w:szCs w:val="24"/>
              </w:rPr>
            </w:pPr>
            <w:r>
              <w:rPr>
                <w:rFonts w:hint="eastAsia" w:ascii="仿宋_GB2312" w:eastAsia="仿宋_GB2312"/>
                <w:b/>
                <w:bCs/>
                <w:sz w:val="24"/>
                <w:szCs w:val="24"/>
              </w:rPr>
              <w:t>10</w:t>
            </w:r>
          </w:p>
        </w:tc>
        <w:tc>
          <w:tcPr>
            <w:tcW w:w="3920" w:type="dxa"/>
            <w:shd w:val="clear" w:color="auto" w:fill="FFFFFF"/>
            <w:vAlign w:val="center"/>
          </w:tcPr>
          <w:p w14:paraId="4D672E47">
            <w:pPr>
              <w:spacing w:line="360" w:lineRule="exact"/>
              <w:jc w:val="left"/>
              <w:rPr>
                <w:rFonts w:ascii="仿宋_GB2312" w:eastAsia="仿宋_GB2312"/>
                <w:sz w:val="24"/>
                <w:szCs w:val="24"/>
              </w:rPr>
            </w:pPr>
            <w:r>
              <w:rPr>
                <w:rFonts w:hint="eastAsia" w:ascii="仿宋_GB2312" w:eastAsia="仿宋_GB2312"/>
                <w:sz w:val="24"/>
                <w:szCs w:val="24"/>
              </w:rPr>
              <w:t>力争招引落地固定资产投资</w:t>
            </w:r>
          </w:p>
          <w:p w14:paraId="0A6736EF">
            <w:pPr>
              <w:spacing w:line="360" w:lineRule="exact"/>
              <w:jc w:val="left"/>
              <w:rPr>
                <w:rFonts w:ascii="仿宋_GB2312" w:eastAsia="仿宋_GB2312"/>
                <w:sz w:val="24"/>
                <w:szCs w:val="24"/>
                <w:highlight w:val="yellow"/>
              </w:rPr>
            </w:pPr>
            <w:r>
              <w:rPr>
                <w:rFonts w:hint="eastAsia" w:ascii="仿宋_GB2312" w:eastAsia="仿宋_GB2312"/>
                <w:sz w:val="24"/>
                <w:szCs w:val="24"/>
              </w:rPr>
              <w:t>100亿元以上制造业项目(个）</w:t>
            </w:r>
          </w:p>
        </w:tc>
        <w:tc>
          <w:tcPr>
            <w:tcW w:w="950" w:type="dxa"/>
            <w:shd w:val="clear" w:color="auto" w:fill="FFFFFF"/>
            <w:vAlign w:val="center"/>
          </w:tcPr>
          <w:p w14:paraId="34B319D6">
            <w:pPr>
              <w:spacing w:line="360" w:lineRule="exact"/>
              <w:jc w:val="center"/>
              <w:rPr>
                <w:rFonts w:ascii="仿宋_GB2312" w:eastAsia="仿宋_GB2312"/>
                <w:sz w:val="24"/>
                <w:szCs w:val="24"/>
              </w:rPr>
            </w:pPr>
            <w:r>
              <w:rPr>
                <w:rFonts w:hint="eastAsia" w:ascii="仿宋_GB2312" w:eastAsia="仿宋_GB2312"/>
                <w:sz w:val="24"/>
                <w:szCs w:val="24"/>
              </w:rPr>
              <w:t>——</w:t>
            </w:r>
          </w:p>
        </w:tc>
        <w:tc>
          <w:tcPr>
            <w:tcW w:w="1040" w:type="dxa"/>
            <w:shd w:val="clear" w:color="auto" w:fill="FFFFFF"/>
            <w:vAlign w:val="center"/>
          </w:tcPr>
          <w:p w14:paraId="55F2E442">
            <w:pPr>
              <w:spacing w:line="360" w:lineRule="exact"/>
              <w:jc w:val="center"/>
              <w:rPr>
                <w:rFonts w:ascii="仿宋_GB2312" w:eastAsia="仿宋_GB2312"/>
                <w:sz w:val="24"/>
                <w:szCs w:val="24"/>
              </w:rPr>
            </w:pPr>
            <w:r>
              <w:rPr>
                <w:rFonts w:hint="eastAsia" w:ascii="仿宋_GB2312" w:eastAsia="仿宋_GB2312"/>
                <w:sz w:val="24"/>
                <w:szCs w:val="24"/>
              </w:rPr>
              <w:t>——</w:t>
            </w:r>
          </w:p>
        </w:tc>
        <w:tc>
          <w:tcPr>
            <w:tcW w:w="1060" w:type="dxa"/>
            <w:shd w:val="clear" w:color="auto" w:fill="FFFFFF"/>
            <w:vAlign w:val="center"/>
          </w:tcPr>
          <w:p w14:paraId="622B96AF">
            <w:pPr>
              <w:spacing w:line="360" w:lineRule="exact"/>
              <w:jc w:val="center"/>
              <w:rPr>
                <w:rFonts w:ascii="仿宋_GB2312" w:eastAsia="仿宋_GB2312"/>
                <w:sz w:val="24"/>
                <w:szCs w:val="24"/>
              </w:rPr>
            </w:pPr>
            <w:r>
              <w:rPr>
                <w:rFonts w:hint="eastAsia" w:ascii="仿宋_GB2312" w:eastAsia="仿宋_GB2312"/>
                <w:sz w:val="24"/>
                <w:szCs w:val="24"/>
              </w:rPr>
              <w:t>[3]</w:t>
            </w:r>
          </w:p>
        </w:tc>
        <w:tc>
          <w:tcPr>
            <w:tcW w:w="2039" w:type="dxa"/>
            <w:shd w:val="clear" w:color="auto" w:fill="FFFFFF"/>
            <w:vAlign w:val="center"/>
          </w:tcPr>
          <w:p w14:paraId="3D40A831">
            <w:pPr>
              <w:spacing w:line="360" w:lineRule="exact"/>
              <w:jc w:val="center"/>
              <w:rPr>
                <w:rFonts w:ascii="仿宋_GB2312" w:eastAsia="仿宋_GB2312"/>
                <w:sz w:val="24"/>
                <w:szCs w:val="24"/>
              </w:rPr>
            </w:pPr>
            <w:r>
              <w:rPr>
                <w:rFonts w:hint="eastAsia" w:ascii="仿宋_GB2312" w:eastAsia="仿宋_GB2312"/>
                <w:sz w:val="24"/>
                <w:szCs w:val="24"/>
              </w:rPr>
              <w:t>区商务局</w:t>
            </w:r>
          </w:p>
        </w:tc>
      </w:tr>
      <w:tr w14:paraId="6621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9" w:hRule="exact"/>
          <w:tblHeader/>
          <w:jc w:val="center"/>
        </w:trPr>
        <w:tc>
          <w:tcPr>
            <w:tcW w:w="645" w:type="dxa"/>
            <w:vMerge w:val="continue"/>
            <w:shd w:val="clear" w:color="auto" w:fill="FFFFFF"/>
            <w:vAlign w:val="center"/>
          </w:tcPr>
          <w:p w14:paraId="1C95B9DD">
            <w:pPr>
              <w:spacing w:line="360" w:lineRule="exact"/>
              <w:jc w:val="center"/>
              <w:rPr>
                <w:rFonts w:ascii="仿宋_GB2312" w:eastAsia="仿宋_GB2312"/>
                <w:bCs/>
                <w:kern w:val="0"/>
                <w:sz w:val="24"/>
                <w:szCs w:val="24"/>
              </w:rPr>
            </w:pPr>
          </w:p>
        </w:tc>
        <w:tc>
          <w:tcPr>
            <w:tcW w:w="430" w:type="dxa"/>
            <w:shd w:val="clear" w:color="auto" w:fill="FFFFFF"/>
            <w:vAlign w:val="center"/>
          </w:tcPr>
          <w:p w14:paraId="37082063">
            <w:pPr>
              <w:spacing w:line="360" w:lineRule="exact"/>
              <w:jc w:val="center"/>
              <w:rPr>
                <w:rFonts w:ascii="仿宋_GB2312" w:eastAsia="仿宋_GB2312"/>
                <w:b/>
                <w:bCs/>
                <w:sz w:val="24"/>
                <w:szCs w:val="24"/>
              </w:rPr>
            </w:pPr>
            <w:r>
              <w:rPr>
                <w:rFonts w:hint="eastAsia" w:ascii="仿宋_GB2312" w:eastAsia="仿宋_GB2312"/>
                <w:b/>
                <w:bCs/>
                <w:sz w:val="24"/>
                <w:szCs w:val="24"/>
              </w:rPr>
              <w:t>11</w:t>
            </w:r>
          </w:p>
        </w:tc>
        <w:tc>
          <w:tcPr>
            <w:tcW w:w="3920" w:type="dxa"/>
            <w:shd w:val="clear" w:color="auto" w:fill="FFFFFF"/>
            <w:vAlign w:val="center"/>
          </w:tcPr>
          <w:p w14:paraId="4DCF4C48">
            <w:pPr>
              <w:spacing w:line="360" w:lineRule="exact"/>
              <w:jc w:val="left"/>
              <w:rPr>
                <w:rFonts w:ascii="仿宋_GB2312" w:eastAsia="仿宋_GB2312"/>
                <w:sz w:val="24"/>
                <w:szCs w:val="24"/>
              </w:rPr>
            </w:pPr>
            <w:r>
              <w:rPr>
                <w:rFonts w:hint="eastAsia" w:ascii="仿宋_GB2312" w:eastAsia="仿宋_GB2312"/>
                <w:sz w:val="24"/>
                <w:szCs w:val="24"/>
              </w:rPr>
              <w:t>力争引进亿元以上项目</w:t>
            </w:r>
          </w:p>
        </w:tc>
        <w:tc>
          <w:tcPr>
            <w:tcW w:w="950" w:type="dxa"/>
            <w:shd w:val="clear" w:color="auto" w:fill="FFFFFF"/>
            <w:vAlign w:val="center"/>
          </w:tcPr>
          <w:p w14:paraId="24AE4997">
            <w:pPr>
              <w:spacing w:line="360" w:lineRule="exact"/>
              <w:jc w:val="center"/>
              <w:rPr>
                <w:rFonts w:ascii="仿宋_GB2312" w:eastAsia="仿宋_GB2312"/>
                <w:sz w:val="24"/>
                <w:szCs w:val="24"/>
              </w:rPr>
            </w:pPr>
            <w:r>
              <w:rPr>
                <w:rFonts w:hint="eastAsia" w:ascii="仿宋_GB2312" w:eastAsia="仿宋_GB2312"/>
                <w:sz w:val="24"/>
                <w:szCs w:val="24"/>
              </w:rPr>
              <w:t>——</w:t>
            </w:r>
          </w:p>
        </w:tc>
        <w:tc>
          <w:tcPr>
            <w:tcW w:w="1040" w:type="dxa"/>
            <w:shd w:val="clear" w:color="auto" w:fill="FFFFFF"/>
            <w:vAlign w:val="center"/>
          </w:tcPr>
          <w:p w14:paraId="4D49DAC1">
            <w:pPr>
              <w:spacing w:line="360" w:lineRule="exact"/>
              <w:jc w:val="center"/>
              <w:rPr>
                <w:rFonts w:ascii="仿宋_GB2312" w:eastAsia="仿宋_GB2312"/>
                <w:sz w:val="24"/>
                <w:szCs w:val="24"/>
              </w:rPr>
            </w:pPr>
            <w:r>
              <w:rPr>
                <w:rFonts w:hint="eastAsia" w:ascii="仿宋_GB2312" w:eastAsia="仿宋_GB2312"/>
                <w:sz w:val="24"/>
                <w:szCs w:val="24"/>
              </w:rPr>
              <w:t>——</w:t>
            </w:r>
          </w:p>
        </w:tc>
        <w:tc>
          <w:tcPr>
            <w:tcW w:w="1060" w:type="dxa"/>
            <w:shd w:val="clear" w:color="auto" w:fill="FFFFFF"/>
            <w:vAlign w:val="center"/>
          </w:tcPr>
          <w:p w14:paraId="255A0118">
            <w:pPr>
              <w:spacing w:line="360" w:lineRule="exact"/>
              <w:jc w:val="center"/>
              <w:rPr>
                <w:rFonts w:ascii="仿宋_GB2312" w:eastAsia="仿宋_GB2312"/>
                <w:sz w:val="24"/>
                <w:szCs w:val="24"/>
              </w:rPr>
            </w:pPr>
            <w:r>
              <w:rPr>
                <w:rFonts w:hint="eastAsia" w:ascii="仿宋_GB2312" w:eastAsia="仿宋_GB2312"/>
                <w:sz w:val="24"/>
                <w:szCs w:val="24"/>
              </w:rPr>
              <w:t>[200]</w:t>
            </w:r>
          </w:p>
        </w:tc>
        <w:tc>
          <w:tcPr>
            <w:tcW w:w="2039" w:type="dxa"/>
            <w:shd w:val="clear" w:color="auto" w:fill="FFFFFF"/>
            <w:vAlign w:val="center"/>
          </w:tcPr>
          <w:p w14:paraId="08E8CD8A">
            <w:pPr>
              <w:spacing w:line="360" w:lineRule="exact"/>
              <w:jc w:val="center"/>
              <w:rPr>
                <w:rFonts w:ascii="仿宋_GB2312" w:eastAsia="仿宋_GB2312"/>
                <w:sz w:val="24"/>
                <w:szCs w:val="24"/>
              </w:rPr>
            </w:pPr>
            <w:r>
              <w:rPr>
                <w:rFonts w:hint="eastAsia" w:ascii="仿宋_GB2312" w:eastAsia="仿宋_GB2312"/>
                <w:sz w:val="24"/>
                <w:szCs w:val="24"/>
              </w:rPr>
              <w:t>区商务局</w:t>
            </w:r>
          </w:p>
        </w:tc>
      </w:tr>
      <w:tr w14:paraId="1D0E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6" w:hRule="exact"/>
          <w:tblHeader/>
          <w:jc w:val="center"/>
        </w:trPr>
        <w:tc>
          <w:tcPr>
            <w:tcW w:w="645" w:type="dxa"/>
            <w:vMerge w:val="restart"/>
            <w:shd w:val="clear" w:color="auto" w:fill="FFFFFF"/>
            <w:vAlign w:val="center"/>
          </w:tcPr>
          <w:p w14:paraId="3B1FEC1B">
            <w:pPr>
              <w:spacing w:line="360" w:lineRule="exact"/>
              <w:jc w:val="center"/>
              <w:rPr>
                <w:rFonts w:ascii="仿宋_GB2312" w:eastAsia="仿宋_GB2312"/>
                <w:bCs/>
                <w:kern w:val="0"/>
                <w:sz w:val="24"/>
                <w:szCs w:val="24"/>
              </w:rPr>
            </w:pPr>
            <w:r>
              <w:rPr>
                <w:rFonts w:hint="eastAsia" w:ascii="仿宋_GB2312" w:eastAsia="仿宋_GB2312"/>
                <w:bCs/>
                <w:kern w:val="0"/>
                <w:sz w:val="24"/>
                <w:szCs w:val="24"/>
              </w:rPr>
              <w:t>质量提升</w:t>
            </w:r>
          </w:p>
        </w:tc>
        <w:tc>
          <w:tcPr>
            <w:tcW w:w="430" w:type="dxa"/>
            <w:shd w:val="clear" w:color="auto" w:fill="FFFFFF"/>
            <w:vAlign w:val="center"/>
          </w:tcPr>
          <w:p w14:paraId="52B18BEB">
            <w:pPr>
              <w:spacing w:line="360" w:lineRule="exact"/>
              <w:jc w:val="center"/>
              <w:rPr>
                <w:rFonts w:ascii="仿宋_GB2312" w:eastAsia="仿宋_GB2312"/>
                <w:b/>
                <w:bCs/>
                <w:sz w:val="24"/>
                <w:szCs w:val="24"/>
              </w:rPr>
            </w:pPr>
            <w:r>
              <w:rPr>
                <w:rFonts w:hint="eastAsia" w:ascii="仿宋_GB2312" w:eastAsia="仿宋_GB2312"/>
                <w:b/>
                <w:bCs/>
                <w:sz w:val="24"/>
                <w:szCs w:val="24"/>
              </w:rPr>
              <w:t>12</w:t>
            </w:r>
          </w:p>
        </w:tc>
        <w:tc>
          <w:tcPr>
            <w:tcW w:w="3920" w:type="dxa"/>
            <w:shd w:val="clear" w:color="auto" w:fill="FFFFFF"/>
            <w:vAlign w:val="center"/>
          </w:tcPr>
          <w:p w14:paraId="0051947C">
            <w:pPr>
              <w:spacing w:line="360" w:lineRule="exact"/>
              <w:jc w:val="left"/>
              <w:rPr>
                <w:rFonts w:ascii="仿宋_GB2312" w:eastAsia="仿宋_GB2312"/>
                <w:color w:val="000000"/>
                <w:sz w:val="24"/>
                <w:szCs w:val="24"/>
              </w:rPr>
            </w:pPr>
            <w:r>
              <w:rPr>
                <w:rFonts w:hint="eastAsia" w:ascii="仿宋_GB2312" w:eastAsia="仿宋_GB2312"/>
                <w:color w:val="000000"/>
                <w:sz w:val="24"/>
                <w:szCs w:val="24"/>
              </w:rPr>
              <w:t>新增浙江制造标准(项）</w:t>
            </w:r>
          </w:p>
        </w:tc>
        <w:tc>
          <w:tcPr>
            <w:tcW w:w="950" w:type="dxa"/>
            <w:shd w:val="clear" w:color="auto" w:fill="FFFFFF"/>
            <w:vAlign w:val="center"/>
          </w:tcPr>
          <w:p w14:paraId="54BA11EB">
            <w:pPr>
              <w:spacing w:line="360" w:lineRule="exact"/>
              <w:jc w:val="center"/>
              <w:rPr>
                <w:rFonts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z w:val="24"/>
                <w:szCs w:val="24"/>
                <w:lang w:val="en"/>
              </w:rPr>
              <w:t>1000</w:t>
            </w:r>
            <w:r>
              <w:rPr>
                <w:rFonts w:hint="eastAsia" w:ascii="仿宋_GB2312" w:eastAsia="仿宋_GB2312"/>
                <w:color w:val="000000"/>
                <w:sz w:val="24"/>
                <w:szCs w:val="24"/>
              </w:rPr>
              <w:t>]</w:t>
            </w:r>
          </w:p>
        </w:tc>
        <w:tc>
          <w:tcPr>
            <w:tcW w:w="1040" w:type="dxa"/>
            <w:shd w:val="clear" w:color="auto" w:fill="FFFFFF"/>
            <w:vAlign w:val="center"/>
          </w:tcPr>
          <w:p w14:paraId="014E390C">
            <w:pPr>
              <w:spacing w:line="360" w:lineRule="exact"/>
              <w:jc w:val="center"/>
              <w:rPr>
                <w:rFonts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z w:val="24"/>
                <w:szCs w:val="24"/>
                <w:lang w:val="en"/>
              </w:rPr>
              <w:t>100</w:t>
            </w:r>
            <w:r>
              <w:rPr>
                <w:rFonts w:hint="eastAsia" w:ascii="仿宋_GB2312" w:eastAsia="仿宋_GB2312"/>
                <w:color w:val="000000"/>
                <w:sz w:val="24"/>
                <w:szCs w:val="24"/>
              </w:rPr>
              <w:t>]</w:t>
            </w:r>
          </w:p>
        </w:tc>
        <w:tc>
          <w:tcPr>
            <w:tcW w:w="1060" w:type="dxa"/>
            <w:shd w:val="clear" w:color="auto" w:fill="FFFFFF"/>
            <w:vAlign w:val="center"/>
          </w:tcPr>
          <w:p w14:paraId="30EF269A">
            <w:pPr>
              <w:spacing w:line="360" w:lineRule="exact"/>
              <w:jc w:val="center"/>
              <w:rPr>
                <w:rFonts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z w:val="24"/>
                <w:szCs w:val="24"/>
                <w:lang w:val="en"/>
              </w:rPr>
              <w:t>10</w:t>
            </w:r>
            <w:r>
              <w:rPr>
                <w:rFonts w:hint="eastAsia" w:ascii="仿宋_GB2312" w:eastAsia="仿宋_GB2312"/>
                <w:color w:val="000000"/>
                <w:sz w:val="24"/>
                <w:szCs w:val="24"/>
              </w:rPr>
              <w:t>]</w:t>
            </w:r>
          </w:p>
        </w:tc>
        <w:tc>
          <w:tcPr>
            <w:tcW w:w="2039" w:type="dxa"/>
            <w:shd w:val="clear" w:color="auto" w:fill="FFFFFF"/>
            <w:vAlign w:val="center"/>
          </w:tcPr>
          <w:p w14:paraId="61A89FFC">
            <w:pPr>
              <w:spacing w:line="360" w:lineRule="exact"/>
              <w:jc w:val="center"/>
              <w:rPr>
                <w:rFonts w:ascii="仿宋_GB2312" w:eastAsia="仿宋_GB2312"/>
                <w:color w:val="000000"/>
                <w:sz w:val="24"/>
                <w:szCs w:val="24"/>
              </w:rPr>
            </w:pPr>
            <w:r>
              <w:rPr>
                <w:rFonts w:hint="eastAsia" w:ascii="仿宋_GB2312" w:eastAsia="仿宋_GB2312"/>
                <w:color w:val="000000"/>
                <w:sz w:val="24"/>
                <w:szCs w:val="24"/>
              </w:rPr>
              <w:t>区市场监管局</w:t>
            </w:r>
          </w:p>
        </w:tc>
      </w:tr>
      <w:tr w14:paraId="4016A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4" w:hRule="exact"/>
          <w:tblHeader/>
          <w:jc w:val="center"/>
        </w:trPr>
        <w:tc>
          <w:tcPr>
            <w:tcW w:w="645" w:type="dxa"/>
            <w:vMerge w:val="continue"/>
            <w:shd w:val="clear" w:color="auto" w:fill="FFFFFF"/>
            <w:vAlign w:val="center"/>
          </w:tcPr>
          <w:p w14:paraId="4F982971">
            <w:pPr>
              <w:spacing w:line="360" w:lineRule="exact"/>
              <w:jc w:val="center"/>
              <w:rPr>
                <w:rFonts w:ascii="仿宋_GB2312" w:eastAsia="仿宋_GB2312"/>
                <w:bCs/>
                <w:kern w:val="0"/>
                <w:sz w:val="24"/>
                <w:szCs w:val="24"/>
              </w:rPr>
            </w:pPr>
          </w:p>
        </w:tc>
        <w:tc>
          <w:tcPr>
            <w:tcW w:w="430" w:type="dxa"/>
            <w:shd w:val="clear" w:color="auto" w:fill="FFFFFF"/>
            <w:vAlign w:val="center"/>
          </w:tcPr>
          <w:p w14:paraId="1B7AA174">
            <w:pPr>
              <w:spacing w:line="360" w:lineRule="exact"/>
              <w:jc w:val="center"/>
              <w:rPr>
                <w:rFonts w:ascii="仿宋_GB2312" w:eastAsia="仿宋_GB2312"/>
                <w:b/>
                <w:bCs/>
                <w:sz w:val="24"/>
                <w:szCs w:val="24"/>
              </w:rPr>
            </w:pPr>
            <w:r>
              <w:rPr>
                <w:rFonts w:hint="eastAsia" w:ascii="仿宋_GB2312" w:eastAsia="仿宋_GB2312"/>
                <w:b/>
                <w:bCs/>
                <w:sz w:val="24"/>
                <w:szCs w:val="24"/>
              </w:rPr>
              <w:t>13</w:t>
            </w:r>
          </w:p>
        </w:tc>
        <w:tc>
          <w:tcPr>
            <w:tcW w:w="3920" w:type="dxa"/>
            <w:shd w:val="clear" w:color="auto" w:fill="FFFFFF"/>
            <w:vAlign w:val="center"/>
          </w:tcPr>
          <w:p w14:paraId="4A90AAF8">
            <w:pPr>
              <w:spacing w:line="360" w:lineRule="exact"/>
              <w:jc w:val="left"/>
              <w:rPr>
                <w:rFonts w:ascii="仿宋_GB2312" w:eastAsia="仿宋_GB2312"/>
                <w:color w:val="000000"/>
                <w:sz w:val="24"/>
                <w:szCs w:val="24"/>
              </w:rPr>
            </w:pPr>
            <w:r>
              <w:rPr>
                <w:rFonts w:hint="eastAsia" w:ascii="仿宋_GB2312" w:eastAsia="仿宋_GB2312"/>
                <w:color w:val="000000"/>
                <w:sz w:val="24"/>
                <w:szCs w:val="24"/>
              </w:rPr>
              <w:t>培育“品字标”品牌企业(家）</w:t>
            </w:r>
          </w:p>
        </w:tc>
        <w:tc>
          <w:tcPr>
            <w:tcW w:w="950" w:type="dxa"/>
            <w:shd w:val="clear" w:color="auto" w:fill="FFFFFF"/>
            <w:vAlign w:val="center"/>
          </w:tcPr>
          <w:p w14:paraId="2AFBBF0A">
            <w:pPr>
              <w:spacing w:line="360" w:lineRule="exact"/>
              <w:jc w:val="center"/>
              <w:rPr>
                <w:rFonts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z w:val="24"/>
                <w:szCs w:val="24"/>
                <w:lang w:val="en"/>
              </w:rPr>
              <w:t>1000</w:t>
            </w:r>
            <w:r>
              <w:rPr>
                <w:rFonts w:hint="eastAsia" w:ascii="仿宋_GB2312" w:eastAsia="仿宋_GB2312"/>
                <w:color w:val="000000"/>
                <w:sz w:val="24"/>
                <w:szCs w:val="24"/>
              </w:rPr>
              <w:t>]</w:t>
            </w:r>
          </w:p>
        </w:tc>
        <w:tc>
          <w:tcPr>
            <w:tcW w:w="1040" w:type="dxa"/>
            <w:shd w:val="clear" w:color="auto" w:fill="FFFFFF"/>
            <w:vAlign w:val="center"/>
          </w:tcPr>
          <w:p w14:paraId="16DCBF66">
            <w:pPr>
              <w:spacing w:line="360" w:lineRule="exact"/>
              <w:jc w:val="center"/>
              <w:rPr>
                <w:rFonts w:ascii="仿宋_GB2312" w:eastAsia="仿宋_GB2312"/>
                <w:color w:val="000000"/>
                <w:sz w:val="24"/>
                <w:szCs w:val="24"/>
              </w:rPr>
            </w:pPr>
            <w:r>
              <w:rPr>
                <w:rFonts w:hint="eastAsia" w:ascii="仿宋_GB2312" w:eastAsia="仿宋_GB2312"/>
                <w:color w:val="000000"/>
                <w:sz w:val="24"/>
                <w:szCs w:val="24"/>
              </w:rPr>
              <w:t>[</w:t>
            </w:r>
            <w:r>
              <w:rPr>
                <w:rFonts w:hint="eastAsia" w:ascii="仿宋_GB2312" w:eastAsia="仿宋_GB2312"/>
                <w:color w:val="000000"/>
                <w:sz w:val="24"/>
                <w:szCs w:val="24"/>
                <w:lang w:val="en"/>
              </w:rPr>
              <w:t>100</w:t>
            </w:r>
            <w:r>
              <w:rPr>
                <w:rFonts w:hint="eastAsia" w:ascii="仿宋_GB2312" w:eastAsia="仿宋_GB2312"/>
                <w:color w:val="000000"/>
                <w:sz w:val="24"/>
                <w:szCs w:val="24"/>
              </w:rPr>
              <w:t>]</w:t>
            </w:r>
          </w:p>
        </w:tc>
        <w:tc>
          <w:tcPr>
            <w:tcW w:w="1060" w:type="dxa"/>
            <w:shd w:val="clear" w:color="auto" w:fill="FFFFFF"/>
            <w:vAlign w:val="center"/>
          </w:tcPr>
          <w:p w14:paraId="2DA75A96">
            <w:pPr>
              <w:spacing w:line="360" w:lineRule="exact"/>
              <w:jc w:val="center"/>
              <w:rPr>
                <w:rFonts w:ascii="仿宋_GB2312" w:eastAsia="仿宋_GB2312"/>
                <w:color w:val="000000"/>
                <w:sz w:val="24"/>
                <w:szCs w:val="24"/>
              </w:rPr>
            </w:pPr>
            <w:r>
              <w:rPr>
                <w:rFonts w:hint="eastAsia" w:ascii="仿宋_GB2312" w:eastAsia="仿宋_GB2312"/>
                <w:color w:val="000000"/>
                <w:sz w:val="24"/>
                <w:szCs w:val="24"/>
              </w:rPr>
              <w:t>[30]</w:t>
            </w:r>
          </w:p>
        </w:tc>
        <w:tc>
          <w:tcPr>
            <w:tcW w:w="2039" w:type="dxa"/>
            <w:shd w:val="clear" w:color="auto" w:fill="FFFFFF"/>
            <w:vAlign w:val="center"/>
          </w:tcPr>
          <w:p w14:paraId="084AFE9E">
            <w:pPr>
              <w:spacing w:line="360" w:lineRule="exact"/>
              <w:jc w:val="center"/>
              <w:rPr>
                <w:rFonts w:ascii="仿宋_GB2312" w:eastAsia="仿宋_GB2312"/>
                <w:color w:val="000000"/>
                <w:sz w:val="24"/>
                <w:szCs w:val="24"/>
              </w:rPr>
            </w:pPr>
            <w:r>
              <w:rPr>
                <w:rFonts w:hint="eastAsia" w:ascii="仿宋_GB2312" w:eastAsia="仿宋_GB2312"/>
                <w:color w:val="000000"/>
                <w:sz w:val="24"/>
                <w:szCs w:val="24"/>
              </w:rPr>
              <w:t>区市场监管局</w:t>
            </w:r>
          </w:p>
        </w:tc>
      </w:tr>
      <w:tr w14:paraId="4B7D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5" w:hRule="exact"/>
          <w:tblHeader/>
          <w:jc w:val="center"/>
        </w:trPr>
        <w:tc>
          <w:tcPr>
            <w:tcW w:w="645" w:type="dxa"/>
            <w:vMerge w:val="continue"/>
            <w:shd w:val="clear" w:color="auto" w:fill="FFFFFF"/>
            <w:vAlign w:val="center"/>
          </w:tcPr>
          <w:p w14:paraId="407FABE0">
            <w:pPr>
              <w:spacing w:line="360" w:lineRule="exact"/>
              <w:jc w:val="center"/>
              <w:rPr>
                <w:rFonts w:ascii="仿宋_GB2312" w:eastAsia="仿宋_GB2312"/>
                <w:bCs/>
                <w:kern w:val="0"/>
                <w:sz w:val="24"/>
                <w:szCs w:val="24"/>
              </w:rPr>
            </w:pPr>
          </w:p>
        </w:tc>
        <w:tc>
          <w:tcPr>
            <w:tcW w:w="430" w:type="dxa"/>
            <w:shd w:val="clear" w:color="auto" w:fill="FFFFFF"/>
            <w:vAlign w:val="center"/>
          </w:tcPr>
          <w:p w14:paraId="7CF17E5F">
            <w:pPr>
              <w:spacing w:line="360" w:lineRule="exact"/>
              <w:jc w:val="center"/>
              <w:rPr>
                <w:rFonts w:ascii="仿宋_GB2312" w:eastAsia="仿宋_GB2312"/>
                <w:b/>
                <w:bCs/>
                <w:sz w:val="24"/>
                <w:szCs w:val="24"/>
              </w:rPr>
            </w:pPr>
            <w:r>
              <w:rPr>
                <w:rFonts w:hint="eastAsia" w:ascii="仿宋_GB2312" w:eastAsia="仿宋_GB2312"/>
                <w:b/>
                <w:bCs/>
                <w:sz w:val="24"/>
                <w:szCs w:val="24"/>
              </w:rPr>
              <w:t>14</w:t>
            </w:r>
          </w:p>
        </w:tc>
        <w:tc>
          <w:tcPr>
            <w:tcW w:w="3920" w:type="dxa"/>
            <w:shd w:val="clear" w:color="auto" w:fill="FFFFFF"/>
            <w:vAlign w:val="center"/>
          </w:tcPr>
          <w:p w14:paraId="578A0616">
            <w:pPr>
              <w:spacing w:line="360" w:lineRule="exact"/>
              <w:jc w:val="left"/>
              <w:rPr>
                <w:rFonts w:ascii="仿宋_GB2312" w:eastAsia="仿宋_GB2312"/>
                <w:sz w:val="24"/>
                <w:szCs w:val="24"/>
              </w:rPr>
            </w:pPr>
            <w:r>
              <w:rPr>
                <w:rFonts w:hint="eastAsia" w:ascii="仿宋_GB2312" w:eastAsia="仿宋_GB2312"/>
                <w:sz w:val="24"/>
                <w:szCs w:val="24"/>
              </w:rPr>
              <w:t>每年推广“浙江制造精品”(项）</w:t>
            </w:r>
          </w:p>
        </w:tc>
        <w:tc>
          <w:tcPr>
            <w:tcW w:w="950" w:type="dxa"/>
            <w:shd w:val="clear" w:color="auto" w:fill="FFFFFF"/>
            <w:vAlign w:val="center"/>
          </w:tcPr>
          <w:p w14:paraId="65185255">
            <w:pPr>
              <w:spacing w:line="360" w:lineRule="exact"/>
              <w:jc w:val="center"/>
              <w:rPr>
                <w:rFonts w:ascii="仿宋_GB2312" w:eastAsia="仿宋_GB2312"/>
                <w:sz w:val="24"/>
                <w:szCs w:val="24"/>
              </w:rPr>
            </w:pPr>
            <w:r>
              <w:rPr>
                <w:rFonts w:hint="eastAsia" w:ascii="仿宋_GB2312" w:eastAsia="仿宋_GB2312"/>
                <w:sz w:val="24"/>
                <w:szCs w:val="24"/>
              </w:rPr>
              <w:t>500</w:t>
            </w:r>
          </w:p>
        </w:tc>
        <w:tc>
          <w:tcPr>
            <w:tcW w:w="1040" w:type="dxa"/>
            <w:shd w:val="clear" w:color="auto" w:fill="FFFFFF"/>
            <w:vAlign w:val="center"/>
          </w:tcPr>
          <w:p w14:paraId="711B66A2">
            <w:pPr>
              <w:spacing w:line="360" w:lineRule="exact"/>
              <w:jc w:val="center"/>
              <w:rPr>
                <w:rFonts w:ascii="仿宋_GB2312" w:eastAsia="仿宋_GB2312"/>
                <w:sz w:val="24"/>
                <w:szCs w:val="24"/>
              </w:rPr>
            </w:pPr>
            <w:r>
              <w:rPr>
                <w:rFonts w:hint="eastAsia" w:ascii="仿宋_GB2312" w:eastAsia="仿宋_GB2312"/>
                <w:sz w:val="24"/>
                <w:szCs w:val="24"/>
              </w:rPr>
              <w:t>20</w:t>
            </w:r>
          </w:p>
        </w:tc>
        <w:tc>
          <w:tcPr>
            <w:tcW w:w="1060" w:type="dxa"/>
            <w:shd w:val="clear" w:color="auto" w:fill="FFFFFF"/>
            <w:vAlign w:val="center"/>
          </w:tcPr>
          <w:p w14:paraId="433D5A4D">
            <w:pPr>
              <w:spacing w:line="360" w:lineRule="exact"/>
              <w:jc w:val="center"/>
              <w:rPr>
                <w:rFonts w:ascii="仿宋_GB2312" w:eastAsia="仿宋_GB2312"/>
                <w:sz w:val="24"/>
                <w:szCs w:val="24"/>
              </w:rPr>
            </w:pPr>
            <w:r>
              <w:rPr>
                <w:rFonts w:hint="eastAsia" w:ascii="仿宋_GB2312" w:eastAsia="仿宋_GB2312"/>
                <w:sz w:val="24"/>
                <w:szCs w:val="24"/>
              </w:rPr>
              <w:t>4</w:t>
            </w:r>
          </w:p>
        </w:tc>
        <w:tc>
          <w:tcPr>
            <w:tcW w:w="2039" w:type="dxa"/>
            <w:shd w:val="clear" w:color="auto" w:fill="FFFFFF"/>
            <w:vAlign w:val="center"/>
          </w:tcPr>
          <w:p w14:paraId="23BE02C8">
            <w:pPr>
              <w:spacing w:line="360" w:lineRule="exact"/>
              <w:jc w:val="center"/>
              <w:rPr>
                <w:rFonts w:ascii="仿宋_GB2312" w:eastAsia="仿宋_GB2312"/>
                <w:sz w:val="24"/>
                <w:szCs w:val="24"/>
              </w:rPr>
            </w:pPr>
            <w:r>
              <w:rPr>
                <w:rFonts w:hint="eastAsia" w:ascii="仿宋_GB2312" w:eastAsia="仿宋_GB2312"/>
                <w:sz w:val="24"/>
                <w:szCs w:val="24"/>
              </w:rPr>
              <w:t>区发改经信局</w:t>
            </w:r>
          </w:p>
        </w:tc>
      </w:tr>
      <w:tr w14:paraId="0D5E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6" w:hRule="exact"/>
          <w:tblHeader/>
          <w:jc w:val="center"/>
        </w:trPr>
        <w:tc>
          <w:tcPr>
            <w:tcW w:w="645" w:type="dxa"/>
            <w:vMerge w:val="restart"/>
            <w:shd w:val="clear" w:color="auto" w:fill="FFFFFF"/>
            <w:vAlign w:val="center"/>
          </w:tcPr>
          <w:p w14:paraId="28812CF6">
            <w:pPr>
              <w:spacing w:line="360" w:lineRule="exact"/>
              <w:jc w:val="center"/>
              <w:rPr>
                <w:rFonts w:ascii="仿宋_GB2312" w:eastAsia="仿宋_GB2312"/>
                <w:bCs/>
                <w:kern w:val="0"/>
                <w:sz w:val="24"/>
                <w:szCs w:val="24"/>
              </w:rPr>
            </w:pPr>
            <w:r>
              <w:rPr>
                <w:rFonts w:hint="eastAsia" w:ascii="仿宋_GB2312" w:eastAsia="仿宋_GB2312"/>
                <w:bCs/>
                <w:kern w:val="0"/>
                <w:sz w:val="24"/>
                <w:szCs w:val="24"/>
              </w:rPr>
              <w:t>企业培育</w:t>
            </w:r>
          </w:p>
        </w:tc>
        <w:tc>
          <w:tcPr>
            <w:tcW w:w="430" w:type="dxa"/>
            <w:shd w:val="clear" w:color="auto" w:fill="FFFFFF"/>
            <w:vAlign w:val="center"/>
          </w:tcPr>
          <w:p w14:paraId="7EA69528">
            <w:pPr>
              <w:spacing w:line="360" w:lineRule="exact"/>
              <w:jc w:val="center"/>
              <w:rPr>
                <w:rFonts w:ascii="仿宋_GB2312" w:eastAsia="仿宋_GB2312"/>
                <w:b/>
                <w:bCs/>
                <w:sz w:val="24"/>
                <w:szCs w:val="24"/>
              </w:rPr>
            </w:pPr>
            <w:r>
              <w:rPr>
                <w:rFonts w:hint="eastAsia" w:ascii="仿宋_GB2312" w:eastAsia="仿宋_GB2312"/>
                <w:b/>
                <w:bCs/>
                <w:sz w:val="24"/>
                <w:szCs w:val="24"/>
              </w:rPr>
              <w:t>15</w:t>
            </w:r>
          </w:p>
        </w:tc>
        <w:tc>
          <w:tcPr>
            <w:tcW w:w="3920" w:type="dxa"/>
            <w:shd w:val="clear" w:color="auto" w:fill="FFFFFF"/>
            <w:vAlign w:val="center"/>
          </w:tcPr>
          <w:p w14:paraId="57B51DC9">
            <w:pPr>
              <w:spacing w:line="360" w:lineRule="exact"/>
              <w:jc w:val="left"/>
              <w:rPr>
                <w:rFonts w:ascii="仿宋_GB2312" w:eastAsia="仿宋_GB2312"/>
                <w:sz w:val="24"/>
                <w:szCs w:val="24"/>
              </w:rPr>
            </w:pPr>
            <w:r>
              <w:rPr>
                <w:rFonts w:hint="eastAsia" w:ascii="仿宋_GB2312" w:eastAsia="仿宋_GB2312"/>
                <w:sz w:val="24"/>
                <w:szCs w:val="24"/>
              </w:rPr>
              <w:t>“金象金牛”企业(家）</w:t>
            </w:r>
          </w:p>
        </w:tc>
        <w:tc>
          <w:tcPr>
            <w:tcW w:w="950" w:type="dxa"/>
            <w:shd w:val="clear" w:color="auto" w:fill="FFFFFF"/>
            <w:vAlign w:val="center"/>
          </w:tcPr>
          <w:p w14:paraId="5A448468">
            <w:pPr>
              <w:spacing w:line="360" w:lineRule="exact"/>
              <w:jc w:val="center"/>
              <w:rPr>
                <w:rFonts w:ascii="仿宋_GB2312" w:eastAsia="仿宋_GB2312"/>
                <w:sz w:val="24"/>
                <w:szCs w:val="24"/>
              </w:rPr>
            </w:pPr>
            <w:r>
              <w:rPr>
                <w:rFonts w:hint="eastAsia" w:ascii="仿宋_GB2312" w:eastAsia="仿宋_GB2312"/>
                <w:sz w:val="24"/>
                <w:szCs w:val="24"/>
              </w:rPr>
              <w:t>——</w:t>
            </w:r>
          </w:p>
        </w:tc>
        <w:tc>
          <w:tcPr>
            <w:tcW w:w="1040" w:type="dxa"/>
            <w:shd w:val="clear" w:color="auto" w:fill="FFFFFF"/>
            <w:vAlign w:val="center"/>
          </w:tcPr>
          <w:p w14:paraId="11986233">
            <w:pPr>
              <w:spacing w:line="360" w:lineRule="exact"/>
              <w:jc w:val="center"/>
              <w:rPr>
                <w:rFonts w:ascii="仿宋_GB2312" w:eastAsia="仿宋_GB2312"/>
                <w:sz w:val="24"/>
                <w:szCs w:val="24"/>
              </w:rPr>
            </w:pPr>
            <w:r>
              <w:rPr>
                <w:rFonts w:hint="eastAsia" w:ascii="仿宋_GB2312" w:eastAsia="仿宋_GB2312"/>
                <w:sz w:val="24"/>
                <w:szCs w:val="24"/>
              </w:rPr>
              <w:t>[30]</w:t>
            </w:r>
          </w:p>
        </w:tc>
        <w:tc>
          <w:tcPr>
            <w:tcW w:w="1060" w:type="dxa"/>
            <w:shd w:val="clear" w:color="auto" w:fill="FFFFFF"/>
            <w:vAlign w:val="center"/>
          </w:tcPr>
          <w:p w14:paraId="1DFBFEE5">
            <w:pPr>
              <w:spacing w:line="360" w:lineRule="exact"/>
              <w:jc w:val="center"/>
              <w:rPr>
                <w:rFonts w:ascii="仿宋_GB2312" w:eastAsia="仿宋_GB2312"/>
                <w:sz w:val="24"/>
                <w:szCs w:val="24"/>
              </w:rPr>
            </w:pPr>
            <w:r>
              <w:rPr>
                <w:rFonts w:hint="eastAsia" w:ascii="仿宋_GB2312" w:eastAsia="仿宋_GB2312"/>
                <w:sz w:val="24"/>
                <w:szCs w:val="24"/>
              </w:rPr>
              <w:t>[7]</w:t>
            </w:r>
          </w:p>
        </w:tc>
        <w:tc>
          <w:tcPr>
            <w:tcW w:w="2039" w:type="dxa"/>
            <w:shd w:val="clear" w:color="auto" w:fill="FFFFFF"/>
            <w:vAlign w:val="center"/>
          </w:tcPr>
          <w:p w14:paraId="676E4BCA">
            <w:pPr>
              <w:spacing w:line="360" w:lineRule="exact"/>
              <w:jc w:val="center"/>
              <w:rPr>
                <w:rFonts w:ascii="仿宋_GB2312" w:eastAsia="仿宋_GB2312"/>
                <w:sz w:val="24"/>
                <w:szCs w:val="24"/>
              </w:rPr>
            </w:pPr>
            <w:r>
              <w:rPr>
                <w:rFonts w:hint="eastAsia" w:ascii="仿宋_GB2312" w:eastAsia="仿宋_GB2312"/>
                <w:sz w:val="24"/>
                <w:szCs w:val="24"/>
              </w:rPr>
              <w:t>区发改经信局</w:t>
            </w:r>
          </w:p>
        </w:tc>
      </w:tr>
      <w:tr w14:paraId="562E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6" w:hRule="exact"/>
          <w:tblHeader/>
          <w:jc w:val="center"/>
        </w:trPr>
        <w:tc>
          <w:tcPr>
            <w:tcW w:w="645" w:type="dxa"/>
            <w:vMerge w:val="continue"/>
            <w:shd w:val="clear" w:color="auto" w:fill="FFFFFF"/>
            <w:vAlign w:val="center"/>
          </w:tcPr>
          <w:p w14:paraId="7B42A07E">
            <w:pPr>
              <w:spacing w:line="360" w:lineRule="exact"/>
              <w:jc w:val="center"/>
              <w:rPr>
                <w:rFonts w:ascii="仿宋_GB2312" w:eastAsia="仿宋_GB2312"/>
                <w:b/>
                <w:kern w:val="0"/>
                <w:sz w:val="24"/>
                <w:szCs w:val="24"/>
              </w:rPr>
            </w:pPr>
          </w:p>
        </w:tc>
        <w:tc>
          <w:tcPr>
            <w:tcW w:w="430" w:type="dxa"/>
            <w:shd w:val="clear" w:color="auto" w:fill="FFFFFF"/>
            <w:vAlign w:val="center"/>
          </w:tcPr>
          <w:p w14:paraId="4613FBFB">
            <w:pPr>
              <w:spacing w:line="360" w:lineRule="exact"/>
              <w:jc w:val="center"/>
              <w:rPr>
                <w:rFonts w:ascii="仿宋_GB2312" w:eastAsia="仿宋_GB2312"/>
                <w:b/>
                <w:bCs/>
                <w:sz w:val="24"/>
                <w:szCs w:val="24"/>
              </w:rPr>
            </w:pPr>
            <w:r>
              <w:rPr>
                <w:rFonts w:hint="eastAsia" w:ascii="仿宋_GB2312" w:eastAsia="仿宋_GB2312"/>
                <w:b/>
                <w:bCs/>
                <w:sz w:val="24"/>
                <w:szCs w:val="24"/>
              </w:rPr>
              <w:t>16</w:t>
            </w:r>
          </w:p>
        </w:tc>
        <w:tc>
          <w:tcPr>
            <w:tcW w:w="3920" w:type="dxa"/>
            <w:shd w:val="clear" w:color="auto" w:fill="FFFFFF"/>
            <w:vAlign w:val="center"/>
          </w:tcPr>
          <w:p w14:paraId="07B6AFEB">
            <w:pPr>
              <w:spacing w:line="360" w:lineRule="exact"/>
              <w:jc w:val="left"/>
              <w:rPr>
                <w:rFonts w:ascii="仿宋_GB2312" w:eastAsia="仿宋_GB2312"/>
                <w:sz w:val="24"/>
                <w:szCs w:val="24"/>
              </w:rPr>
            </w:pPr>
            <w:bookmarkStart w:id="2" w:name="_GoBack"/>
            <w:bookmarkEnd w:id="2"/>
            <w:r>
              <w:rPr>
                <w:rFonts w:hint="eastAsia" w:ascii="仿宋_GB2312" w:eastAsia="仿宋_GB2312"/>
                <w:sz w:val="24"/>
                <w:szCs w:val="24"/>
                <w:lang w:eastAsia="zh-CN"/>
              </w:rPr>
              <w:t>专精特新“小巨人”</w:t>
            </w:r>
            <w:r>
              <w:rPr>
                <w:rFonts w:hint="eastAsia" w:ascii="仿宋_GB2312" w:eastAsia="仿宋_GB2312"/>
                <w:sz w:val="24"/>
                <w:szCs w:val="24"/>
              </w:rPr>
              <w:t>、隐形冠军企业(家）</w:t>
            </w:r>
          </w:p>
        </w:tc>
        <w:tc>
          <w:tcPr>
            <w:tcW w:w="950" w:type="dxa"/>
            <w:shd w:val="clear" w:color="auto" w:fill="FFFFFF"/>
            <w:vAlign w:val="center"/>
          </w:tcPr>
          <w:p w14:paraId="068774C9">
            <w:pPr>
              <w:spacing w:line="360" w:lineRule="exact"/>
              <w:jc w:val="center"/>
              <w:rPr>
                <w:rFonts w:ascii="仿宋_GB2312" w:eastAsia="仿宋_GB2312"/>
                <w:sz w:val="24"/>
                <w:szCs w:val="24"/>
              </w:rPr>
            </w:pPr>
            <w:r>
              <w:rPr>
                <w:rFonts w:hint="eastAsia" w:ascii="仿宋_GB2312" w:eastAsia="仿宋_GB2312"/>
                <w:sz w:val="24"/>
                <w:szCs w:val="24"/>
              </w:rPr>
              <w:t>[600]</w:t>
            </w:r>
          </w:p>
        </w:tc>
        <w:tc>
          <w:tcPr>
            <w:tcW w:w="1040" w:type="dxa"/>
            <w:shd w:val="clear" w:color="auto" w:fill="FFFFFF"/>
            <w:vAlign w:val="center"/>
          </w:tcPr>
          <w:p w14:paraId="1597EF28">
            <w:pPr>
              <w:spacing w:line="360" w:lineRule="exact"/>
              <w:jc w:val="center"/>
              <w:rPr>
                <w:rFonts w:ascii="仿宋_GB2312" w:eastAsia="仿宋_GB2312"/>
                <w:sz w:val="24"/>
                <w:szCs w:val="24"/>
              </w:rPr>
            </w:pPr>
            <w:r>
              <w:rPr>
                <w:rFonts w:hint="eastAsia" w:ascii="仿宋_GB2312" w:eastAsia="仿宋_GB2312"/>
                <w:sz w:val="24"/>
                <w:szCs w:val="24"/>
              </w:rPr>
              <w:t>[95]</w:t>
            </w:r>
          </w:p>
        </w:tc>
        <w:tc>
          <w:tcPr>
            <w:tcW w:w="1060" w:type="dxa"/>
            <w:shd w:val="clear" w:color="auto" w:fill="FFFFFF"/>
            <w:vAlign w:val="center"/>
          </w:tcPr>
          <w:p w14:paraId="00BE847D">
            <w:pPr>
              <w:spacing w:line="360" w:lineRule="exact"/>
              <w:jc w:val="center"/>
              <w:rPr>
                <w:rFonts w:ascii="仿宋_GB2312" w:eastAsia="仿宋_GB2312"/>
                <w:sz w:val="24"/>
                <w:szCs w:val="24"/>
              </w:rPr>
            </w:pPr>
            <w:r>
              <w:rPr>
                <w:rFonts w:hint="eastAsia" w:ascii="仿宋_GB2312" w:eastAsia="仿宋_GB2312"/>
                <w:sz w:val="24"/>
                <w:szCs w:val="24"/>
              </w:rPr>
              <w:t>[15]</w:t>
            </w:r>
          </w:p>
        </w:tc>
        <w:tc>
          <w:tcPr>
            <w:tcW w:w="2039" w:type="dxa"/>
            <w:shd w:val="clear" w:color="auto" w:fill="FFFFFF"/>
            <w:vAlign w:val="center"/>
          </w:tcPr>
          <w:p w14:paraId="27ED504E">
            <w:pPr>
              <w:spacing w:line="360" w:lineRule="exact"/>
              <w:jc w:val="center"/>
              <w:rPr>
                <w:rFonts w:ascii="仿宋_GB2312" w:eastAsia="仿宋_GB2312"/>
                <w:sz w:val="24"/>
                <w:szCs w:val="24"/>
              </w:rPr>
            </w:pPr>
            <w:r>
              <w:rPr>
                <w:rFonts w:hint="eastAsia" w:ascii="仿宋_GB2312" w:eastAsia="仿宋_GB2312"/>
                <w:sz w:val="24"/>
                <w:szCs w:val="24"/>
              </w:rPr>
              <w:t>区发改经信局</w:t>
            </w:r>
          </w:p>
        </w:tc>
      </w:tr>
      <w:tr w14:paraId="5741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4" w:hRule="exact"/>
          <w:tblHeader/>
          <w:jc w:val="center"/>
        </w:trPr>
        <w:tc>
          <w:tcPr>
            <w:tcW w:w="645" w:type="dxa"/>
            <w:vMerge w:val="continue"/>
            <w:shd w:val="clear" w:color="auto" w:fill="FFFFFF"/>
            <w:vAlign w:val="center"/>
          </w:tcPr>
          <w:p w14:paraId="535F3EB8">
            <w:pPr>
              <w:spacing w:line="360" w:lineRule="exact"/>
              <w:jc w:val="center"/>
              <w:rPr>
                <w:rFonts w:ascii="仿宋_GB2312" w:eastAsia="仿宋_GB2312"/>
                <w:b/>
                <w:kern w:val="0"/>
                <w:sz w:val="24"/>
                <w:szCs w:val="24"/>
              </w:rPr>
            </w:pPr>
          </w:p>
        </w:tc>
        <w:tc>
          <w:tcPr>
            <w:tcW w:w="430" w:type="dxa"/>
            <w:shd w:val="clear" w:color="auto" w:fill="FFFFFF"/>
            <w:vAlign w:val="center"/>
          </w:tcPr>
          <w:p w14:paraId="07F60BF0">
            <w:pPr>
              <w:spacing w:line="360" w:lineRule="exact"/>
              <w:jc w:val="center"/>
              <w:rPr>
                <w:rFonts w:ascii="仿宋_GB2312" w:eastAsia="仿宋_GB2312"/>
                <w:b/>
                <w:bCs/>
                <w:sz w:val="24"/>
                <w:szCs w:val="24"/>
              </w:rPr>
            </w:pPr>
            <w:r>
              <w:rPr>
                <w:rFonts w:hint="eastAsia" w:ascii="仿宋_GB2312" w:eastAsia="仿宋_GB2312"/>
                <w:b/>
                <w:bCs/>
                <w:sz w:val="24"/>
                <w:szCs w:val="24"/>
              </w:rPr>
              <w:t>17</w:t>
            </w:r>
          </w:p>
        </w:tc>
        <w:tc>
          <w:tcPr>
            <w:tcW w:w="3920" w:type="dxa"/>
            <w:shd w:val="clear" w:color="auto" w:fill="FFFFFF"/>
            <w:vAlign w:val="center"/>
          </w:tcPr>
          <w:p w14:paraId="0534A9AB">
            <w:pPr>
              <w:spacing w:line="360" w:lineRule="exact"/>
              <w:jc w:val="left"/>
              <w:rPr>
                <w:rFonts w:ascii="仿宋_GB2312" w:eastAsia="仿宋_GB2312"/>
                <w:sz w:val="24"/>
                <w:szCs w:val="24"/>
              </w:rPr>
            </w:pPr>
            <w:r>
              <w:rPr>
                <w:rFonts w:hint="eastAsia" w:ascii="仿宋_GB2312" w:eastAsia="仿宋_GB2312"/>
                <w:sz w:val="24"/>
                <w:szCs w:val="24"/>
              </w:rPr>
              <w:t>上市公司(家）</w:t>
            </w:r>
          </w:p>
        </w:tc>
        <w:tc>
          <w:tcPr>
            <w:tcW w:w="950" w:type="dxa"/>
            <w:shd w:val="clear" w:color="auto" w:fill="FFFFFF"/>
            <w:vAlign w:val="center"/>
          </w:tcPr>
          <w:p w14:paraId="505DB06E">
            <w:pPr>
              <w:spacing w:line="360" w:lineRule="exact"/>
              <w:jc w:val="center"/>
              <w:rPr>
                <w:rFonts w:ascii="仿宋_GB2312" w:eastAsia="仿宋_GB2312"/>
                <w:sz w:val="24"/>
                <w:szCs w:val="24"/>
              </w:rPr>
            </w:pPr>
            <w:r>
              <w:rPr>
                <w:rFonts w:hint="eastAsia" w:ascii="仿宋_GB2312" w:eastAsia="仿宋_GB2312"/>
                <w:sz w:val="24"/>
                <w:szCs w:val="24"/>
              </w:rPr>
              <w:t>——</w:t>
            </w:r>
          </w:p>
        </w:tc>
        <w:tc>
          <w:tcPr>
            <w:tcW w:w="1040" w:type="dxa"/>
            <w:shd w:val="clear" w:color="auto" w:fill="FFFFFF"/>
            <w:vAlign w:val="center"/>
          </w:tcPr>
          <w:p w14:paraId="3546455A">
            <w:pPr>
              <w:spacing w:line="360" w:lineRule="exact"/>
              <w:jc w:val="center"/>
              <w:rPr>
                <w:rFonts w:ascii="仿宋_GB2312" w:eastAsia="仿宋_GB2312"/>
                <w:sz w:val="24"/>
                <w:szCs w:val="24"/>
              </w:rPr>
            </w:pPr>
            <w:r>
              <w:rPr>
                <w:rFonts w:hint="eastAsia" w:ascii="仿宋_GB2312" w:eastAsia="仿宋_GB2312"/>
                <w:sz w:val="24"/>
                <w:szCs w:val="24"/>
              </w:rPr>
              <w:t>[50]</w:t>
            </w:r>
          </w:p>
        </w:tc>
        <w:tc>
          <w:tcPr>
            <w:tcW w:w="1060" w:type="dxa"/>
            <w:shd w:val="clear" w:color="auto" w:fill="FFFFFF"/>
            <w:vAlign w:val="center"/>
          </w:tcPr>
          <w:p w14:paraId="63DF5BEB">
            <w:pPr>
              <w:spacing w:line="360" w:lineRule="exact"/>
              <w:jc w:val="center"/>
              <w:rPr>
                <w:rFonts w:ascii="仿宋_GB2312" w:eastAsia="仿宋_GB2312"/>
                <w:sz w:val="24"/>
                <w:szCs w:val="24"/>
              </w:rPr>
            </w:pPr>
            <w:r>
              <w:rPr>
                <w:rFonts w:hint="eastAsia" w:ascii="仿宋_GB2312" w:eastAsia="仿宋_GB2312"/>
                <w:sz w:val="24"/>
                <w:szCs w:val="24"/>
              </w:rPr>
              <w:t>[12]</w:t>
            </w:r>
          </w:p>
        </w:tc>
        <w:tc>
          <w:tcPr>
            <w:tcW w:w="2039" w:type="dxa"/>
            <w:shd w:val="clear" w:color="auto" w:fill="FFFFFF"/>
            <w:vAlign w:val="center"/>
          </w:tcPr>
          <w:p w14:paraId="0AD6387E">
            <w:pPr>
              <w:spacing w:line="360" w:lineRule="exact"/>
              <w:jc w:val="center"/>
              <w:rPr>
                <w:rFonts w:ascii="仿宋_GB2312" w:eastAsia="仿宋_GB2312"/>
                <w:sz w:val="24"/>
                <w:szCs w:val="24"/>
              </w:rPr>
            </w:pPr>
            <w:r>
              <w:rPr>
                <w:rFonts w:hint="eastAsia" w:ascii="仿宋_GB2312" w:eastAsia="仿宋_GB2312"/>
                <w:sz w:val="24"/>
                <w:szCs w:val="24"/>
              </w:rPr>
              <w:t>区发改经信局</w:t>
            </w:r>
          </w:p>
        </w:tc>
      </w:tr>
      <w:tr w14:paraId="0ECC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8" w:hRule="exact"/>
          <w:tblHeader/>
          <w:jc w:val="center"/>
        </w:trPr>
        <w:tc>
          <w:tcPr>
            <w:tcW w:w="645" w:type="dxa"/>
            <w:vMerge w:val="continue"/>
            <w:shd w:val="clear" w:color="auto" w:fill="FFFFFF"/>
            <w:vAlign w:val="center"/>
          </w:tcPr>
          <w:p w14:paraId="1523B9DA">
            <w:pPr>
              <w:spacing w:line="360" w:lineRule="exact"/>
              <w:jc w:val="center"/>
              <w:rPr>
                <w:rFonts w:ascii="仿宋_GB2312" w:eastAsia="仿宋_GB2312"/>
                <w:b/>
                <w:kern w:val="0"/>
                <w:sz w:val="24"/>
                <w:szCs w:val="24"/>
              </w:rPr>
            </w:pPr>
          </w:p>
        </w:tc>
        <w:tc>
          <w:tcPr>
            <w:tcW w:w="430" w:type="dxa"/>
            <w:shd w:val="clear" w:color="auto" w:fill="FFFFFF"/>
            <w:vAlign w:val="center"/>
          </w:tcPr>
          <w:p w14:paraId="169D8E5B">
            <w:pPr>
              <w:spacing w:line="360" w:lineRule="exact"/>
              <w:jc w:val="center"/>
              <w:rPr>
                <w:rFonts w:ascii="仿宋_GB2312" w:eastAsia="仿宋_GB2312"/>
                <w:b/>
                <w:bCs/>
                <w:sz w:val="24"/>
                <w:szCs w:val="24"/>
              </w:rPr>
            </w:pPr>
            <w:r>
              <w:rPr>
                <w:rFonts w:hint="eastAsia" w:ascii="仿宋_GB2312" w:eastAsia="仿宋_GB2312"/>
                <w:b/>
                <w:bCs/>
                <w:sz w:val="24"/>
                <w:szCs w:val="24"/>
              </w:rPr>
              <w:t>18</w:t>
            </w:r>
          </w:p>
        </w:tc>
        <w:tc>
          <w:tcPr>
            <w:tcW w:w="3920" w:type="dxa"/>
            <w:shd w:val="clear" w:color="auto" w:fill="FFFFFF"/>
            <w:vAlign w:val="center"/>
          </w:tcPr>
          <w:p w14:paraId="356AE857">
            <w:pPr>
              <w:spacing w:line="360" w:lineRule="exact"/>
              <w:jc w:val="left"/>
              <w:rPr>
                <w:rFonts w:ascii="仿宋_GB2312" w:eastAsia="仿宋_GB2312"/>
                <w:sz w:val="24"/>
                <w:szCs w:val="24"/>
              </w:rPr>
            </w:pPr>
            <w:r>
              <w:rPr>
                <w:rFonts w:hint="eastAsia" w:ascii="仿宋_GB2312" w:eastAsia="仿宋_GB2312"/>
                <w:sz w:val="24"/>
                <w:szCs w:val="24"/>
              </w:rPr>
              <w:t>新增科技型中小企业(家）</w:t>
            </w:r>
          </w:p>
        </w:tc>
        <w:tc>
          <w:tcPr>
            <w:tcW w:w="950" w:type="dxa"/>
            <w:shd w:val="clear" w:color="auto" w:fill="FFFFFF"/>
            <w:vAlign w:val="center"/>
          </w:tcPr>
          <w:p w14:paraId="61601CAF">
            <w:pPr>
              <w:spacing w:line="360" w:lineRule="exact"/>
              <w:jc w:val="center"/>
              <w:rPr>
                <w:rFonts w:ascii="仿宋_GB2312" w:eastAsia="仿宋_GB2312"/>
                <w:sz w:val="24"/>
                <w:szCs w:val="24"/>
              </w:rPr>
            </w:pPr>
            <w:r>
              <w:rPr>
                <w:rFonts w:hint="eastAsia" w:ascii="仿宋_GB2312" w:eastAsia="仿宋_GB2312"/>
                <w:sz w:val="24"/>
                <w:szCs w:val="24"/>
              </w:rPr>
              <w:t>8000</w:t>
            </w:r>
          </w:p>
        </w:tc>
        <w:tc>
          <w:tcPr>
            <w:tcW w:w="1040" w:type="dxa"/>
            <w:shd w:val="clear" w:color="auto" w:fill="FFFFFF"/>
            <w:vAlign w:val="center"/>
          </w:tcPr>
          <w:p w14:paraId="3F393F90">
            <w:pPr>
              <w:spacing w:line="360" w:lineRule="exact"/>
              <w:jc w:val="center"/>
              <w:rPr>
                <w:rFonts w:ascii="仿宋_GB2312" w:eastAsia="仿宋_GB2312"/>
                <w:sz w:val="24"/>
                <w:szCs w:val="24"/>
              </w:rPr>
            </w:pPr>
            <w:r>
              <w:rPr>
                <w:rFonts w:hint="eastAsia" w:ascii="仿宋_GB2312" w:eastAsia="仿宋_GB2312"/>
                <w:sz w:val="24"/>
                <w:szCs w:val="24"/>
              </w:rPr>
              <w:t>500</w:t>
            </w:r>
          </w:p>
        </w:tc>
        <w:tc>
          <w:tcPr>
            <w:tcW w:w="1060" w:type="dxa"/>
            <w:shd w:val="clear" w:color="auto" w:fill="FFFFFF"/>
            <w:vAlign w:val="center"/>
          </w:tcPr>
          <w:p w14:paraId="124856ED">
            <w:pPr>
              <w:spacing w:line="360" w:lineRule="exact"/>
              <w:jc w:val="center"/>
              <w:rPr>
                <w:rFonts w:ascii="仿宋_GB2312" w:eastAsia="仿宋_GB2312"/>
                <w:sz w:val="24"/>
                <w:szCs w:val="24"/>
              </w:rPr>
            </w:pPr>
            <w:r>
              <w:rPr>
                <w:rFonts w:hint="eastAsia" w:ascii="仿宋_GB2312" w:eastAsia="仿宋_GB2312"/>
                <w:sz w:val="24"/>
                <w:szCs w:val="24"/>
              </w:rPr>
              <w:t>100</w:t>
            </w:r>
          </w:p>
        </w:tc>
        <w:tc>
          <w:tcPr>
            <w:tcW w:w="2039" w:type="dxa"/>
            <w:shd w:val="clear" w:color="auto" w:fill="FFFFFF"/>
            <w:vAlign w:val="center"/>
          </w:tcPr>
          <w:p w14:paraId="7C3B6CE1">
            <w:pPr>
              <w:spacing w:line="360" w:lineRule="exact"/>
              <w:jc w:val="center"/>
              <w:rPr>
                <w:rFonts w:ascii="仿宋_GB2312" w:eastAsia="仿宋_GB2312"/>
                <w:sz w:val="24"/>
                <w:szCs w:val="24"/>
              </w:rPr>
            </w:pPr>
            <w:r>
              <w:rPr>
                <w:rFonts w:hint="eastAsia" w:ascii="仿宋_GB2312" w:eastAsia="仿宋_GB2312"/>
                <w:sz w:val="24"/>
                <w:szCs w:val="24"/>
              </w:rPr>
              <w:t>区科技局</w:t>
            </w:r>
          </w:p>
        </w:tc>
      </w:tr>
    </w:tbl>
    <w:p w14:paraId="6616691F">
      <w:pPr>
        <w:rPr>
          <w:sz w:val="24"/>
          <w:szCs w:val="24"/>
        </w:rPr>
      </w:pPr>
    </w:p>
    <w:p w14:paraId="04CBC7B2">
      <w:pPr>
        <w:rPr>
          <w:sz w:val="24"/>
          <w:szCs w:val="24"/>
        </w:rPr>
      </w:pPr>
      <w:r>
        <w:rPr>
          <w:sz w:val="24"/>
          <w:szCs w:val="24"/>
        </w:rPr>
        <w:t>注：[  ]内数据为累计数，其它为当年数。</w:t>
      </w:r>
    </w:p>
    <w:p w14:paraId="18B8ADB1">
      <w:pPr>
        <w:pStyle w:val="6"/>
        <w:spacing w:before="3"/>
        <w:rPr>
          <w:rFonts w:ascii="Times New Roman" w:eastAsia="黑体"/>
          <w:szCs w:val="32"/>
          <w:lang w:bidi="ar"/>
        </w:rPr>
      </w:pPr>
    </w:p>
    <w:p w14:paraId="7FEC1159">
      <w:pPr>
        <w:pStyle w:val="6"/>
        <w:spacing w:before="3"/>
        <w:rPr>
          <w:szCs w:val="32"/>
        </w:rPr>
      </w:pPr>
      <w:r>
        <w:rPr>
          <w:rFonts w:hint="eastAsia"/>
          <w:szCs w:val="32"/>
          <w:lang w:bidi="ar"/>
        </w:rPr>
        <w:t>附件2</w:t>
      </w:r>
    </w:p>
    <w:p w14:paraId="1E62906D">
      <w:pPr>
        <w:pStyle w:val="6"/>
        <w:ind w:firstLine="640" w:firstLineChars="200"/>
        <w:jc w:val="center"/>
        <w:rPr>
          <w:rFonts w:ascii="Times New Roman" w:eastAsia="华文中宋"/>
          <w:szCs w:val="32"/>
        </w:rPr>
      </w:pPr>
    </w:p>
    <w:p w14:paraId="464B5A46">
      <w:pPr>
        <w:pStyle w:val="6"/>
        <w:ind w:firstLine="640" w:firstLineChars="200"/>
        <w:jc w:val="center"/>
        <w:rPr>
          <w:rFonts w:ascii="方正小标宋简体" w:eastAsia="方正小标宋简体"/>
          <w:szCs w:val="32"/>
        </w:rPr>
      </w:pPr>
      <w:r>
        <w:rPr>
          <w:rFonts w:hint="eastAsia" w:ascii="方正小标宋简体" w:eastAsia="方正小标宋简体"/>
          <w:szCs w:val="32"/>
        </w:rPr>
        <w:t>吴兴区新一轮制造业“腾笼换鸟、凤凰涅</w:t>
      </w:r>
      <w:r>
        <w:rPr>
          <w:rFonts w:hint="eastAsia" w:ascii="宋体" w:hAnsi="宋体" w:eastAsia="宋体" w:cs="宋体"/>
          <w:szCs w:val="32"/>
        </w:rPr>
        <w:t>槃</w:t>
      </w:r>
      <w:r>
        <w:rPr>
          <w:rFonts w:hint="eastAsia" w:ascii="方正小标宋简体" w:hAnsi="方正小标宋简体" w:eastAsia="方正小标宋简体" w:cs="方正小标宋简体"/>
          <w:szCs w:val="32"/>
        </w:rPr>
        <w:t>”</w:t>
      </w:r>
      <w:r>
        <w:rPr>
          <w:rFonts w:hint="eastAsia" w:ascii="方正小标宋简体" w:eastAsia="方正小标宋简体"/>
          <w:szCs w:val="32"/>
        </w:rPr>
        <w:t xml:space="preserve"> </w:t>
      </w:r>
    </w:p>
    <w:p w14:paraId="53D2FD81">
      <w:pPr>
        <w:pStyle w:val="6"/>
        <w:ind w:firstLine="640" w:firstLineChars="200"/>
        <w:jc w:val="center"/>
        <w:rPr>
          <w:rFonts w:ascii="方正小标宋简体" w:eastAsia="方正小标宋简体"/>
          <w:szCs w:val="32"/>
        </w:rPr>
      </w:pPr>
      <w:r>
        <w:rPr>
          <w:rFonts w:hint="eastAsia" w:ascii="方正小标宋简体" w:eastAsia="方正小标宋简体"/>
          <w:szCs w:val="32"/>
        </w:rPr>
        <w:t>攻坚行动工作专班组成方案</w:t>
      </w:r>
    </w:p>
    <w:p w14:paraId="6054220A">
      <w:pPr>
        <w:pStyle w:val="6"/>
        <w:ind w:firstLine="640" w:firstLineChars="200"/>
        <w:rPr>
          <w:rFonts w:ascii="Times New Roman"/>
          <w:bCs/>
          <w:szCs w:val="32"/>
        </w:rPr>
      </w:pPr>
    </w:p>
    <w:p w14:paraId="16AAD438">
      <w:pPr>
        <w:pStyle w:val="6"/>
        <w:ind w:firstLine="640" w:firstLineChars="200"/>
        <w:rPr>
          <w:rFonts w:ascii="Times New Roman"/>
          <w:szCs w:val="32"/>
        </w:rPr>
      </w:pPr>
      <w:r>
        <w:rPr>
          <w:rFonts w:ascii="Times New Roman"/>
          <w:szCs w:val="32"/>
        </w:rPr>
        <w:t>为全力推进全区新一轮制造业“腾笼换鸟、凤凰涅槃”攻坚行动，经区政府同意，决定成立吴兴区新一轮制造业“腾笼换鸟、凤凰涅槃”攻坚行动工作专班，组成方案如下：</w:t>
      </w:r>
    </w:p>
    <w:p w14:paraId="329C221D">
      <w:pPr>
        <w:pStyle w:val="6"/>
        <w:ind w:firstLine="643" w:firstLineChars="200"/>
        <w:rPr>
          <w:rFonts w:ascii="Times New Roman"/>
          <w:szCs w:val="32"/>
        </w:rPr>
      </w:pPr>
      <w:r>
        <w:rPr>
          <w:rFonts w:ascii="Times New Roman"/>
          <w:b/>
          <w:szCs w:val="32"/>
        </w:rPr>
        <w:t>组      长：</w:t>
      </w:r>
      <w:r>
        <w:rPr>
          <w:rFonts w:ascii="Times New Roman"/>
          <w:szCs w:val="32"/>
        </w:rPr>
        <w:t xml:space="preserve">潘  帆 </w:t>
      </w:r>
    </w:p>
    <w:p w14:paraId="2AD58E19">
      <w:pPr>
        <w:pStyle w:val="6"/>
        <w:ind w:firstLine="643" w:firstLineChars="200"/>
        <w:rPr>
          <w:rFonts w:ascii="Times New Roman"/>
          <w:szCs w:val="32"/>
        </w:rPr>
      </w:pPr>
      <w:r>
        <w:rPr>
          <w:rFonts w:ascii="Times New Roman"/>
          <w:b/>
          <w:szCs w:val="32"/>
        </w:rPr>
        <w:t>常务副组长：</w:t>
      </w:r>
      <w:r>
        <w:rPr>
          <w:rFonts w:ascii="Times New Roman"/>
          <w:szCs w:val="32"/>
        </w:rPr>
        <w:t xml:space="preserve">杨元江  </w:t>
      </w:r>
    </w:p>
    <w:p w14:paraId="5DB92D92">
      <w:pPr>
        <w:pStyle w:val="6"/>
        <w:tabs>
          <w:tab w:val="left" w:pos="1387"/>
        </w:tabs>
        <w:ind w:firstLine="643" w:firstLineChars="200"/>
        <w:rPr>
          <w:rFonts w:ascii="Times New Roman"/>
          <w:szCs w:val="32"/>
        </w:rPr>
      </w:pPr>
      <w:r>
        <w:rPr>
          <w:rFonts w:ascii="Times New Roman"/>
          <w:b/>
          <w:szCs w:val="32"/>
        </w:rPr>
        <w:t>副  组  长：</w:t>
      </w:r>
      <w:r>
        <w:rPr>
          <w:rFonts w:ascii="Times New Roman"/>
          <w:szCs w:val="32"/>
        </w:rPr>
        <w:t>金  军(区府办）</w:t>
      </w:r>
    </w:p>
    <w:p w14:paraId="241627BC">
      <w:pPr>
        <w:pStyle w:val="6"/>
        <w:tabs>
          <w:tab w:val="left" w:pos="1387"/>
        </w:tabs>
        <w:ind w:firstLine="2560" w:firstLineChars="800"/>
        <w:rPr>
          <w:rFonts w:ascii="Times New Roman"/>
          <w:szCs w:val="32"/>
        </w:rPr>
      </w:pPr>
      <w:r>
        <w:rPr>
          <w:rFonts w:ascii="Times New Roman"/>
          <w:szCs w:val="32"/>
        </w:rPr>
        <w:t>王国华(区发改经信局）</w:t>
      </w:r>
    </w:p>
    <w:p w14:paraId="00FF2E25">
      <w:pPr>
        <w:pStyle w:val="6"/>
        <w:tabs>
          <w:tab w:val="left" w:pos="1387"/>
          <w:tab w:val="left" w:pos="2671"/>
          <w:tab w:val="left" w:pos="3307"/>
        </w:tabs>
        <w:ind w:firstLine="643" w:firstLineChars="200"/>
        <w:rPr>
          <w:rFonts w:ascii="Times New Roman"/>
          <w:szCs w:val="32"/>
        </w:rPr>
      </w:pPr>
      <w:r>
        <w:rPr>
          <w:rFonts w:ascii="Times New Roman"/>
          <w:b/>
          <w:szCs w:val="32"/>
        </w:rPr>
        <w:t>成      员：</w:t>
      </w:r>
      <w:r>
        <w:rPr>
          <w:rFonts w:ascii="Times New Roman"/>
          <w:szCs w:val="32"/>
        </w:rPr>
        <w:t>周  斌(区委人才办）</w:t>
      </w:r>
    </w:p>
    <w:p w14:paraId="5899E28F">
      <w:pPr>
        <w:pStyle w:val="6"/>
        <w:tabs>
          <w:tab w:val="left" w:pos="1387"/>
        </w:tabs>
        <w:ind w:firstLine="2560" w:firstLineChars="800"/>
        <w:rPr>
          <w:rFonts w:ascii="Times New Roman"/>
          <w:szCs w:val="32"/>
        </w:rPr>
      </w:pPr>
      <w:r>
        <w:rPr>
          <w:rFonts w:ascii="Times New Roman"/>
          <w:szCs w:val="32"/>
        </w:rPr>
        <w:t>周洪伟(区发改经信局）</w:t>
      </w:r>
    </w:p>
    <w:p w14:paraId="22956CBB">
      <w:pPr>
        <w:pStyle w:val="6"/>
        <w:tabs>
          <w:tab w:val="left" w:pos="3307"/>
        </w:tabs>
        <w:ind w:firstLine="2560" w:firstLineChars="800"/>
        <w:rPr>
          <w:rFonts w:ascii="Times New Roman"/>
          <w:szCs w:val="32"/>
        </w:rPr>
      </w:pPr>
      <w:r>
        <w:rPr>
          <w:rFonts w:ascii="Times New Roman"/>
          <w:szCs w:val="32"/>
        </w:rPr>
        <w:t>嵇金鑫(区发改经信局）</w:t>
      </w:r>
    </w:p>
    <w:p w14:paraId="59790CA3">
      <w:pPr>
        <w:pStyle w:val="6"/>
        <w:ind w:firstLine="2560" w:firstLineChars="800"/>
        <w:rPr>
          <w:rFonts w:ascii="Times New Roman"/>
          <w:szCs w:val="32"/>
        </w:rPr>
      </w:pPr>
      <w:r>
        <w:rPr>
          <w:rFonts w:ascii="Times New Roman"/>
          <w:szCs w:val="32"/>
        </w:rPr>
        <w:t>钱忠伟(区教育局）</w:t>
      </w:r>
    </w:p>
    <w:p w14:paraId="13E6A6BA">
      <w:pPr>
        <w:pStyle w:val="6"/>
        <w:ind w:firstLine="2560" w:firstLineChars="800"/>
        <w:rPr>
          <w:rFonts w:ascii="Times New Roman"/>
          <w:szCs w:val="32"/>
        </w:rPr>
      </w:pPr>
      <w:r>
        <w:rPr>
          <w:rFonts w:ascii="Times New Roman"/>
          <w:szCs w:val="32"/>
        </w:rPr>
        <w:t>苏  娟(区科技局）</w:t>
      </w:r>
    </w:p>
    <w:p w14:paraId="1296FB6D">
      <w:pPr>
        <w:pStyle w:val="6"/>
        <w:ind w:firstLine="2560" w:firstLineChars="800"/>
        <w:rPr>
          <w:rFonts w:ascii="Times New Roman"/>
          <w:szCs w:val="32"/>
        </w:rPr>
      </w:pPr>
      <w:r>
        <w:rPr>
          <w:rFonts w:ascii="Times New Roman"/>
          <w:szCs w:val="32"/>
        </w:rPr>
        <w:t>叶楚江(区财政局）</w:t>
      </w:r>
    </w:p>
    <w:p w14:paraId="45382D82">
      <w:pPr>
        <w:pStyle w:val="6"/>
        <w:ind w:firstLine="2560" w:firstLineChars="800"/>
        <w:rPr>
          <w:rFonts w:ascii="Times New Roman"/>
          <w:szCs w:val="32"/>
        </w:rPr>
      </w:pPr>
      <w:r>
        <w:rPr>
          <w:rFonts w:ascii="Times New Roman"/>
          <w:szCs w:val="32"/>
        </w:rPr>
        <w:t>陆培红(区人力社保局）</w:t>
      </w:r>
    </w:p>
    <w:p w14:paraId="1736B4D0">
      <w:pPr>
        <w:pStyle w:val="6"/>
        <w:tabs>
          <w:tab w:val="left" w:pos="2667"/>
          <w:tab w:val="left" w:pos="3544"/>
        </w:tabs>
        <w:ind w:firstLine="2560" w:firstLineChars="800"/>
        <w:rPr>
          <w:rFonts w:ascii="Times New Roman"/>
          <w:szCs w:val="32"/>
        </w:rPr>
      </w:pPr>
      <w:r>
        <w:rPr>
          <w:rFonts w:ascii="Times New Roman"/>
          <w:szCs w:val="32"/>
        </w:rPr>
        <w:t>吴利强(区商务局）</w:t>
      </w:r>
    </w:p>
    <w:p w14:paraId="28C34836">
      <w:pPr>
        <w:pStyle w:val="6"/>
        <w:tabs>
          <w:tab w:val="left" w:pos="2667"/>
          <w:tab w:val="left" w:pos="3307"/>
        </w:tabs>
        <w:ind w:firstLine="2560" w:firstLineChars="800"/>
        <w:rPr>
          <w:rFonts w:ascii="Times New Roman"/>
          <w:szCs w:val="32"/>
        </w:rPr>
      </w:pPr>
      <w:r>
        <w:rPr>
          <w:rFonts w:ascii="Times New Roman"/>
          <w:szCs w:val="32"/>
        </w:rPr>
        <w:t>赵永需(区应急管理局）</w:t>
      </w:r>
    </w:p>
    <w:p w14:paraId="66B5FF61">
      <w:pPr>
        <w:pStyle w:val="6"/>
        <w:tabs>
          <w:tab w:val="left" w:pos="3307"/>
        </w:tabs>
        <w:ind w:firstLine="2560" w:firstLineChars="800"/>
        <w:rPr>
          <w:rFonts w:ascii="Times New Roman"/>
          <w:szCs w:val="32"/>
        </w:rPr>
      </w:pPr>
      <w:r>
        <w:rPr>
          <w:rFonts w:ascii="Times New Roman"/>
          <w:szCs w:val="32"/>
        </w:rPr>
        <w:t>沈鸿宾(区税务局）</w:t>
      </w:r>
    </w:p>
    <w:p w14:paraId="6F131C2E">
      <w:pPr>
        <w:pStyle w:val="6"/>
        <w:tabs>
          <w:tab w:val="left" w:pos="3307"/>
        </w:tabs>
        <w:ind w:firstLine="2560" w:firstLineChars="800"/>
        <w:rPr>
          <w:rFonts w:ascii="Times New Roman"/>
          <w:szCs w:val="32"/>
        </w:rPr>
      </w:pPr>
      <w:r>
        <w:rPr>
          <w:rFonts w:ascii="Times New Roman"/>
          <w:szCs w:val="32"/>
        </w:rPr>
        <w:t>朱文伟(区市场监管局）</w:t>
      </w:r>
    </w:p>
    <w:p w14:paraId="4B2CF8C9">
      <w:pPr>
        <w:pStyle w:val="6"/>
        <w:tabs>
          <w:tab w:val="left" w:pos="3307"/>
        </w:tabs>
        <w:ind w:firstLine="2560" w:firstLineChars="800"/>
        <w:rPr>
          <w:rFonts w:ascii="Times New Roman"/>
          <w:szCs w:val="32"/>
        </w:rPr>
      </w:pPr>
      <w:r>
        <w:rPr>
          <w:rFonts w:ascii="Times New Roman"/>
          <w:szCs w:val="32"/>
        </w:rPr>
        <w:t>金中达(区自然资源和规划分局）</w:t>
      </w:r>
    </w:p>
    <w:p w14:paraId="17511C66">
      <w:pPr>
        <w:pStyle w:val="6"/>
        <w:tabs>
          <w:tab w:val="left" w:pos="3307"/>
        </w:tabs>
        <w:ind w:firstLine="2560" w:firstLineChars="800"/>
        <w:rPr>
          <w:rFonts w:ascii="Times New Roman"/>
          <w:szCs w:val="32"/>
        </w:rPr>
      </w:pPr>
      <w:r>
        <w:rPr>
          <w:rFonts w:ascii="Times New Roman"/>
          <w:szCs w:val="32"/>
        </w:rPr>
        <w:t>吴伟中(区生态环境分局）</w:t>
      </w:r>
    </w:p>
    <w:p w14:paraId="1DBB45AE">
      <w:pPr>
        <w:pStyle w:val="6"/>
        <w:tabs>
          <w:tab w:val="left" w:pos="2667"/>
          <w:tab w:val="left" w:pos="3307"/>
        </w:tabs>
        <w:ind w:firstLine="2560" w:firstLineChars="800"/>
        <w:rPr>
          <w:rFonts w:ascii="Times New Roman"/>
          <w:szCs w:val="32"/>
        </w:rPr>
      </w:pPr>
      <w:r>
        <w:rPr>
          <w:rFonts w:ascii="Times New Roman"/>
          <w:szCs w:val="32"/>
        </w:rPr>
        <w:t>忻伟铭(区住建局）</w:t>
      </w:r>
    </w:p>
    <w:p w14:paraId="346CE8C5">
      <w:pPr>
        <w:pStyle w:val="6"/>
        <w:tabs>
          <w:tab w:val="left" w:pos="2667"/>
          <w:tab w:val="left" w:pos="3307"/>
        </w:tabs>
        <w:ind w:firstLine="2560" w:firstLineChars="800"/>
        <w:rPr>
          <w:rFonts w:ascii="Times New Roman"/>
          <w:szCs w:val="32"/>
        </w:rPr>
      </w:pPr>
      <w:r>
        <w:rPr>
          <w:rFonts w:ascii="Times New Roman"/>
          <w:szCs w:val="32"/>
        </w:rPr>
        <w:t>丁海华(区供电分公司）</w:t>
      </w:r>
    </w:p>
    <w:p w14:paraId="512AAF1F">
      <w:pPr>
        <w:pStyle w:val="6"/>
        <w:ind w:firstLine="640" w:firstLineChars="200"/>
        <w:rPr>
          <w:rFonts w:ascii="Times New Roman"/>
          <w:szCs w:val="32"/>
        </w:rPr>
      </w:pPr>
      <w:r>
        <w:rPr>
          <w:rFonts w:ascii="Times New Roman"/>
          <w:szCs w:val="32"/>
        </w:rPr>
        <w:t>专班办公室主任由区发改经信局局长王国华兼任。专班下设6 个工作组，分别是：淘汰落后攻坚组、创新强工攻坚组、招大引强攻坚组、质量提升攻坚组、要素保障组、综合协调组。</w:t>
      </w:r>
    </w:p>
    <w:p w14:paraId="6D8D2521">
      <w:pPr>
        <w:pStyle w:val="6"/>
        <w:ind w:firstLine="640" w:firstLineChars="200"/>
        <w:rPr>
          <w:rFonts w:ascii="Times New Roman"/>
          <w:szCs w:val="32"/>
        </w:rPr>
      </w:pPr>
      <w:r>
        <w:rPr>
          <w:rFonts w:ascii="Times New Roman"/>
        </w:rPr>
        <w:t>(</w:t>
      </w:r>
      <w:r>
        <w:rPr>
          <w:rFonts w:ascii="Times New Roman"/>
          <w:szCs w:val="32"/>
        </w:rPr>
        <w:t>一</w:t>
      </w:r>
      <w:r>
        <w:rPr>
          <w:rFonts w:ascii="Times New Roman"/>
        </w:rPr>
        <w:t>）</w:t>
      </w:r>
      <w:r>
        <w:rPr>
          <w:rFonts w:ascii="Times New Roman"/>
          <w:szCs w:val="32"/>
        </w:rPr>
        <w:t>淘汰落后攻坚组</w:t>
      </w:r>
    </w:p>
    <w:p w14:paraId="5AD66044">
      <w:pPr>
        <w:tabs>
          <w:tab w:val="left" w:pos="1387"/>
        </w:tabs>
        <w:spacing w:line="560" w:lineRule="exact"/>
        <w:ind w:firstLine="643" w:firstLineChars="200"/>
        <w:rPr>
          <w:rFonts w:eastAsia="仿宋_GB2312"/>
          <w:sz w:val="32"/>
          <w:szCs w:val="32"/>
        </w:rPr>
      </w:pPr>
      <w:r>
        <w:rPr>
          <w:rFonts w:eastAsia="仿宋_GB2312"/>
          <w:b/>
          <w:sz w:val="32"/>
          <w:szCs w:val="32"/>
        </w:rPr>
        <w:t>组  长：</w:t>
      </w:r>
      <w:r>
        <w:rPr>
          <w:rFonts w:eastAsia="仿宋_GB2312"/>
          <w:sz w:val="32"/>
          <w:szCs w:val="32"/>
        </w:rPr>
        <w:t>王国华(区发改经信局）</w:t>
      </w:r>
    </w:p>
    <w:p w14:paraId="6D380584">
      <w:pPr>
        <w:tabs>
          <w:tab w:val="left" w:pos="2671"/>
          <w:tab w:val="left" w:pos="3312"/>
        </w:tabs>
        <w:spacing w:line="560" w:lineRule="exact"/>
        <w:ind w:firstLine="643" w:firstLineChars="200"/>
        <w:rPr>
          <w:rFonts w:eastAsia="仿宋_GB2312"/>
          <w:sz w:val="32"/>
          <w:szCs w:val="32"/>
        </w:rPr>
      </w:pPr>
      <w:r>
        <w:rPr>
          <w:rFonts w:eastAsia="仿宋_GB2312"/>
          <w:b/>
          <w:sz w:val="32"/>
          <w:szCs w:val="32"/>
        </w:rPr>
        <w:t>副组长：</w:t>
      </w:r>
      <w:r>
        <w:rPr>
          <w:rFonts w:eastAsia="仿宋_GB2312"/>
          <w:sz w:val="32"/>
          <w:szCs w:val="32"/>
        </w:rPr>
        <w:t>嵇金鑫(区发改经信局）</w:t>
      </w:r>
    </w:p>
    <w:p w14:paraId="1938799D">
      <w:pPr>
        <w:pStyle w:val="14"/>
        <w:ind w:firstLine="1920" w:firstLineChars="600"/>
        <w:jc w:val="both"/>
        <w:rPr>
          <w:rFonts w:eastAsia="仿宋_GB2312"/>
          <w:szCs w:val="32"/>
        </w:rPr>
      </w:pPr>
      <w:r>
        <w:rPr>
          <w:rFonts w:eastAsia="仿宋_GB2312"/>
          <w:szCs w:val="32"/>
        </w:rPr>
        <w:t>曹国良(区发改经信局）</w:t>
      </w:r>
    </w:p>
    <w:p w14:paraId="269E3BCD">
      <w:pPr>
        <w:pStyle w:val="15"/>
        <w:spacing w:line="560" w:lineRule="exact"/>
        <w:ind w:firstLine="1920" w:firstLineChars="600"/>
        <w:rPr>
          <w:rFonts w:ascii="Times New Roman" w:hAnsi="Times New Roman"/>
          <w:sz w:val="32"/>
          <w:szCs w:val="32"/>
        </w:rPr>
      </w:pPr>
      <w:r>
        <w:rPr>
          <w:rFonts w:ascii="Times New Roman" w:hAnsi="Times New Roman" w:eastAsia="仿宋_GB2312"/>
          <w:sz w:val="32"/>
          <w:szCs w:val="32"/>
        </w:rPr>
        <w:t>陶一鑫(区发改经信局）</w:t>
      </w:r>
    </w:p>
    <w:p w14:paraId="1F68F10E">
      <w:pPr>
        <w:pStyle w:val="6"/>
        <w:tabs>
          <w:tab w:val="left" w:pos="3307"/>
        </w:tabs>
        <w:ind w:firstLine="1920" w:firstLineChars="600"/>
        <w:rPr>
          <w:rFonts w:ascii="Times New Roman"/>
          <w:szCs w:val="32"/>
        </w:rPr>
      </w:pPr>
      <w:r>
        <w:rPr>
          <w:rFonts w:ascii="Times New Roman"/>
          <w:szCs w:val="32"/>
        </w:rPr>
        <w:t>吴伟中(区生态环境分局）</w:t>
      </w:r>
    </w:p>
    <w:p w14:paraId="17F467CD">
      <w:pPr>
        <w:pStyle w:val="6"/>
        <w:tabs>
          <w:tab w:val="left" w:pos="2667"/>
          <w:tab w:val="left" w:pos="3307"/>
        </w:tabs>
        <w:ind w:firstLine="1920" w:firstLineChars="600"/>
        <w:rPr>
          <w:rFonts w:ascii="Times New Roman"/>
          <w:szCs w:val="32"/>
        </w:rPr>
      </w:pPr>
      <w:r>
        <w:rPr>
          <w:rFonts w:ascii="Times New Roman"/>
          <w:szCs w:val="32"/>
        </w:rPr>
        <w:t>赵永需(区应急管理局）</w:t>
      </w:r>
    </w:p>
    <w:p w14:paraId="163EE26A">
      <w:pPr>
        <w:tabs>
          <w:tab w:val="left" w:pos="1387"/>
        </w:tabs>
        <w:spacing w:line="560" w:lineRule="exact"/>
        <w:ind w:firstLine="643" w:firstLineChars="200"/>
        <w:rPr>
          <w:rFonts w:eastAsia="仿宋_GB2312"/>
          <w:sz w:val="32"/>
          <w:szCs w:val="32"/>
        </w:rPr>
      </w:pPr>
      <w:r>
        <w:rPr>
          <w:rFonts w:eastAsia="仿宋_GB2312"/>
          <w:b/>
          <w:sz w:val="32"/>
          <w:szCs w:val="32"/>
        </w:rPr>
        <w:t>成  员：</w:t>
      </w:r>
      <w:r>
        <w:rPr>
          <w:rFonts w:eastAsia="仿宋_GB2312"/>
          <w:sz w:val="32"/>
          <w:szCs w:val="32"/>
        </w:rPr>
        <w:t>戚绮霞(区发改经信局工业科）</w:t>
      </w:r>
      <w:r>
        <w:rPr>
          <w:rFonts w:eastAsia="仿宋_GB2312"/>
          <w:b/>
          <w:bCs/>
          <w:sz w:val="32"/>
          <w:szCs w:val="32"/>
        </w:rPr>
        <w:t>(联络员）</w:t>
      </w:r>
    </w:p>
    <w:p w14:paraId="0580C62B">
      <w:pPr>
        <w:tabs>
          <w:tab w:val="left" w:pos="1387"/>
        </w:tabs>
        <w:spacing w:line="560" w:lineRule="exact"/>
        <w:ind w:firstLine="1920" w:firstLineChars="600"/>
        <w:rPr>
          <w:rFonts w:eastAsia="仿宋_GB2312"/>
          <w:sz w:val="32"/>
          <w:szCs w:val="32"/>
        </w:rPr>
      </w:pPr>
      <w:r>
        <w:rPr>
          <w:rFonts w:eastAsia="仿宋_GB2312"/>
          <w:sz w:val="32"/>
          <w:szCs w:val="32"/>
        </w:rPr>
        <w:t>沈婧莹(区发改经信局能源资源科）</w:t>
      </w:r>
    </w:p>
    <w:p w14:paraId="383F01F0">
      <w:pPr>
        <w:pStyle w:val="6"/>
        <w:tabs>
          <w:tab w:val="left" w:pos="3319"/>
        </w:tabs>
        <w:ind w:firstLine="1920" w:firstLineChars="600"/>
        <w:rPr>
          <w:rFonts w:ascii="Times New Roman"/>
          <w:szCs w:val="32"/>
        </w:rPr>
      </w:pPr>
      <w:r>
        <w:rPr>
          <w:rFonts w:ascii="Times New Roman"/>
          <w:szCs w:val="32"/>
        </w:rPr>
        <w:t>丁建魏(区应急管理局执法大队）</w:t>
      </w:r>
    </w:p>
    <w:p w14:paraId="643A355E">
      <w:pPr>
        <w:pStyle w:val="6"/>
        <w:tabs>
          <w:tab w:val="left" w:pos="3319"/>
        </w:tabs>
        <w:ind w:firstLine="1920" w:firstLineChars="600"/>
        <w:rPr>
          <w:rFonts w:ascii="Times New Roman"/>
          <w:szCs w:val="32"/>
        </w:rPr>
      </w:pPr>
      <w:r>
        <w:rPr>
          <w:rFonts w:ascii="Times New Roman"/>
          <w:szCs w:val="32"/>
        </w:rPr>
        <w:t>杨祯宇(区税务局办公室）</w:t>
      </w:r>
    </w:p>
    <w:p w14:paraId="281E478B">
      <w:pPr>
        <w:pStyle w:val="6"/>
        <w:tabs>
          <w:tab w:val="left" w:pos="3307"/>
        </w:tabs>
        <w:ind w:firstLine="1920" w:firstLineChars="600"/>
        <w:rPr>
          <w:rFonts w:ascii="Times New Roman"/>
          <w:szCs w:val="32"/>
        </w:rPr>
      </w:pPr>
      <w:r>
        <w:rPr>
          <w:rFonts w:ascii="Times New Roman"/>
          <w:szCs w:val="32"/>
        </w:rPr>
        <w:t>陈  骞(区市场监管局产品质量安全监督管理科）</w:t>
      </w:r>
    </w:p>
    <w:p w14:paraId="2CAB64A8">
      <w:pPr>
        <w:pStyle w:val="6"/>
        <w:tabs>
          <w:tab w:val="left" w:pos="3307"/>
        </w:tabs>
        <w:ind w:firstLine="1920" w:firstLineChars="600"/>
        <w:rPr>
          <w:rFonts w:ascii="Times New Roman"/>
          <w:szCs w:val="32"/>
        </w:rPr>
      </w:pPr>
      <w:r>
        <w:rPr>
          <w:rFonts w:ascii="Times New Roman"/>
          <w:szCs w:val="32"/>
        </w:rPr>
        <w:t>郑  明(区自然资源和规划分局权益科）</w:t>
      </w:r>
    </w:p>
    <w:p w14:paraId="46414D9C">
      <w:pPr>
        <w:pStyle w:val="6"/>
        <w:tabs>
          <w:tab w:val="left" w:pos="3307"/>
        </w:tabs>
        <w:ind w:firstLine="1920" w:firstLineChars="600"/>
        <w:rPr>
          <w:rFonts w:ascii="Times New Roman"/>
          <w:szCs w:val="32"/>
        </w:rPr>
      </w:pPr>
      <w:r>
        <w:rPr>
          <w:rFonts w:ascii="Times New Roman"/>
          <w:szCs w:val="32"/>
        </w:rPr>
        <w:t>吴  杰(</w:t>
      </w:r>
      <w:r>
        <w:rPr>
          <w:rFonts w:ascii="Times New Roman"/>
          <w:spacing w:val="-20"/>
          <w:szCs w:val="32"/>
        </w:rPr>
        <w:t>区生态环境分局环境影响评价与排放管理科</w:t>
      </w:r>
      <w:r>
        <w:rPr>
          <w:rFonts w:ascii="Times New Roman"/>
          <w:szCs w:val="32"/>
        </w:rPr>
        <w:t>）</w:t>
      </w:r>
    </w:p>
    <w:p w14:paraId="524B2593">
      <w:pPr>
        <w:pStyle w:val="6"/>
        <w:autoSpaceDE w:val="0"/>
        <w:autoSpaceDN w:val="0"/>
        <w:ind w:firstLine="643" w:firstLineChars="200"/>
        <w:rPr>
          <w:rFonts w:ascii="Times New Roman"/>
          <w:szCs w:val="32"/>
        </w:rPr>
      </w:pPr>
      <w:r>
        <w:rPr>
          <w:rFonts w:ascii="Times New Roman"/>
          <w:b/>
          <w:szCs w:val="32"/>
        </w:rPr>
        <w:t>职 责：</w:t>
      </w:r>
      <w:r>
        <w:rPr>
          <w:rFonts w:ascii="Times New Roman"/>
          <w:szCs w:val="32"/>
        </w:rPr>
        <w:t>负责统筹实施淘汰落后攻坚行动，全面排摸高耗低效企业，分年度建立《高耗低效整治企业清单》；开展高耗低效企业合规检查，制定整治提升方案，实施分类整治，坚决淘汰整治高耗低效企业；坚决遏制地方“两高”项目盲目发展，加强项目能效准入标准和审批管理；开展工业低效用地整治，依法处置闲置工业用地，深化推进“标准地”改革，加强工业土地二级市场交易监管；整治提升产业发展平台，推进产业园区和企业有机更新，持续推进开发区(园区）整治提升，建设制造业高质量发展示范园区，推进小微企业园建设。承担专班交办的其他事项。</w:t>
      </w:r>
    </w:p>
    <w:p w14:paraId="27ED5251">
      <w:pPr>
        <w:pStyle w:val="6"/>
        <w:autoSpaceDE w:val="0"/>
        <w:autoSpaceDN w:val="0"/>
        <w:ind w:firstLine="640" w:firstLineChars="200"/>
        <w:rPr>
          <w:rFonts w:ascii="Times New Roman"/>
          <w:szCs w:val="32"/>
        </w:rPr>
      </w:pPr>
      <w:r>
        <w:rPr>
          <w:rFonts w:ascii="Times New Roman"/>
        </w:rPr>
        <w:t>(</w:t>
      </w:r>
      <w:r>
        <w:rPr>
          <w:rFonts w:ascii="Times New Roman"/>
          <w:szCs w:val="32"/>
        </w:rPr>
        <w:t>二</w:t>
      </w:r>
      <w:r>
        <w:rPr>
          <w:rFonts w:ascii="Times New Roman"/>
        </w:rPr>
        <w:t>）</w:t>
      </w:r>
      <w:r>
        <w:rPr>
          <w:rFonts w:ascii="Times New Roman"/>
          <w:szCs w:val="32"/>
        </w:rPr>
        <w:t>创新强工攻坚组</w:t>
      </w:r>
    </w:p>
    <w:p w14:paraId="567BC611">
      <w:pPr>
        <w:tabs>
          <w:tab w:val="left" w:pos="1387"/>
          <w:tab w:val="left" w:pos="3310"/>
        </w:tabs>
        <w:spacing w:line="560" w:lineRule="exact"/>
        <w:ind w:firstLine="643" w:firstLineChars="200"/>
        <w:rPr>
          <w:rFonts w:eastAsia="仿宋_GB2312"/>
          <w:sz w:val="32"/>
          <w:szCs w:val="32"/>
        </w:rPr>
      </w:pPr>
      <w:r>
        <w:rPr>
          <w:rFonts w:eastAsia="仿宋_GB2312"/>
          <w:b/>
          <w:sz w:val="32"/>
          <w:szCs w:val="32"/>
        </w:rPr>
        <w:t>组  长：</w:t>
      </w:r>
      <w:r>
        <w:rPr>
          <w:rFonts w:eastAsia="仿宋_GB2312"/>
          <w:sz w:val="32"/>
          <w:szCs w:val="32"/>
        </w:rPr>
        <w:t>唐伟杰 (区科技局）</w:t>
      </w:r>
    </w:p>
    <w:p w14:paraId="656A4F71">
      <w:pPr>
        <w:tabs>
          <w:tab w:val="left" w:pos="3312"/>
        </w:tabs>
        <w:spacing w:line="560" w:lineRule="exact"/>
        <w:ind w:firstLine="643" w:firstLineChars="200"/>
        <w:rPr>
          <w:rFonts w:eastAsia="仿宋_GB2312"/>
          <w:sz w:val="32"/>
          <w:szCs w:val="32"/>
        </w:rPr>
      </w:pPr>
      <w:r>
        <w:rPr>
          <w:rFonts w:eastAsia="仿宋_GB2312"/>
          <w:b/>
          <w:sz w:val="32"/>
          <w:szCs w:val="32"/>
        </w:rPr>
        <w:t>副组长：</w:t>
      </w:r>
      <w:r>
        <w:rPr>
          <w:rFonts w:eastAsia="仿宋_GB2312"/>
          <w:sz w:val="32"/>
          <w:szCs w:val="32"/>
        </w:rPr>
        <w:t>苏  娟 (区科技局）</w:t>
      </w:r>
    </w:p>
    <w:p w14:paraId="3A769704">
      <w:pPr>
        <w:tabs>
          <w:tab w:val="left" w:pos="3312"/>
        </w:tabs>
        <w:spacing w:line="560" w:lineRule="exact"/>
        <w:ind w:firstLine="640" w:firstLineChars="200"/>
        <w:rPr>
          <w:rFonts w:eastAsia="仿宋_GB2312"/>
          <w:sz w:val="32"/>
          <w:szCs w:val="32"/>
        </w:rPr>
      </w:pPr>
      <w:r>
        <w:rPr>
          <w:rFonts w:eastAsia="仿宋_GB2312"/>
          <w:sz w:val="32"/>
          <w:szCs w:val="32"/>
        </w:rPr>
        <w:t xml:space="preserve">        嵇金鑫 (区发改经信局）</w:t>
      </w:r>
    </w:p>
    <w:p w14:paraId="728C3CAE">
      <w:pPr>
        <w:tabs>
          <w:tab w:val="left" w:pos="3312"/>
        </w:tabs>
        <w:spacing w:line="560" w:lineRule="exact"/>
        <w:ind w:firstLine="643" w:firstLineChars="200"/>
        <w:rPr>
          <w:rFonts w:eastAsia="仿宋_GB2312"/>
          <w:sz w:val="32"/>
          <w:szCs w:val="32"/>
        </w:rPr>
      </w:pPr>
      <w:r>
        <w:rPr>
          <w:rFonts w:eastAsia="仿宋_GB2312"/>
          <w:b/>
          <w:sz w:val="32"/>
          <w:szCs w:val="32"/>
        </w:rPr>
        <w:t>成  员：</w:t>
      </w:r>
      <w:r>
        <w:rPr>
          <w:rFonts w:eastAsia="仿宋_GB2312"/>
          <w:sz w:val="32"/>
          <w:szCs w:val="32"/>
        </w:rPr>
        <w:t>梁海红 (区科技局产业发展科）</w:t>
      </w:r>
    </w:p>
    <w:p w14:paraId="0900E350">
      <w:pPr>
        <w:tabs>
          <w:tab w:val="left" w:pos="3312"/>
        </w:tabs>
        <w:spacing w:line="560" w:lineRule="exact"/>
        <w:ind w:firstLine="640" w:firstLineChars="200"/>
        <w:rPr>
          <w:rFonts w:eastAsia="仿宋_GB2312"/>
          <w:sz w:val="32"/>
          <w:szCs w:val="32"/>
        </w:rPr>
      </w:pPr>
      <w:r>
        <w:rPr>
          <w:rFonts w:eastAsia="仿宋_GB2312"/>
          <w:sz w:val="32"/>
          <w:szCs w:val="32"/>
        </w:rPr>
        <w:t xml:space="preserve">        沈  彬 (区发改经信局国民经济综合体改科）</w:t>
      </w:r>
    </w:p>
    <w:p w14:paraId="021D3089">
      <w:pPr>
        <w:tabs>
          <w:tab w:val="left" w:pos="3312"/>
        </w:tabs>
        <w:spacing w:line="560" w:lineRule="exact"/>
        <w:ind w:firstLine="640" w:firstLineChars="200"/>
        <w:rPr>
          <w:rFonts w:eastAsia="仿宋_GB2312"/>
          <w:sz w:val="32"/>
          <w:szCs w:val="32"/>
        </w:rPr>
      </w:pPr>
      <w:r>
        <w:rPr>
          <w:rFonts w:eastAsia="仿宋_GB2312"/>
          <w:sz w:val="32"/>
          <w:szCs w:val="32"/>
        </w:rPr>
        <w:t xml:space="preserve">        陈  力 (区发改经信局投资科）</w:t>
      </w:r>
    </w:p>
    <w:p w14:paraId="34DB9B49">
      <w:pPr>
        <w:tabs>
          <w:tab w:val="left" w:pos="3312"/>
        </w:tabs>
        <w:spacing w:line="560" w:lineRule="exact"/>
        <w:ind w:firstLine="640" w:firstLineChars="200"/>
        <w:rPr>
          <w:rFonts w:eastAsia="仿宋_GB2312"/>
          <w:sz w:val="32"/>
          <w:szCs w:val="32"/>
        </w:rPr>
      </w:pPr>
      <w:r>
        <w:rPr>
          <w:rFonts w:eastAsia="仿宋_GB2312"/>
          <w:sz w:val="32"/>
          <w:szCs w:val="32"/>
        </w:rPr>
        <w:t xml:space="preserve">        戚绮霞 (区发改经信局工业科）</w:t>
      </w:r>
    </w:p>
    <w:p w14:paraId="67E11D1B">
      <w:pPr>
        <w:tabs>
          <w:tab w:val="left" w:pos="3312"/>
        </w:tabs>
        <w:spacing w:line="560" w:lineRule="exact"/>
        <w:ind w:firstLine="640" w:firstLineChars="200"/>
        <w:rPr>
          <w:rFonts w:eastAsia="仿宋_GB2312"/>
          <w:sz w:val="32"/>
          <w:szCs w:val="32"/>
        </w:rPr>
      </w:pPr>
      <w:r>
        <w:rPr>
          <w:rFonts w:eastAsia="仿宋_GB2312"/>
          <w:sz w:val="32"/>
          <w:szCs w:val="32"/>
        </w:rPr>
        <w:t xml:space="preserve">        郑织璠 (区发改经信局金融发展科）</w:t>
      </w:r>
    </w:p>
    <w:p w14:paraId="422680A1">
      <w:pPr>
        <w:tabs>
          <w:tab w:val="left" w:pos="3312"/>
        </w:tabs>
        <w:spacing w:line="560" w:lineRule="exact"/>
        <w:ind w:firstLine="640" w:firstLineChars="200"/>
        <w:rPr>
          <w:rFonts w:eastAsia="仿宋_GB2312"/>
          <w:b/>
          <w:sz w:val="32"/>
          <w:szCs w:val="32"/>
        </w:rPr>
      </w:pPr>
      <w:r>
        <w:rPr>
          <w:rFonts w:eastAsia="仿宋_GB2312"/>
          <w:sz w:val="32"/>
          <w:szCs w:val="32"/>
        </w:rPr>
        <w:t xml:space="preserve">        蔡成栋 (区科技局产业发展科）</w:t>
      </w:r>
      <w:r>
        <w:rPr>
          <w:rFonts w:eastAsia="仿宋_GB2312"/>
          <w:b/>
          <w:bCs/>
          <w:sz w:val="32"/>
          <w:szCs w:val="32"/>
        </w:rPr>
        <w:t>(联络员）</w:t>
      </w:r>
    </w:p>
    <w:p w14:paraId="5A2188F0">
      <w:pPr>
        <w:pStyle w:val="6"/>
        <w:tabs>
          <w:tab w:val="left" w:pos="1399"/>
        </w:tabs>
        <w:ind w:firstLine="643" w:firstLineChars="200"/>
        <w:rPr>
          <w:rFonts w:ascii="Times New Roman"/>
          <w:szCs w:val="32"/>
        </w:rPr>
      </w:pPr>
      <w:r>
        <w:rPr>
          <w:rFonts w:ascii="Times New Roman"/>
          <w:b/>
          <w:szCs w:val="32"/>
        </w:rPr>
        <w:t>职  责：</w:t>
      </w:r>
      <w:r>
        <w:rPr>
          <w:rFonts w:ascii="Times New Roman"/>
          <w:szCs w:val="32"/>
        </w:rPr>
        <w:t>负责统筹实施创新强工攻坚行动，推进科技创新和产业提升双联动，全面对接省“尖峰、尖兵、领雁、领航”攻关计划，支持企业实施各级、各类科技计划项目，加强关键核心技术攻坚；实施产业链协同创新工程、首台套提升工程，建设科技成果转化平台，加快推进使用网上技术交易市场3.0，加速重大科技成果产业化；加快构建高能级科创平台体系，加快推动西塞科学谷、阳山时尚谷、太湖实验室等创新策源地建设，新建一批新型研发机构等研发平台。动态培育高成长企业，培育单项冠军企业、专精特新“小巨人”企业等，做专做精制造业创新主体；加强“链主”企业培育，建设产业链上下游企业共同体，加快构建产业链创新链生态圈。承担专班交办的其他事项。</w:t>
      </w:r>
    </w:p>
    <w:p w14:paraId="538F40F8">
      <w:pPr>
        <w:pStyle w:val="6"/>
        <w:tabs>
          <w:tab w:val="left" w:pos="1399"/>
        </w:tabs>
        <w:ind w:firstLine="640" w:firstLineChars="200"/>
        <w:rPr>
          <w:rFonts w:ascii="Times New Roman"/>
          <w:szCs w:val="32"/>
        </w:rPr>
      </w:pPr>
      <w:r>
        <w:rPr>
          <w:rFonts w:ascii="Times New Roman"/>
        </w:rPr>
        <w:t>(</w:t>
      </w:r>
      <w:r>
        <w:rPr>
          <w:rFonts w:ascii="Times New Roman"/>
          <w:szCs w:val="32"/>
        </w:rPr>
        <w:t>三</w:t>
      </w:r>
      <w:r>
        <w:rPr>
          <w:rFonts w:ascii="Times New Roman"/>
        </w:rPr>
        <w:t>）</w:t>
      </w:r>
      <w:r>
        <w:rPr>
          <w:rFonts w:ascii="Times New Roman"/>
          <w:szCs w:val="32"/>
        </w:rPr>
        <w:t>招大引强攻坚组</w:t>
      </w:r>
    </w:p>
    <w:p w14:paraId="39BC4582">
      <w:pPr>
        <w:tabs>
          <w:tab w:val="left" w:pos="1387"/>
          <w:tab w:val="left" w:pos="3310"/>
        </w:tabs>
        <w:spacing w:line="560" w:lineRule="exact"/>
        <w:ind w:firstLine="643" w:firstLineChars="200"/>
        <w:rPr>
          <w:rFonts w:eastAsia="仿宋_GB2312"/>
          <w:sz w:val="32"/>
          <w:szCs w:val="32"/>
        </w:rPr>
      </w:pPr>
      <w:r>
        <w:rPr>
          <w:rFonts w:eastAsia="仿宋_GB2312"/>
          <w:b/>
          <w:sz w:val="32"/>
          <w:szCs w:val="32"/>
        </w:rPr>
        <w:t>组  长：</w:t>
      </w:r>
      <w:r>
        <w:rPr>
          <w:rFonts w:eastAsia="仿宋_GB2312"/>
          <w:sz w:val="32"/>
          <w:szCs w:val="32"/>
        </w:rPr>
        <w:t>朱江政(区商务局）</w:t>
      </w:r>
    </w:p>
    <w:p w14:paraId="06C356C9">
      <w:pPr>
        <w:tabs>
          <w:tab w:val="left" w:pos="3312"/>
        </w:tabs>
        <w:spacing w:line="560" w:lineRule="exact"/>
        <w:ind w:firstLine="643" w:firstLineChars="200"/>
        <w:rPr>
          <w:rFonts w:eastAsia="仿宋_GB2312"/>
          <w:sz w:val="32"/>
          <w:szCs w:val="32"/>
        </w:rPr>
      </w:pPr>
      <w:r>
        <w:rPr>
          <w:rFonts w:eastAsia="仿宋_GB2312"/>
          <w:b/>
          <w:sz w:val="32"/>
          <w:szCs w:val="32"/>
        </w:rPr>
        <w:t>副组长：</w:t>
      </w:r>
      <w:r>
        <w:rPr>
          <w:rFonts w:eastAsia="仿宋_GB2312"/>
          <w:sz w:val="32"/>
          <w:szCs w:val="32"/>
        </w:rPr>
        <w:t>吴利强(区商务局）</w:t>
      </w:r>
    </w:p>
    <w:p w14:paraId="0EE5063C">
      <w:pPr>
        <w:spacing w:line="560" w:lineRule="exact"/>
        <w:ind w:firstLine="643" w:firstLineChars="200"/>
        <w:rPr>
          <w:rFonts w:eastAsia="仿宋_GB2312"/>
          <w:sz w:val="32"/>
          <w:szCs w:val="32"/>
        </w:rPr>
      </w:pPr>
      <w:r>
        <w:rPr>
          <w:rFonts w:eastAsia="仿宋_GB2312"/>
          <w:b/>
          <w:sz w:val="32"/>
          <w:szCs w:val="32"/>
        </w:rPr>
        <w:t>成  员：</w:t>
      </w:r>
      <w:r>
        <w:rPr>
          <w:rFonts w:eastAsia="仿宋_GB2312"/>
          <w:sz w:val="32"/>
          <w:szCs w:val="32"/>
        </w:rPr>
        <w:t>陈  力(区发改经信局投资科）</w:t>
      </w:r>
    </w:p>
    <w:p w14:paraId="032CDB88">
      <w:pPr>
        <w:spacing w:line="560" w:lineRule="exact"/>
        <w:ind w:firstLine="640" w:firstLineChars="200"/>
        <w:rPr>
          <w:rFonts w:eastAsia="仿宋_GB2312"/>
          <w:sz w:val="32"/>
          <w:szCs w:val="32"/>
        </w:rPr>
      </w:pPr>
      <w:r>
        <w:rPr>
          <w:rFonts w:eastAsia="仿宋_GB2312"/>
          <w:sz w:val="32"/>
          <w:szCs w:val="32"/>
        </w:rPr>
        <w:t xml:space="preserve">        戚绮霞(区发改经信局工业科）</w:t>
      </w:r>
    </w:p>
    <w:p w14:paraId="6AEE9891">
      <w:pPr>
        <w:spacing w:line="560" w:lineRule="exact"/>
        <w:ind w:firstLine="1920" w:firstLineChars="600"/>
        <w:rPr>
          <w:rFonts w:eastAsia="仿宋_GB2312"/>
          <w:sz w:val="32"/>
          <w:szCs w:val="32"/>
        </w:rPr>
      </w:pPr>
      <w:r>
        <w:rPr>
          <w:rFonts w:eastAsia="仿宋_GB2312"/>
          <w:sz w:val="32"/>
          <w:szCs w:val="32"/>
        </w:rPr>
        <w:t>张国伟(区建设局建设管理科）</w:t>
      </w:r>
    </w:p>
    <w:p w14:paraId="5E5FDA4D">
      <w:pPr>
        <w:spacing w:line="560" w:lineRule="exact"/>
        <w:ind w:firstLine="1920" w:firstLineChars="600"/>
        <w:rPr>
          <w:rFonts w:eastAsia="仿宋_GB2312"/>
          <w:sz w:val="32"/>
          <w:szCs w:val="32"/>
        </w:rPr>
      </w:pPr>
      <w:r>
        <w:rPr>
          <w:rFonts w:eastAsia="仿宋_GB2312"/>
          <w:sz w:val="32"/>
          <w:szCs w:val="32"/>
        </w:rPr>
        <w:t>汤晋江 (区商务局商务综合服务中心）</w:t>
      </w:r>
      <w:r>
        <w:rPr>
          <w:rFonts w:eastAsia="仿宋_GB2312"/>
          <w:b/>
          <w:bCs/>
          <w:sz w:val="32"/>
          <w:szCs w:val="32"/>
        </w:rPr>
        <w:t>(联络员）</w:t>
      </w:r>
    </w:p>
    <w:p w14:paraId="1E46B4D6">
      <w:pPr>
        <w:spacing w:line="560" w:lineRule="exact"/>
        <w:ind w:firstLine="1920" w:firstLineChars="600"/>
        <w:rPr>
          <w:rFonts w:eastAsia="仿宋_GB2312"/>
          <w:sz w:val="32"/>
          <w:szCs w:val="32"/>
        </w:rPr>
      </w:pPr>
      <w:r>
        <w:rPr>
          <w:rFonts w:eastAsia="仿宋_GB2312"/>
          <w:sz w:val="32"/>
          <w:szCs w:val="32"/>
        </w:rPr>
        <w:t>江  敏 (区商务局外资外包科）</w:t>
      </w:r>
    </w:p>
    <w:p w14:paraId="199428B2">
      <w:pPr>
        <w:spacing w:line="560" w:lineRule="exact"/>
        <w:ind w:firstLine="1920" w:firstLineChars="600"/>
        <w:rPr>
          <w:rFonts w:eastAsia="仿宋_GB2312"/>
          <w:sz w:val="32"/>
          <w:szCs w:val="32"/>
        </w:rPr>
      </w:pPr>
      <w:r>
        <w:rPr>
          <w:rFonts w:eastAsia="仿宋_GB2312"/>
          <w:sz w:val="32"/>
          <w:szCs w:val="32"/>
        </w:rPr>
        <w:t>郑  明 (</w:t>
      </w:r>
      <w:r>
        <w:rPr>
          <w:rFonts w:eastAsia="仿宋_GB2312"/>
          <w:spacing w:val="-28"/>
          <w:sz w:val="32"/>
          <w:szCs w:val="32"/>
        </w:rPr>
        <w:t>区自然资源和规划分局自然资源所有者权益科</w:t>
      </w:r>
      <w:r>
        <w:rPr>
          <w:rFonts w:eastAsia="仿宋_GB2312"/>
          <w:sz w:val="32"/>
          <w:szCs w:val="32"/>
        </w:rPr>
        <w:t>）</w:t>
      </w:r>
    </w:p>
    <w:p w14:paraId="63E9FBEB">
      <w:pPr>
        <w:spacing w:line="560" w:lineRule="exact"/>
        <w:ind w:firstLine="1920" w:firstLineChars="600"/>
        <w:rPr>
          <w:rFonts w:eastAsia="仿宋_GB2312"/>
          <w:sz w:val="32"/>
          <w:szCs w:val="32"/>
        </w:rPr>
      </w:pPr>
      <w:r>
        <w:rPr>
          <w:rFonts w:eastAsia="仿宋_GB2312"/>
          <w:sz w:val="32"/>
          <w:szCs w:val="32"/>
        </w:rPr>
        <w:t>施  诗 (</w:t>
      </w:r>
      <w:r>
        <w:rPr>
          <w:rFonts w:eastAsia="仿宋_GB2312"/>
          <w:spacing w:val="-20"/>
          <w:sz w:val="32"/>
          <w:szCs w:val="32"/>
        </w:rPr>
        <w:t>区生态环境分局环境影响评价与排放管理科</w:t>
      </w:r>
      <w:r>
        <w:rPr>
          <w:rFonts w:eastAsia="仿宋_GB2312"/>
          <w:sz w:val="32"/>
          <w:szCs w:val="32"/>
        </w:rPr>
        <w:t>）</w:t>
      </w:r>
    </w:p>
    <w:p w14:paraId="22725C9C">
      <w:pPr>
        <w:pStyle w:val="6"/>
        <w:tabs>
          <w:tab w:val="left" w:pos="1399"/>
        </w:tabs>
        <w:ind w:firstLine="643" w:firstLineChars="200"/>
        <w:rPr>
          <w:rFonts w:ascii="Times New Roman"/>
          <w:szCs w:val="32"/>
        </w:rPr>
      </w:pPr>
      <w:r>
        <w:rPr>
          <w:rFonts w:ascii="Times New Roman"/>
          <w:b/>
          <w:szCs w:val="32"/>
        </w:rPr>
        <w:t>职</w:t>
      </w:r>
      <w:r>
        <w:rPr>
          <w:rFonts w:ascii="Times New Roman"/>
          <w:b/>
          <w:szCs w:val="32"/>
        </w:rPr>
        <w:tab/>
      </w:r>
      <w:r>
        <w:rPr>
          <w:rFonts w:ascii="Times New Roman"/>
          <w:b/>
          <w:szCs w:val="32"/>
        </w:rPr>
        <w:t>责：</w:t>
      </w:r>
      <w:r>
        <w:rPr>
          <w:rFonts w:ascii="Times New Roman"/>
          <w:szCs w:val="32"/>
        </w:rPr>
        <w:t>负责统筹实施招大引强攻坚行动，落实区重大项目招大引强工作机制，坚持项目招引“量质并举，以质为重”的总思路，聚焦制造业高质量发展，“优化”两大传统产业、“壮大”四大主导产业，加强新兴产业重大制造业项目招引。瞄准百亿级项目、世界500强项目、上市公司总部项目、围绕“赛马机制”招引重点项目。加快吴兴经济开发区、中韩国际产业合作园建设。围绕“三单六库”机制开展项目全生命周期管理工作，加强招引落地项目跟踪管理。承担专班交办的其他事项。</w:t>
      </w:r>
    </w:p>
    <w:p w14:paraId="18579847">
      <w:pPr>
        <w:pStyle w:val="6"/>
        <w:tabs>
          <w:tab w:val="left" w:pos="1399"/>
        </w:tabs>
        <w:ind w:firstLine="640" w:firstLineChars="200"/>
        <w:rPr>
          <w:rFonts w:ascii="Times New Roman"/>
          <w:szCs w:val="32"/>
        </w:rPr>
      </w:pPr>
      <w:r>
        <w:rPr>
          <w:rFonts w:ascii="Times New Roman"/>
        </w:rPr>
        <w:t>(</w:t>
      </w:r>
      <w:r>
        <w:rPr>
          <w:rFonts w:ascii="Times New Roman"/>
          <w:szCs w:val="32"/>
        </w:rPr>
        <w:t>四</w:t>
      </w:r>
      <w:r>
        <w:rPr>
          <w:rFonts w:ascii="Times New Roman"/>
        </w:rPr>
        <w:t>）</w:t>
      </w:r>
      <w:r>
        <w:rPr>
          <w:rFonts w:ascii="Times New Roman"/>
          <w:szCs w:val="32"/>
        </w:rPr>
        <w:t>质量提升攻坚组</w:t>
      </w:r>
    </w:p>
    <w:p w14:paraId="737999D5">
      <w:pPr>
        <w:tabs>
          <w:tab w:val="left" w:pos="1387"/>
          <w:tab w:val="left" w:pos="3009"/>
        </w:tabs>
        <w:spacing w:line="560" w:lineRule="exact"/>
        <w:ind w:firstLine="643" w:firstLineChars="200"/>
        <w:rPr>
          <w:rFonts w:eastAsia="仿宋_GB2312"/>
          <w:sz w:val="32"/>
          <w:szCs w:val="32"/>
        </w:rPr>
      </w:pPr>
      <w:r>
        <w:rPr>
          <w:rFonts w:eastAsia="仿宋_GB2312"/>
          <w:b/>
          <w:sz w:val="32"/>
          <w:szCs w:val="32"/>
        </w:rPr>
        <w:t>组  长：</w:t>
      </w:r>
      <w:r>
        <w:rPr>
          <w:rFonts w:eastAsia="仿宋_GB2312"/>
          <w:sz w:val="32"/>
          <w:szCs w:val="32"/>
        </w:rPr>
        <w:t>王道文(区市场监管局）</w:t>
      </w:r>
    </w:p>
    <w:p w14:paraId="1B0F6982">
      <w:pPr>
        <w:tabs>
          <w:tab w:val="left" w:pos="3009"/>
        </w:tabs>
        <w:spacing w:line="560" w:lineRule="exact"/>
        <w:ind w:firstLine="643" w:firstLineChars="200"/>
        <w:rPr>
          <w:rFonts w:eastAsia="仿宋_GB2312"/>
          <w:sz w:val="32"/>
          <w:szCs w:val="32"/>
        </w:rPr>
      </w:pPr>
      <w:r>
        <w:rPr>
          <w:rFonts w:eastAsia="仿宋_GB2312"/>
          <w:b/>
          <w:sz w:val="32"/>
          <w:szCs w:val="32"/>
        </w:rPr>
        <w:t>副组长：</w:t>
      </w:r>
      <w:r>
        <w:rPr>
          <w:rFonts w:eastAsia="仿宋_GB2312"/>
          <w:sz w:val="32"/>
          <w:szCs w:val="32"/>
        </w:rPr>
        <w:t>朱文伟(区市场监管局）</w:t>
      </w:r>
    </w:p>
    <w:p w14:paraId="394F4DB5">
      <w:pPr>
        <w:tabs>
          <w:tab w:val="left" w:pos="3312"/>
        </w:tabs>
        <w:spacing w:line="560" w:lineRule="exact"/>
        <w:ind w:firstLine="640" w:firstLineChars="200"/>
        <w:rPr>
          <w:rFonts w:eastAsia="仿宋_GB2312"/>
          <w:sz w:val="32"/>
          <w:szCs w:val="32"/>
        </w:rPr>
      </w:pPr>
      <w:r>
        <w:rPr>
          <w:rFonts w:eastAsia="仿宋_GB2312"/>
          <w:sz w:val="32"/>
          <w:szCs w:val="32"/>
        </w:rPr>
        <w:t xml:space="preserve">        周洪伟(区发改经信局）</w:t>
      </w:r>
    </w:p>
    <w:p w14:paraId="3264FC69">
      <w:pPr>
        <w:spacing w:line="560" w:lineRule="exact"/>
        <w:ind w:firstLine="643" w:firstLineChars="200"/>
        <w:rPr>
          <w:rFonts w:eastAsia="仿宋_GB2312"/>
          <w:w w:val="90"/>
          <w:sz w:val="32"/>
          <w:szCs w:val="32"/>
        </w:rPr>
      </w:pPr>
      <w:r>
        <w:rPr>
          <w:rFonts w:eastAsia="仿宋_GB2312"/>
          <w:b/>
          <w:sz w:val="32"/>
          <w:szCs w:val="32"/>
        </w:rPr>
        <w:t xml:space="preserve">成 员： </w:t>
      </w:r>
      <w:r>
        <w:rPr>
          <w:rFonts w:eastAsia="仿宋_GB2312"/>
          <w:sz w:val="32"/>
          <w:szCs w:val="32"/>
        </w:rPr>
        <w:t>温作垒</w:t>
      </w:r>
      <w:r>
        <w:rPr>
          <w:rFonts w:eastAsia="仿宋_GB2312"/>
          <w:spacing w:val="-20"/>
          <w:sz w:val="32"/>
          <w:szCs w:val="32"/>
        </w:rPr>
        <w:t>(区市场监管局质量与标准计量科）</w:t>
      </w:r>
      <w:r>
        <w:rPr>
          <w:rFonts w:eastAsia="仿宋_GB2312"/>
          <w:b/>
          <w:bCs/>
          <w:w w:val="90"/>
          <w:sz w:val="32"/>
          <w:szCs w:val="32"/>
        </w:rPr>
        <w:t>(联络员）</w:t>
      </w:r>
    </w:p>
    <w:p w14:paraId="673411F2">
      <w:pPr>
        <w:spacing w:line="560" w:lineRule="exact"/>
        <w:ind w:firstLine="640" w:firstLineChars="200"/>
        <w:rPr>
          <w:rFonts w:eastAsia="仿宋_GB2312"/>
          <w:sz w:val="32"/>
          <w:szCs w:val="32"/>
        </w:rPr>
      </w:pPr>
      <w:r>
        <w:rPr>
          <w:rFonts w:eastAsia="仿宋_GB2312"/>
          <w:sz w:val="32"/>
          <w:szCs w:val="32"/>
        </w:rPr>
        <w:t xml:space="preserve">        陈  力(区发改经信局投资科）</w:t>
      </w:r>
    </w:p>
    <w:p w14:paraId="53A16DE5">
      <w:pPr>
        <w:spacing w:line="560" w:lineRule="exact"/>
        <w:ind w:firstLine="640" w:firstLineChars="200"/>
        <w:rPr>
          <w:rFonts w:eastAsia="仿宋_GB2312"/>
          <w:sz w:val="32"/>
          <w:szCs w:val="32"/>
        </w:rPr>
      </w:pPr>
      <w:r>
        <w:rPr>
          <w:rFonts w:eastAsia="仿宋_GB2312"/>
          <w:sz w:val="32"/>
          <w:szCs w:val="32"/>
        </w:rPr>
        <w:t xml:space="preserve">        戚绮霞(区发改经信局工业科）</w:t>
      </w:r>
    </w:p>
    <w:p w14:paraId="7301C321">
      <w:pPr>
        <w:spacing w:line="560" w:lineRule="exact"/>
        <w:ind w:firstLine="1920" w:firstLineChars="600"/>
        <w:rPr>
          <w:rFonts w:eastAsia="仿宋_GB2312"/>
          <w:sz w:val="32"/>
          <w:szCs w:val="32"/>
        </w:rPr>
      </w:pPr>
      <w:r>
        <w:rPr>
          <w:rFonts w:eastAsia="仿宋_GB2312"/>
          <w:sz w:val="32"/>
          <w:szCs w:val="32"/>
        </w:rPr>
        <w:t>吕  慧(区商务局外贸外经科）</w:t>
      </w:r>
    </w:p>
    <w:p w14:paraId="25A7BA22">
      <w:pPr>
        <w:pStyle w:val="6"/>
        <w:tabs>
          <w:tab w:val="left" w:pos="1399"/>
        </w:tabs>
        <w:ind w:firstLine="643" w:firstLineChars="200"/>
        <w:rPr>
          <w:rFonts w:ascii="Times New Roman"/>
          <w:szCs w:val="32"/>
        </w:rPr>
      </w:pPr>
      <w:r>
        <w:rPr>
          <w:rFonts w:ascii="Times New Roman"/>
          <w:b/>
          <w:szCs w:val="32"/>
        </w:rPr>
        <w:t>职</w:t>
      </w:r>
      <w:r>
        <w:rPr>
          <w:rFonts w:ascii="Times New Roman"/>
          <w:b/>
          <w:szCs w:val="32"/>
        </w:rPr>
        <w:tab/>
      </w:r>
      <w:r>
        <w:rPr>
          <w:rFonts w:ascii="Times New Roman"/>
          <w:b/>
          <w:szCs w:val="32"/>
        </w:rPr>
        <w:t>责：</w:t>
      </w:r>
      <w:r>
        <w:rPr>
          <w:rFonts w:ascii="Times New Roman"/>
          <w:szCs w:val="32"/>
        </w:rPr>
        <w:t>负责统筹实施质量提升攻坚行动。深入推进制造业质量革命，提升制造业标准化水平，推动质量强业质量强企建设，加强质量基础设施建设。大力培育信息工程服务机构，全面实施企业数字化技术改造。加快制造业设计能力提升，推进服务型制造工程，加快制造业产品升级换代；实施品牌竞争力提升工程，培育“品字标”品牌企业，推广“浙江制造精品”，推进制造业品牌建设。推进“浙货行天下”工程，加快内外销产品“同线同标同质”，培育“浙江出口名牌”。深化知识产权保护“一件事”集成改革，强化知识产权全链条保护。承担专班交办的其他事项。</w:t>
      </w:r>
    </w:p>
    <w:p w14:paraId="2E9C689E">
      <w:pPr>
        <w:pStyle w:val="6"/>
        <w:tabs>
          <w:tab w:val="left" w:pos="1399"/>
        </w:tabs>
        <w:ind w:firstLine="640" w:firstLineChars="200"/>
        <w:rPr>
          <w:rFonts w:ascii="Times New Roman"/>
          <w:szCs w:val="32"/>
        </w:rPr>
      </w:pPr>
      <w:r>
        <w:rPr>
          <w:rFonts w:ascii="Times New Roman"/>
        </w:rPr>
        <w:t>(</w:t>
      </w:r>
      <w:r>
        <w:rPr>
          <w:rFonts w:ascii="Times New Roman"/>
          <w:szCs w:val="32"/>
        </w:rPr>
        <w:t>五</w:t>
      </w:r>
      <w:r>
        <w:rPr>
          <w:rFonts w:ascii="Times New Roman"/>
        </w:rPr>
        <w:t>）</w:t>
      </w:r>
      <w:r>
        <w:rPr>
          <w:rFonts w:ascii="Times New Roman"/>
          <w:szCs w:val="32"/>
        </w:rPr>
        <w:t>要素保障组</w:t>
      </w:r>
    </w:p>
    <w:p w14:paraId="41664D11">
      <w:pPr>
        <w:tabs>
          <w:tab w:val="left" w:pos="1387"/>
          <w:tab w:val="left" w:pos="3009"/>
        </w:tabs>
        <w:spacing w:line="560" w:lineRule="exact"/>
        <w:ind w:firstLine="643" w:firstLineChars="200"/>
        <w:rPr>
          <w:rFonts w:eastAsia="仿宋_GB2312"/>
          <w:sz w:val="32"/>
          <w:szCs w:val="32"/>
        </w:rPr>
      </w:pPr>
      <w:r>
        <w:rPr>
          <w:rFonts w:eastAsia="仿宋_GB2312"/>
          <w:b/>
          <w:sz w:val="32"/>
          <w:szCs w:val="32"/>
        </w:rPr>
        <w:t>组  长：</w:t>
      </w:r>
      <w:r>
        <w:rPr>
          <w:rFonts w:eastAsia="仿宋_GB2312"/>
          <w:sz w:val="32"/>
          <w:szCs w:val="32"/>
        </w:rPr>
        <w:t>王国华(区发改经信局）</w:t>
      </w:r>
    </w:p>
    <w:p w14:paraId="0CA74C96">
      <w:pPr>
        <w:tabs>
          <w:tab w:val="left" w:pos="3009"/>
        </w:tabs>
        <w:spacing w:line="560" w:lineRule="exact"/>
        <w:ind w:firstLine="643" w:firstLineChars="200"/>
        <w:rPr>
          <w:rFonts w:eastAsia="仿宋_GB2312"/>
          <w:sz w:val="32"/>
          <w:szCs w:val="32"/>
        </w:rPr>
      </w:pPr>
      <w:r>
        <w:rPr>
          <w:rFonts w:eastAsia="仿宋_GB2312"/>
          <w:b/>
          <w:sz w:val="32"/>
          <w:szCs w:val="32"/>
        </w:rPr>
        <w:t>副组长：</w:t>
      </w:r>
      <w:r>
        <w:rPr>
          <w:rFonts w:eastAsia="仿宋_GB2312"/>
          <w:sz w:val="32"/>
          <w:szCs w:val="32"/>
        </w:rPr>
        <w:t>周洪伟(区发改经信局）</w:t>
      </w:r>
    </w:p>
    <w:p w14:paraId="0931CDF1">
      <w:pPr>
        <w:spacing w:line="560" w:lineRule="exact"/>
        <w:ind w:firstLine="643" w:firstLineChars="200"/>
        <w:rPr>
          <w:rFonts w:eastAsia="仿宋_GB2312"/>
          <w:sz w:val="32"/>
          <w:szCs w:val="32"/>
        </w:rPr>
      </w:pPr>
      <w:r>
        <w:rPr>
          <w:rFonts w:eastAsia="仿宋_GB2312"/>
          <w:b/>
          <w:sz w:val="32"/>
          <w:szCs w:val="32"/>
        </w:rPr>
        <w:t>成  员：</w:t>
      </w:r>
      <w:r>
        <w:rPr>
          <w:rFonts w:eastAsia="仿宋_GB2312"/>
          <w:sz w:val="32"/>
          <w:szCs w:val="32"/>
        </w:rPr>
        <w:t>倪晓强(区委组织部人才科）</w:t>
      </w:r>
    </w:p>
    <w:p w14:paraId="56B659E9">
      <w:pPr>
        <w:spacing w:line="560" w:lineRule="exact"/>
        <w:ind w:firstLine="1920" w:firstLineChars="600"/>
        <w:rPr>
          <w:rFonts w:eastAsia="仿宋_GB2312"/>
          <w:sz w:val="32"/>
          <w:szCs w:val="32"/>
        </w:rPr>
      </w:pPr>
      <w:r>
        <w:rPr>
          <w:rFonts w:eastAsia="仿宋_GB2312"/>
          <w:sz w:val="32"/>
          <w:szCs w:val="32"/>
        </w:rPr>
        <w:t>陈  力(区发改经信局投资科）</w:t>
      </w:r>
      <w:bookmarkStart w:id="1" w:name="_Hlk87971691"/>
      <w:r>
        <w:rPr>
          <w:rFonts w:eastAsia="仿宋_GB2312"/>
          <w:b/>
          <w:bCs/>
          <w:w w:val="90"/>
          <w:sz w:val="32"/>
          <w:szCs w:val="32"/>
        </w:rPr>
        <w:t>(联络员）</w:t>
      </w:r>
      <w:bookmarkEnd w:id="1"/>
    </w:p>
    <w:p w14:paraId="2CA424CD">
      <w:pPr>
        <w:spacing w:line="560" w:lineRule="exact"/>
        <w:ind w:firstLine="640" w:firstLineChars="200"/>
        <w:rPr>
          <w:rFonts w:eastAsia="仿宋_GB2312"/>
          <w:sz w:val="32"/>
          <w:szCs w:val="32"/>
        </w:rPr>
      </w:pPr>
      <w:r>
        <w:rPr>
          <w:rFonts w:eastAsia="仿宋_GB2312"/>
          <w:sz w:val="32"/>
          <w:szCs w:val="32"/>
        </w:rPr>
        <w:t xml:space="preserve">        戚绮霞(区发改经信局工业科）</w:t>
      </w:r>
    </w:p>
    <w:p w14:paraId="30248831">
      <w:pPr>
        <w:spacing w:line="560" w:lineRule="exact"/>
        <w:ind w:firstLine="1920" w:firstLineChars="600"/>
        <w:rPr>
          <w:rFonts w:eastAsia="仿宋_GB2312"/>
          <w:sz w:val="32"/>
          <w:szCs w:val="32"/>
        </w:rPr>
      </w:pPr>
      <w:r>
        <w:rPr>
          <w:rFonts w:eastAsia="仿宋_GB2312"/>
          <w:sz w:val="32"/>
          <w:szCs w:val="32"/>
        </w:rPr>
        <w:t>胡国强(区教育局社区教育学院）</w:t>
      </w:r>
    </w:p>
    <w:p w14:paraId="048990BA">
      <w:pPr>
        <w:spacing w:line="560" w:lineRule="exact"/>
        <w:ind w:firstLine="1920" w:firstLineChars="600"/>
        <w:rPr>
          <w:rFonts w:eastAsia="仿宋_GB2312"/>
          <w:sz w:val="32"/>
          <w:szCs w:val="32"/>
        </w:rPr>
      </w:pPr>
      <w:r>
        <w:rPr>
          <w:rFonts w:eastAsia="仿宋_GB2312"/>
          <w:sz w:val="32"/>
          <w:szCs w:val="32"/>
        </w:rPr>
        <w:t>梁海红(区科技局产业科）</w:t>
      </w:r>
    </w:p>
    <w:p w14:paraId="2C81E9A4">
      <w:pPr>
        <w:spacing w:line="560" w:lineRule="exact"/>
        <w:ind w:firstLine="1920" w:firstLineChars="600"/>
        <w:rPr>
          <w:rFonts w:eastAsia="仿宋_GB2312"/>
          <w:sz w:val="32"/>
          <w:szCs w:val="32"/>
        </w:rPr>
      </w:pPr>
      <w:r>
        <w:rPr>
          <w:rFonts w:eastAsia="仿宋_GB2312"/>
          <w:sz w:val="32"/>
          <w:szCs w:val="32"/>
        </w:rPr>
        <w:t>范仁良(区财政局经建企业科）</w:t>
      </w:r>
    </w:p>
    <w:p w14:paraId="0EED09A7">
      <w:pPr>
        <w:spacing w:line="540" w:lineRule="exact"/>
        <w:ind w:firstLine="1920" w:firstLineChars="600"/>
        <w:rPr>
          <w:rFonts w:eastAsia="仿宋_GB2312"/>
          <w:sz w:val="32"/>
          <w:szCs w:val="32"/>
        </w:rPr>
      </w:pPr>
      <w:r>
        <w:rPr>
          <w:rFonts w:eastAsia="仿宋_GB2312"/>
          <w:sz w:val="32"/>
          <w:szCs w:val="32"/>
        </w:rPr>
        <w:t>倪佳伟(区人社局人力资源开发服务中心）</w:t>
      </w:r>
    </w:p>
    <w:p w14:paraId="369813AD">
      <w:pPr>
        <w:spacing w:line="540" w:lineRule="exact"/>
        <w:ind w:firstLine="1920" w:firstLineChars="600"/>
        <w:rPr>
          <w:rFonts w:eastAsia="仿宋_GB2312"/>
          <w:sz w:val="32"/>
          <w:szCs w:val="32"/>
        </w:rPr>
      </w:pPr>
      <w:r>
        <w:rPr>
          <w:rFonts w:eastAsia="仿宋_GB2312"/>
          <w:sz w:val="32"/>
          <w:szCs w:val="32"/>
        </w:rPr>
        <w:t>巩奇峰(区自规分局空间规划和用途管制科）</w:t>
      </w:r>
    </w:p>
    <w:p w14:paraId="03379CAF">
      <w:pPr>
        <w:spacing w:line="540" w:lineRule="exact"/>
        <w:ind w:firstLine="1920" w:firstLineChars="600"/>
        <w:rPr>
          <w:rFonts w:eastAsia="仿宋_GB2312"/>
          <w:sz w:val="32"/>
          <w:szCs w:val="32"/>
        </w:rPr>
      </w:pPr>
      <w:r>
        <w:rPr>
          <w:rFonts w:eastAsia="仿宋_GB2312"/>
          <w:sz w:val="32"/>
          <w:szCs w:val="32"/>
        </w:rPr>
        <w:t>金天红(区生态环境分局综合规划科）</w:t>
      </w:r>
    </w:p>
    <w:p w14:paraId="078287F8">
      <w:pPr>
        <w:spacing w:line="540" w:lineRule="exact"/>
        <w:ind w:firstLine="1920" w:firstLineChars="600"/>
        <w:rPr>
          <w:rFonts w:eastAsia="仿宋_GB2312"/>
          <w:sz w:val="32"/>
          <w:szCs w:val="32"/>
        </w:rPr>
      </w:pPr>
      <w:r>
        <w:rPr>
          <w:rFonts w:eastAsia="仿宋_GB2312"/>
          <w:sz w:val="32"/>
          <w:szCs w:val="32"/>
        </w:rPr>
        <w:t>孙  宁 (区住建局房地产管理科）</w:t>
      </w:r>
    </w:p>
    <w:p w14:paraId="35A6F6E2">
      <w:pPr>
        <w:spacing w:line="540" w:lineRule="exact"/>
        <w:ind w:firstLine="1920" w:firstLineChars="600"/>
        <w:rPr>
          <w:rFonts w:eastAsia="仿宋_GB2312"/>
          <w:sz w:val="32"/>
          <w:szCs w:val="32"/>
        </w:rPr>
      </w:pPr>
      <w:r>
        <w:rPr>
          <w:rFonts w:eastAsia="仿宋_GB2312"/>
          <w:sz w:val="32"/>
          <w:szCs w:val="32"/>
        </w:rPr>
        <w:t>陈  征 (区税务局法制股）</w:t>
      </w:r>
    </w:p>
    <w:p w14:paraId="615A1900">
      <w:pPr>
        <w:spacing w:line="540" w:lineRule="exact"/>
        <w:ind w:firstLine="1920" w:firstLineChars="600"/>
        <w:rPr>
          <w:rFonts w:eastAsia="仿宋_GB2312"/>
          <w:sz w:val="32"/>
          <w:szCs w:val="32"/>
        </w:rPr>
      </w:pPr>
      <w:r>
        <w:rPr>
          <w:rFonts w:eastAsia="仿宋_GB2312"/>
          <w:sz w:val="32"/>
          <w:szCs w:val="32"/>
        </w:rPr>
        <w:t>郑织璠 (区发改经信局金融发展科）</w:t>
      </w:r>
    </w:p>
    <w:p w14:paraId="587E0EE8">
      <w:pPr>
        <w:spacing w:line="540" w:lineRule="exact"/>
        <w:ind w:firstLine="1920" w:firstLineChars="600"/>
        <w:rPr>
          <w:rFonts w:eastAsia="仿宋_GB2312"/>
          <w:sz w:val="32"/>
          <w:szCs w:val="32"/>
        </w:rPr>
      </w:pPr>
      <w:r>
        <w:rPr>
          <w:rFonts w:eastAsia="仿宋_GB2312"/>
          <w:sz w:val="32"/>
          <w:szCs w:val="32"/>
        </w:rPr>
        <w:t>沈  恺 (区供电分公司营销部）</w:t>
      </w:r>
    </w:p>
    <w:p w14:paraId="770EC86C">
      <w:pPr>
        <w:spacing w:line="540" w:lineRule="exact"/>
        <w:ind w:firstLine="1920" w:firstLineChars="600"/>
        <w:rPr>
          <w:rFonts w:eastAsia="仿宋_GB2312"/>
          <w:sz w:val="32"/>
          <w:szCs w:val="32"/>
        </w:rPr>
      </w:pPr>
      <w:r>
        <w:rPr>
          <w:rFonts w:eastAsia="仿宋_GB2312"/>
          <w:sz w:val="32"/>
          <w:szCs w:val="32"/>
        </w:rPr>
        <w:t>施嘉玲 (区发改经信局投资科）</w:t>
      </w:r>
    </w:p>
    <w:p w14:paraId="0D2BD7E4">
      <w:pPr>
        <w:pStyle w:val="6"/>
        <w:tabs>
          <w:tab w:val="left" w:pos="1399"/>
        </w:tabs>
        <w:spacing w:line="540" w:lineRule="exact"/>
        <w:ind w:firstLine="643" w:firstLineChars="200"/>
        <w:rPr>
          <w:rFonts w:ascii="Times New Roman"/>
          <w:szCs w:val="32"/>
        </w:rPr>
      </w:pPr>
      <w:r>
        <w:rPr>
          <w:rFonts w:ascii="Times New Roman"/>
          <w:b/>
          <w:szCs w:val="32"/>
        </w:rPr>
        <w:t>职  责：</w:t>
      </w:r>
      <w:r>
        <w:rPr>
          <w:rFonts w:ascii="Times New Roman"/>
          <w:szCs w:val="32"/>
        </w:rPr>
        <w:t>负责统筹新一轮制造业“腾笼换鸟、凤凰涅</w:t>
      </w:r>
      <w:r>
        <w:rPr>
          <w:rFonts w:hint="eastAsia" w:ascii="微软雅黑" w:hAnsi="微软雅黑" w:eastAsia="微软雅黑" w:cs="微软雅黑"/>
          <w:szCs w:val="32"/>
        </w:rPr>
        <w:t>槃</w:t>
      </w:r>
      <w:r>
        <w:rPr>
          <w:rFonts w:ascii="Times New Roman"/>
          <w:szCs w:val="32"/>
        </w:rPr>
        <w:t>”攻坚行动政策和要素保障，协调落实财政、税收、土地、能源、资金、人才、保障性租赁住房等政策要素资源配置，针对四大攻坚行动，一对一做好资源要素协调保障。</w:t>
      </w:r>
    </w:p>
    <w:p w14:paraId="6605F4A8">
      <w:pPr>
        <w:pStyle w:val="6"/>
        <w:tabs>
          <w:tab w:val="left" w:pos="1399"/>
        </w:tabs>
        <w:spacing w:line="540" w:lineRule="exact"/>
        <w:ind w:firstLine="640" w:firstLineChars="200"/>
        <w:rPr>
          <w:rFonts w:ascii="Times New Roman"/>
          <w:szCs w:val="32"/>
        </w:rPr>
      </w:pPr>
      <w:r>
        <w:rPr>
          <w:rFonts w:ascii="Times New Roman"/>
        </w:rPr>
        <w:t>(</w:t>
      </w:r>
      <w:r>
        <w:rPr>
          <w:rFonts w:ascii="Times New Roman"/>
          <w:szCs w:val="32"/>
        </w:rPr>
        <w:t>六</w:t>
      </w:r>
      <w:r>
        <w:rPr>
          <w:rFonts w:ascii="Times New Roman"/>
        </w:rPr>
        <w:t>）</w:t>
      </w:r>
      <w:r>
        <w:rPr>
          <w:rFonts w:ascii="Times New Roman"/>
          <w:szCs w:val="32"/>
        </w:rPr>
        <w:t>综合协调组</w:t>
      </w:r>
    </w:p>
    <w:p w14:paraId="0D87BF08">
      <w:pPr>
        <w:tabs>
          <w:tab w:val="left" w:pos="1387"/>
          <w:tab w:val="left" w:pos="3009"/>
        </w:tabs>
        <w:spacing w:line="540" w:lineRule="exact"/>
        <w:ind w:firstLine="643" w:firstLineChars="200"/>
        <w:rPr>
          <w:rFonts w:eastAsia="仿宋_GB2312"/>
          <w:sz w:val="32"/>
          <w:szCs w:val="32"/>
        </w:rPr>
      </w:pPr>
      <w:r>
        <w:rPr>
          <w:rFonts w:eastAsia="仿宋_GB2312"/>
          <w:b/>
          <w:sz w:val="32"/>
          <w:szCs w:val="32"/>
        </w:rPr>
        <w:t>组  长：</w:t>
      </w:r>
      <w:r>
        <w:rPr>
          <w:rFonts w:eastAsia="仿宋_GB2312"/>
          <w:sz w:val="32"/>
          <w:szCs w:val="32"/>
        </w:rPr>
        <w:t>王国华(区发改经信局）</w:t>
      </w:r>
    </w:p>
    <w:p w14:paraId="2BB83BE5">
      <w:pPr>
        <w:tabs>
          <w:tab w:val="left" w:pos="3009"/>
        </w:tabs>
        <w:spacing w:line="540" w:lineRule="exact"/>
        <w:ind w:firstLine="643" w:firstLineChars="200"/>
        <w:rPr>
          <w:rFonts w:eastAsia="仿宋_GB2312"/>
          <w:sz w:val="32"/>
          <w:szCs w:val="32"/>
        </w:rPr>
      </w:pPr>
      <w:r>
        <w:rPr>
          <w:rFonts w:eastAsia="仿宋_GB2312"/>
          <w:b/>
          <w:sz w:val="32"/>
          <w:szCs w:val="32"/>
        </w:rPr>
        <w:t>副组长：</w:t>
      </w:r>
      <w:r>
        <w:rPr>
          <w:rFonts w:eastAsia="仿宋_GB2312"/>
          <w:sz w:val="32"/>
          <w:szCs w:val="32"/>
        </w:rPr>
        <w:t>周洪伟(区发改经信局）</w:t>
      </w:r>
    </w:p>
    <w:p w14:paraId="55DE9D8D">
      <w:pPr>
        <w:pStyle w:val="14"/>
        <w:spacing w:line="540" w:lineRule="exact"/>
        <w:ind w:firstLine="1920" w:firstLineChars="600"/>
        <w:jc w:val="both"/>
        <w:rPr>
          <w:rFonts w:eastAsia="仿宋_GB2312"/>
          <w:szCs w:val="32"/>
        </w:rPr>
      </w:pPr>
      <w:r>
        <w:rPr>
          <w:rFonts w:eastAsia="仿宋_GB2312"/>
          <w:szCs w:val="32"/>
        </w:rPr>
        <w:t>嵇金鑫(区发改经信局）</w:t>
      </w:r>
    </w:p>
    <w:p w14:paraId="584F1080">
      <w:pPr>
        <w:tabs>
          <w:tab w:val="left" w:pos="1387"/>
        </w:tabs>
        <w:spacing w:line="540" w:lineRule="exact"/>
        <w:ind w:firstLine="643" w:firstLineChars="200"/>
        <w:rPr>
          <w:rFonts w:eastAsia="仿宋_GB2312"/>
          <w:sz w:val="32"/>
          <w:szCs w:val="32"/>
        </w:rPr>
      </w:pPr>
      <w:r>
        <w:rPr>
          <w:rFonts w:eastAsia="仿宋_GB2312"/>
          <w:b/>
          <w:sz w:val="32"/>
          <w:szCs w:val="32"/>
        </w:rPr>
        <w:t>成  员：</w:t>
      </w:r>
      <w:r>
        <w:rPr>
          <w:rFonts w:eastAsia="仿宋_GB2312"/>
          <w:sz w:val="32"/>
          <w:szCs w:val="32"/>
        </w:rPr>
        <w:t>陈  力(区发改经信局投资科）</w:t>
      </w:r>
      <w:r>
        <w:rPr>
          <w:rFonts w:eastAsia="仿宋_GB2312"/>
          <w:b/>
          <w:bCs/>
          <w:w w:val="90"/>
          <w:sz w:val="32"/>
          <w:szCs w:val="32"/>
        </w:rPr>
        <w:t>(联络员）</w:t>
      </w:r>
    </w:p>
    <w:p w14:paraId="6C38D604">
      <w:pPr>
        <w:tabs>
          <w:tab w:val="left" w:pos="1387"/>
        </w:tabs>
        <w:spacing w:line="540" w:lineRule="exact"/>
        <w:ind w:firstLine="640" w:firstLineChars="200"/>
        <w:rPr>
          <w:rFonts w:eastAsia="仿宋_GB2312"/>
          <w:sz w:val="32"/>
          <w:szCs w:val="32"/>
        </w:rPr>
      </w:pPr>
      <w:r>
        <w:rPr>
          <w:rFonts w:eastAsia="仿宋_GB2312"/>
          <w:sz w:val="32"/>
          <w:szCs w:val="32"/>
        </w:rPr>
        <w:t xml:space="preserve">        戚绮霞(区发改经信局工业科）</w:t>
      </w:r>
    </w:p>
    <w:p w14:paraId="5B773749">
      <w:pPr>
        <w:spacing w:line="540" w:lineRule="exact"/>
        <w:ind w:firstLine="1920" w:firstLineChars="600"/>
        <w:rPr>
          <w:rFonts w:eastAsia="仿宋_GB2312"/>
          <w:sz w:val="32"/>
          <w:szCs w:val="32"/>
        </w:rPr>
      </w:pPr>
      <w:r>
        <w:rPr>
          <w:rFonts w:eastAsia="仿宋_GB2312"/>
          <w:sz w:val="32"/>
          <w:szCs w:val="32"/>
        </w:rPr>
        <w:t>汤晋江(区商务局商务综合服务中心）</w:t>
      </w:r>
    </w:p>
    <w:p w14:paraId="0790D1A7">
      <w:pPr>
        <w:pStyle w:val="6"/>
        <w:tabs>
          <w:tab w:val="left" w:pos="1399"/>
        </w:tabs>
        <w:spacing w:line="540" w:lineRule="exact"/>
        <w:ind w:firstLine="1920" w:firstLineChars="600"/>
        <w:rPr>
          <w:rFonts w:ascii="Times New Roman"/>
          <w:szCs w:val="32"/>
        </w:rPr>
      </w:pPr>
      <w:r>
        <w:rPr>
          <w:rFonts w:ascii="Times New Roman"/>
          <w:szCs w:val="32"/>
        </w:rPr>
        <w:t>温作垒(区市场监管局质量与标准计量科）</w:t>
      </w:r>
    </w:p>
    <w:p w14:paraId="59C796E2">
      <w:pPr>
        <w:pStyle w:val="6"/>
        <w:tabs>
          <w:tab w:val="left" w:pos="1399"/>
        </w:tabs>
        <w:spacing w:line="540" w:lineRule="exact"/>
        <w:ind w:firstLine="643" w:firstLineChars="200"/>
        <w:rPr>
          <w:rFonts w:ascii="Times New Roman" w:eastAsia="楷体_GB2312"/>
          <w:szCs w:val="32"/>
        </w:rPr>
      </w:pPr>
      <w:r>
        <w:rPr>
          <w:rFonts w:ascii="Times New Roman"/>
          <w:b/>
          <w:szCs w:val="32"/>
        </w:rPr>
        <w:t>职  责：</w:t>
      </w:r>
      <w:r>
        <w:rPr>
          <w:rFonts w:ascii="Times New Roman"/>
          <w:szCs w:val="32"/>
        </w:rPr>
        <w:t>负责专班统筹协调、调查分析、办文办会、简报纪要、交办督办、对外联络及其他日常工作；负责开展评价考核，落实“赛马”机制，实施月度监测、季度通报、年度考核；负责建立省市县攻坚行动专班工作机制；落实承担专班交办的其他事项。</w:t>
      </w:r>
    </w:p>
    <w:p w14:paraId="58F4442D">
      <w:pPr>
        <w:pStyle w:val="16"/>
        <w:spacing w:line="560" w:lineRule="exact"/>
        <w:ind w:firstLine="320"/>
        <w:rPr>
          <w:rFonts w:ascii="Times New Roman" w:hAnsi="Times New Roman"/>
          <w:sz w:val="32"/>
          <w:szCs w:val="32"/>
        </w:rPr>
      </w:pPr>
    </w:p>
    <w:p w14:paraId="2DE857A7">
      <w:pPr>
        <w:spacing w:line="560" w:lineRule="exact"/>
        <w:rPr>
          <w:sz w:val="32"/>
          <w:szCs w:val="32"/>
        </w:rPr>
      </w:pPr>
    </w:p>
    <w:p w14:paraId="45776B53">
      <w:pPr>
        <w:pStyle w:val="15"/>
        <w:spacing w:line="560" w:lineRule="exact"/>
        <w:rPr>
          <w:rFonts w:ascii="Times New Roman" w:hAnsi="Times New Roman"/>
          <w:sz w:val="32"/>
          <w:szCs w:val="32"/>
        </w:rPr>
      </w:pPr>
    </w:p>
    <w:p w14:paraId="115D17D6">
      <w:pPr>
        <w:widowControl/>
        <w:jc w:val="left"/>
        <w:rPr>
          <w:sz w:val="32"/>
          <w:szCs w:val="32"/>
        </w:rPr>
      </w:pPr>
      <w:r>
        <w:rPr>
          <w:sz w:val="32"/>
          <w:szCs w:val="32"/>
        </w:rPr>
        <w:br w:type="page"/>
      </w:r>
    </w:p>
    <w:tbl>
      <w:tblPr>
        <w:tblStyle w:val="11"/>
        <w:tblpPr w:leftFromText="180" w:rightFromText="180" w:vertAnchor="text" w:horzAnchor="margin" w:tblpY="12050"/>
        <w:tblOverlap w:val="never"/>
        <w:tblW w:w="89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331BB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8946" w:type="dxa"/>
            <w:tcBorders>
              <w:top w:val="single" w:color="auto" w:sz="4" w:space="0"/>
              <w:left w:val="nil"/>
              <w:bottom w:val="single" w:color="auto" w:sz="4" w:space="0"/>
              <w:right w:val="nil"/>
            </w:tcBorders>
            <w:vAlign w:val="center"/>
          </w:tcPr>
          <w:p w14:paraId="3B682790">
            <w:pPr>
              <w:spacing w:line="480" w:lineRule="exact"/>
              <w:ind w:left="1170" w:leftChars="100" w:hanging="960" w:hangingChars="300"/>
              <w:rPr>
                <w:rFonts w:ascii="仿宋_GB2312" w:hAnsi="等线" w:eastAsia="仿宋_GB2312"/>
                <w:spacing w:val="-8"/>
                <w:sz w:val="32"/>
                <w:szCs w:val="32"/>
              </w:rPr>
            </w:pPr>
            <w:r>
              <w:rPr>
                <w:rFonts w:hint="eastAsia" w:ascii="仿宋_GB2312" w:hAnsi="等线" w:eastAsia="仿宋_GB2312"/>
                <w:sz w:val="32"/>
                <w:szCs w:val="32"/>
              </w:rPr>
              <w:t>抄送：</w:t>
            </w:r>
            <w:r>
              <w:rPr>
                <w:rFonts w:hint="eastAsia" w:ascii="仿宋_GB2312" w:hAnsi="等线" w:eastAsia="仿宋_GB2312"/>
                <w:spacing w:val="-8"/>
                <w:sz w:val="32"/>
                <w:szCs w:val="32"/>
              </w:rPr>
              <w:t>区委各部门，区人大常委会、区政协办公室，区纪委，</w:t>
            </w:r>
          </w:p>
          <w:p w14:paraId="25C28958">
            <w:pPr>
              <w:spacing w:line="480" w:lineRule="exact"/>
              <w:ind w:left="840" w:leftChars="400" w:firstLine="304" w:firstLineChars="100"/>
              <w:rPr>
                <w:rFonts w:ascii="仿宋_GB2312" w:hAnsi="等线" w:eastAsia="仿宋_GB2312"/>
                <w:spacing w:val="-12"/>
                <w:sz w:val="32"/>
                <w:szCs w:val="32"/>
              </w:rPr>
            </w:pPr>
            <w:r>
              <w:rPr>
                <w:rFonts w:hint="eastAsia" w:ascii="仿宋_GB2312" w:hAnsi="等线" w:eastAsia="仿宋_GB2312"/>
                <w:spacing w:val="-8"/>
                <w:sz w:val="32"/>
                <w:szCs w:val="32"/>
              </w:rPr>
              <w:t>人武部，区法院，区检察院，各群众团体，各民主党派。</w:t>
            </w:r>
          </w:p>
        </w:tc>
      </w:tr>
      <w:tr w14:paraId="71DF9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8946" w:type="dxa"/>
            <w:tcBorders>
              <w:top w:val="single" w:color="auto" w:sz="4" w:space="0"/>
              <w:left w:val="nil"/>
              <w:bottom w:val="single" w:color="auto" w:sz="4" w:space="0"/>
              <w:right w:val="nil"/>
            </w:tcBorders>
            <w:vAlign w:val="center"/>
          </w:tcPr>
          <w:p w14:paraId="49C05091">
            <w:pPr>
              <w:spacing w:line="480" w:lineRule="exact"/>
              <w:ind w:firstLine="320" w:firstLineChars="100"/>
              <w:rPr>
                <w:rFonts w:ascii="仿宋_GB2312" w:hAnsi="等线" w:eastAsia="仿宋_GB2312"/>
                <w:sz w:val="32"/>
                <w:szCs w:val="32"/>
              </w:rPr>
            </w:pPr>
            <w:r>
              <w:rPr>
                <w:rFonts w:hint="eastAsia" w:ascii="仿宋_GB2312" w:hAnsi="等线" w:eastAsia="仿宋_GB2312"/>
                <w:sz w:val="32"/>
                <w:szCs w:val="32"/>
              </w:rPr>
              <w:t xml:space="preserve">吴兴区人民政府办公室           </w:t>
            </w:r>
            <w:r>
              <w:rPr>
                <w:rFonts w:ascii="仿宋_GB2312" w:hAnsi="等线" w:eastAsia="仿宋_GB2312"/>
                <w:sz w:val="32"/>
                <w:szCs w:val="32"/>
              </w:rPr>
              <w:t xml:space="preserve">    </w:t>
            </w:r>
            <w:r>
              <w:rPr>
                <w:rFonts w:hint="eastAsia" w:ascii="仿宋_GB2312" w:hAnsi="等线" w:eastAsia="仿宋_GB2312"/>
                <w:sz w:val="32"/>
                <w:szCs w:val="32"/>
              </w:rPr>
              <w:t xml:space="preserve"> 2021年1</w:t>
            </w:r>
            <w:r>
              <w:rPr>
                <w:rFonts w:ascii="仿宋_GB2312" w:hAnsi="等线" w:eastAsia="仿宋_GB2312"/>
                <w:sz w:val="32"/>
                <w:szCs w:val="32"/>
              </w:rPr>
              <w:t>2月29</w:t>
            </w:r>
            <w:r>
              <w:rPr>
                <w:rFonts w:hint="eastAsia" w:ascii="仿宋_GB2312" w:hAnsi="等线" w:eastAsia="仿宋_GB2312"/>
                <w:sz w:val="32"/>
                <w:szCs w:val="32"/>
              </w:rPr>
              <w:t>日</w:t>
            </w:r>
          </w:p>
        </w:tc>
      </w:tr>
    </w:tbl>
    <w:p w14:paraId="29A085AE">
      <w:pPr>
        <w:pStyle w:val="15"/>
        <w:spacing w:line="560" w:lineRule="exact"/>
        <w:rPr>
          <w:rFonts w:ascii="Times New Roman" w:hAnsi="Times New Roman"/>
          <w:sz w:val="32"/>
          <w:szCs w:val="32"/>
        </w:rPr>
      </w:pPr>
    </w:p>
    <w:p w14:paraId="0E353CDB">
      <w:pPr>
        <w:pStyle w:val="15"/>
        <w:spacing w:line="560" w:lineRule="exact"/>
        <w:rPr>
          <w:rFonts w:ascii="Times New Roman" w:hAnsi="Times New Roman"/>
          <w:sz w:val="32"/>
          <w:szCs w:val="32"/>
        </w:rPr>
      </w:pPr>
    </w:p>
    <w:p w14:paraId="2B6C4C77">
      <w:pPr>
        <w:pStyle w:val="15"/>
        <w:spacing w:line="560" w:lineRule="exact"/>
        <w:rPr>
          <w:rFonts w:ascii="Times New Roman" w:hAnsi="Times New Roman"/>
          <w:sz w:val="32"/>
          <w:szCs w:val="32"/>
        </w:rPr>
      </w:pPr>
    </w:p>
    <w:p w14:paraId="74BE3FD4">
      <w:pPr>
        <w:spacing w:line="560" w:lineRule="exact"/>
        <w:rPr>
          <w:sz w:val="32"/>
          <w:szCs w:val="32"/>
        </w:rPr>
      </w:pPr>
    </w:p>
    <w:p w14:paraId="41A3969C">
      <w:pPr>
        <w:pStyle w:val="15"/>
        <w:rPr>
          <w:rFonts w:ascii="Times New Roman" w:hAnsi="Times New Roman"/>
          <w:sz w:val="32"/>
          <w:szCs w:val="32"/>
        </w:rPr>
      </w:pPr>
    </w:p>
    <w:sectPr>
      <w:footerReference r:id="rId3" w:type="default"/>
      <w:footerReference r:id="rId4" w:type="even"/>
      <w:pgSz w:w="11906" w:h="16838"/>
      <w:pgMar w:top="1440" w:right="1588"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530168"/>
    </w:sdtPr>
    <w:sdtContent>
      <w:p w14:paraId="522D3641">
        <w:pPr>
          <w:pStyle w:val="9"/>
          <w:ind w:right="210" w:rightChars="100"/>
          <w:jc w:val="right"/>
        </w:pPr>
        <w:r>
          <w:fldChar w:fldCharType="begin"/>
        </w:r>
        <w:r>
          <w:instrText xml:space="preserve">PAGE   \* MERGEFORMAT</w:instrText>
        </w:r>
        <w:r>
          <w:fldChar w:fldCharType="separate"/>
        </w:r>
        <w:r>
          <w:rPr>
            <w:lang w:val="zh-CN"/>
          </w:rPr>
          <w:t>2</w:t>
        </w:r>
        <w:r>
          <w:fldChar w:fldCharType="end"/>
        </w:r>
      </w:p>
    </w:sdtContent>
  </w:sdt>
  <w:p w14:paraId="2B874A1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7118807"/>
    </w:sdtPr>
    <w:sdtContent>
      <w:p w14:paraId="6EA665E2">
        <w:pPr>
          <w:pStyle w:val="9"/>
          <w:ind w:left="210" w:leftChars="100"/>
        </w:pPr>
        <w:r>
          <w:fldChar w:fldCharType="begin"/>
        </w:r>
        <w:r>
          <w:instrText xml:space="preserve">PAGE   \* MERGEFORMAT</w:instrText>
        </w:r>
        <w:r>
          <w:fldChar w:fldCharType="separate"/>
        </w:r>
        <w:r>
          <w:rPr>
            <w:lang w:val="zh-CN"/>
          </w:rPr>
          <w:t>2</w:t>
        </w:r>
        <w:r>
          <w:fldChar w:fldCharType="end"/>
        </w:r>
      </w:p>
    </w:sdtContent>
  </w:sdt>
  <w:p w14:paraId="009F8BC9">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huzhou.gov.cn/weaver/weaver.file.FileDownloadForNews?uuid=7d92210c-1544-4c37-9c9c-6a3e4c65a2ab&amp;fileid=1291890&amp;type=document&amp;isofficeview=0"/>
  </w:docVars>
  <w:rsids>
    <w:rsidRoot w:val="00C07463"/>
    <w:rsid w:val="000333AB"/>
    <w:rsid w:val="00042B92"/>
    <w:rsid w:val="00123ACD"/>
    <w:rsid w:val="001611A1"/>
    <w:rsid w:val="001D0F73"/>
    <w:rsid w:val="002C64F6"/>
    <w:rsid w:val="003064B2"/>
    <w:rsid w:val="003404BB"/>
    <w:rsid w:val="00357FE6"/>
    <w:rsid w:val="00375AFC"/>
    <w:rsid w:val="003912C2"/>
    <w:rsid w:val="003B4302"/>
    <w:rsid w:val="003E3F7A"/>
    <w:rsid w:val="00412231"/>
    <w:rsid w:val="004412B6"/>
    <w:rsid w:val="0047262D"/>
    <w:rsid w:val="005042BF"/>
    <w:rsid w:val="00521A91"/>
    <w:rsid w:val="00533183"/>
    <w:rsid w:val="0056730C"/>
    <w:rsid w:val="00677ED5"/>
    <w:rsid w:val="00763BED"/>
    <w:rsid w:val="007946DE"/>
    <w:rsid w:val="008A72EC"/>
    <w:rsid w:val="009137F1"/>
    <w:rsid w:val="00921F93"/>
    <w:rsid w:val="00944E2E"/>
    <w:rsid w:val="00952A85"/>
    <w:rsid w:val="00987E8E"/>
    <w:rsid w:val="009968D9"/>
    <w:rsid w:val="009D1180"/>
    <w:rsid w:val="009E6E11"/>
    <w:rsid w:val="009F14E3"/>
    <w:rsid w:val="009F60F7"/>
    <w:rsid w:val="00B62B83"/>
    <w:rsid w:val="00B81F49"/>
    <w:rsid w:val="00B93F22"/>
    <w:rsid w:val="00BA7FB5"/>
    <w:rsid w:val="00BB25C7"/>
    <w:rsid w:val="00BE4E38"/>
    <w:rsid w:val="00C07463"/>
    <w:rsid w:val="00C10F52"/>
    <w:rsid w:val="00C10FE2"/>
    <w:rsid w:val="00C25149"/>
    <w:rsid w:val="00CA65EF"/>
    <w:rsid w:val="00CB4B80"/>
    <w:rsid w:val="00CC6688"/>
    <w:rsid w:val="00CD6BEF"/>
    <w:rsid w:val="00DE3FF7"/>
    <w:rsid w:val="00DF197F"/>
    <w:rsid w:val="00DF1D22"/>
    <w:rsid w:val="00E22162"/>
    <w:rsid w:val="00E66553"/>
    <w:rsid w:val="00EA0218"/>
    <w:rsid w:val="00ED3306"/>
    <w:rsid w:val="00F83510"/>
    <w:rsid w:val="00FC2E41"/>
    <w:rsid w:val="00FF68E8"/>
    <w:rsid w:val="0A7340FD"/>
    <w:rsid w:val="0A794D54"/>
    <w:rsid w:val="0E1E6C74"/>
    <w:rsid w:val="1B361289"/>
    <w:rsid w:val="2FBB2308"/>
    <w:rsid w:val="373C4865"/>
    <w:rsid w:val="381F6473"/>
    <w:rsid w:val="3A041E6A"/>
    <w:rsid w:val="3A3E6F2C"/>
    <w:rsid w:val="3DD254BB"/>
    <w:rsid w:val="4E3E087C"/>
    <w:rsid w:val="56AD7CEA"/>
    <w:rsid w:val="575E4009"/>
    <w:rsid w:val="57F5689C"/>
    <w:rsid w:val="5B49476A"/>
    <w:rsid w:val="5EED0494"/>
    <w:rsid w:val="647C5B23"/>
    <w:rsid w:val="66162647"/>
    <w:rsid w:val="6C144D70"/>
    <w:rsid w:val="762121F7"/>
    <w:rsid w:val="76936698"/>
    <w:rsid w:val="77E90B32"/>
    <w:rsid w:val="7BB44AF4"/>
    <w:rsid w:val="C5EFD3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1"/>
    <w:pPr>
      <w:spacing w:line="403" w:lineRule="exact"/>
      <w:ind w:left="747"/>
      <w:outlineLvl w:val="1"/>
    </w:pPr>
    <w:rPr>
      <w:rFonts w:ascii="楷体" w:hAnsi="楷体" w:eastAsia="楷体" w:cs="楷体"/>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qFormat/>
    <w:uiPriority w:val="99"/>
    <w:pPr>
      <w:ind w:firstLine="179" w:firstLineChars="33"/>
    </w:pPr>
    <w:rPr>
      <w:rFonts w:eastAsia="华文中宋"/>
      <w:b/>
      <w:bCs/>
      <w:color w:val="FF0000"/>
      <w:sz w:val="54"/>
      <w:szCs w:val="24"/>
    </w:rPr>
  </w:style>
  <w:style w:type="paragraph" w:styleId="5">
    <w:name w:val="Normal Indent"/>
    <w:basedOn w:val="1"/>
    <w:qFormat/>
    <w:uiPriority w:val="0"/>
    <w:pPr>
      <w:ind w:firstLine="420" w:firstLineChars="200"/>
    </w:pPr>
    <w:rPr>
      <w:rFonts w:eastAsia="仿宋"/>
      <w:sz w:val="32"/>
    </w:rPr>
  </w:style>
  <w:style w:type="paragraph" w:styleId="6">
    <w:name w:val="Body Text"/>
    <w:basedOn w:val="1"/>
    <w:next w:val="7"/>
    <w:qFormat/>
    <w:uiPriority w:val="99"/>
    <w:pPr>
      <w:spacing w:line="560" w:lineRule="exact"/>
    </w:pPr>
    <w:rPr>
      <w:rFonts w:ascii="仿宋_GB2312" w:eastAsia="仿宋_GB2312"/>
      <w:sz w:val="32"/>
      <w:szCs w:val="30"/>
    </w:rPr>
  </w:style>
  <w:style w:type="paragraph" w:styleId="7">
    <w:name w:val="Body Text 2"/>
    <w:basedOn w:val="1"/>
    <w:qFormat/>
    <w:uiPriority w:val="0"/>
    <w:pPr>
      <w:spacing w:after="120" w:line="480" w:lineRule="auto"/>
    </w:pPr>
  </w:style>
  <w:style w:type="paragraph" w:styleId="8">
    <w:name w:val="Plain Text"/>
    <w:basedOn w:val="1"/>
    <w:qFormat/>
    <w:uiPriority w:val="99"/>
    <w:rPr>
      <w:rFonts w:ascii="宋体" w:hAnsi="Courier New"/>
    </w:rPr>
  </w:style>
  <w:style w:type="paragraph" w:styleId="9">
    <w:name w:val="footer"/>
    <w:basedOn w:val="1"/>
    <w:link w:val="20"/>
    <w:qFormat/>
    <w:uiPriority w:val="99"/>
    <w:pPr>
      <w:tabs>
        <w:tab w:val="center" w:pos="4153"/>
        <w:tab w:val="right" w:pos="8306"/>
      </w:tabs>
      <w:snapToGrid w:val="0"/>
      <w:jc w:val="left"/>
    </w:pPr>
    <w:rPr>
      <w:sz w:val="18"/>
    </w:rPr>
  </w:style>
  <w:style w:type="paragraph" w:styleId="10">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customStyle="1" w:styleId="13">
    <w:name w:val="**正文"/>
    <w:basedOn w:val="1"/>
    <w:qFormat/>
    <w:uiPriority w:val="99"/>
    <w:pPr>
      <w:ind w:firstLine="480" w:firstLineChars="200"/>
    </w:pPr>
    <w:rPr>
      <w:rFonts w:ascii="Calibri" w:hAnsi="Calibri"/>
      <w:kern w:val="0"/>
      <w:sz w:val="24"/>
    </w:rPr>
  </w:style>
  <w:style w:type="paragraph" w:customStyle="1" w:styleId="14">
    <w:name w:val="Body Text First Indent1"/>
    <w:basedOn w:val="6"/>
    <w:next w:val="15"/>
    <w:qFormat/>
    <w:uiPriority w:val="0"/>
    <w:pPr>
      <w:tabs>
        <w:tab w:val="left" w:pos="3380"/>
      </w:tabs>
      <w:ind w:firstLine="420" w:firstLineChars="100"/>
      <w:jc w:val="center"/>
    </w:pPr>
    <w:rPr>
      <w:rFonts w:ascii="Times New Roman" w:eastAsia="宋体"/>
      <w:szCs w:val="24"/>
    </w:rPr>
  </w:style>
  <w:style w:type="paragraph" w:customStyle="1" w:styleId="15">
    <w:name w:val="Char Char Char"/>
    <w:basedOn w:val="1"/>
    <w:qFormat/>
    <w:uiPriority w:val="0"/>
    <w:rPr>
      <w:rFonts w:ascii="Calibri" w:hAnsi="Calibri"/>
      <w:szCs w:val="22"/>
    </w:rPr>
  </w:style>
  <w:style w:type="paragraph" w:customStyle="1" w:styleId="16">
    <w:name w:val="BodyText1I"/>
    <w:basedOn w:val="1"/>
    <w:qFormat/>
    <w:uiPriority w:val="99"/>
    <w:pPr>
      <w:ind w:firstLine="420" w:firstLineChars="100"/>
    </w:pPr>
    <w:rPr>
      <w:rFonts w:ascii="宋体" w:hAnsi="宋体"/>
      <w:sz w:val="28"/>
      <w:szCs w:val="28"/>
    </w:rPr>
  </w:style>
  <w:style w:type="paragraph" w:customStyle="1" w:styleId="17">
    <w:name w:val="工信院正文"/>
    <w:basedOn w:val="18"/>
    <w:qFormat/>
    <w:uiPriority w:val="0"/>
    <w:pPr>
      <w:ind w:firstLine="643"/>
    </w:pPr>
  </w:style>
  <w:style w:type="paragraph" w:customStyle="1" w:styleId="18">
    <w:name w:val="工经所正文"/>
    <w:basedOn w:val="1"/>
    <w:qFormat/>
    <w:uiPriority w:val="0"/>
    <w:pPr>
      <w:spacing w:line="600" w:lineRule="exact"/>
      <w:ind w:firstLine="640" w:firstLineChars="200"/>
    </w:pPr>
    <w:rPr>
      <w:rFonts w:eastAsia="仿宋_GB2312"/>
      <w:sz w:val="32"/>
      <w:szCs w:val="32"/>
    </w:rPr>
  </w:style>
  <w:style w:type="character" w:customStyle="1" w:styleId="19">
    <w:name w:val="页眉 字符"/>
    <w:basedOn w:val="12"/>
    <w:link w:val="10"/>
    <w:qFormat/>
    <w:uiPriority w:val="0"/>
    <w:rPr>
      <w:kern w:val="2"/>
      <w:sz w:val="18"/>
      <w:szCs w:val="18"/>
    </w:rPr>
  </w:style>
  <w:style w:type="character" w:customStyle="1" w:styleId="20">
    <w:name w:val="页脚 字符"/>
    <w:basedOn w:val="12"/>
    <w:link w:val="9"/>
    <w:uiPriority w:val="99"/>
    <w:rPr>
      <w:kern w:val="2"/>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2585</Words>
  <Characters>2715</Characters>
  <Lines>80</Lines>
  <Paragraphs>22</Paragraphs>
  <TotalTime>0</TotalTime>
  <ScaleCrop>false</ScaleCrop>
  <LinksUpToDate>false</LinksUpToDate>
  <CharactersWithSpaces>2781</CharactersWithSpaces>
  <Application>WPS Office_12.1.0.20784_F1E327BC-269C-435d-A152-05C5408002CA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2021-12-31T08:52:00Z</dcterms:created>
  <dc:creator>dell</dc:creator>
  <lastModifiedBy>☞ZHAO</lastModifiedBy>
  <lastPrinted>2021-12-16T09:22:00Z</lastPrinted>
  <dcterms:modified xsi:type="dcterms:W3CDTF">2025-04-28T01:50:40Z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7DF1D1B2AC6543E4BA898375C820CD3C</vt:lpwstr>
  </property>
  <property fmtid="{D5CDD505-2E9C-101B-9397-08002B2CF9AE}" pid="4" name="KSOTemplateDocerSaveRecord">
    <vt:lpwstr>eyJoZGlkIjoiZjQyMWM1NjRmNGVhMTM3YjExNmFiNTdhNTRiNTQxMWIiLCJ1c2VySWQiOiI0MjY1OTgzMzcifQ==</vt:lpwstr>
  </property>
</Properties>
</file>