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EB96F">
      <w:pPr>
        <w:adjustRightInd w:val="0"/>
        <w:snapToGrid w:val="0"/>
        <w:spacing w:line="594" w:lineRule="exact"/>
        <w:jc w:val="center"/>
        <w:rPr>
          <w:rFonts w:ascii="方正小标宋简体" w:hAnsi="方正小标宋简体" w:eastAsia="方正小标宋简体" w:cs="方正小标宋简体"/>
          <w:color w:val="0C0C0C" w:themeColor="text1" w:themeTint="F2"/>
          <w:sz w:val="32"/>
          <w:szCs w:val="32"/>
        </w:rPr>
      </w:pPr>
      <w:r>
        <w:rPr>
          <w:rFonts w:hint="eastAsia" w:ascii="方正小标宋简体" w:hAnsi="方正小标宋简体" w:eastAsia="方正小标宋简体" w:cs="方正小标宋简体"/>
          <w:color w:val="0C0C0C" w:themeColor="text1" w:themeTint="F2"/>
          <w:sz w:val="32"/>
          <w:szCs w:val="32"/>
        </w:rPr>
        <w:t>2025年德清县餐具洗涤剂产品质量监督抽查实施细则</w:t>
      </w:r>
    </w:p>
    <w:p w14:paraId="643D8027">
      <w:pPr>
        <w:snapToGrid w:val="0"/>
        <w:spacing w:line="440" w:lineRule="exact"/>
        <w:rPr>
          <w:rFonts w:eastAsia="黑体"/>
          <w:color w:val="0C0C0C" w:themeColor="text1" w:themeTint="F2"/>
          <w:szCs w:val="21"/>
        </w:rPr>
      </w:pPr>
    </w:p>
    <w:p w14:paraId="7502A260">
      <w:pPr>
        <w:snapToGrid w:val="0"/>
        <w:spacing w:line="440" w:lineRule="exact"/>
        <w:rPr>
          <w:rFonts w:eastAsia="黑体"/>
          <w:color w:val="0C0C0C" w:themeColor="text1" w:themeTint="F2"/>
          <w:szCs w:val="21"/>
        </w:rPr>
      </w:pPr>
      <w:r>
        <w:rPr>
          <w:rFonts w:eastAsia="黑体"/>
          <w:color w:val="0C0C0C" w:themeColor="text1" w:themeTint="F2"/>
          <w:szCs w:val="21"/>
        </w:rPr>
        <w:t>1 抽样方法</w:t>
      </w:r>
    </w:p>
    <w:p w14:paraId="4C11A947">
      <w:pPr>
        <w:snapToGrid w:val="0"/>
        <w:spacing w:line="440" w:lineRule="exact"/>
        <w:ind w:firstLine="420" w:firstLineChars="200"/>
        <w:rPr>
          <w:color w:val="0C0C0C" w:themeColor="text1" w:themeTint="F2"/>
          <w:szCs w:val="21"/>
        </w:rPr>
      </w:pPr>
      <w:r>
        <w:rPr>
          <w:color w:val="0C0C0C" w:themeColor="text1" w:themeTint="F2"/>
          <w:szCs w:val="21"/>
        </w:rPr>
        <w:t>以随机抽样的方式在被抽样生产者、销售者的待销产品中抽取。</w:t>
      </w:r>
    </w:p>
    <w:p w14:paraId="7E952955">
      <w:pPr>
        <w:snapToGrid w:val="0"/>
        <w:spacing w:line="440" w:lineRule="exact"/>
        <w:ind w:firstLine="420" w:firstLineChars="200"/>
        <w:rPr>
          <w:color w:val="0C0C0C" w:themeColor="text1" w:themeTint="F2"/>
          <w:szCs w:val="21"/>
        </w:rPr>
      </w:pPr>
      <w:r>
        <w:rPr>
          <w:color w:val="0C0C0C" w:themeColor="text1" w:themeTint="F2"/>
          <w:szCs w:val="21"/>
        </w:rPr>
        <w:t>随机数一般可使用随机数表等方法产生</w:t>
      </w:r>
      <w:r>
        <w:rPr>
          <w:rFonts w:hint="eastAsia"/>
          <w:color w:val="0C0C0C" w:themeColor="text1" w:themeTint="F2"/>
          <w:szCs w:val="21"/>
        </w:rPr>
        <w:t>，样品抽取数量见表1</w:t>
      </w:r>
      <w:r>
        <w:rPr>
          <w:color w:val="0C0C0C" w:themeColor="text1" w:themeTint="F2"/>
          <w:szCs w:val="21"/>
        </w:rPr>
        <w:t>。</w:t>
      </w:r>
    </w:p>
    <w:p w14:paraId="659BE065">
      <w:pPr>
        <w:snapToGrid w:val="0"/>
        <w:spacing w:line="440" w:lineRule="exact"/>
        <w:ind w:firstLine="420" w:firstLineChars="200"/>
        <w:jc w:val="center"/>
        <w:rPr>
          <w:color w:val="0C0C0C" w:themeColor="text1" w:themeTint="F2"/>
          <w:szCs w:val="21"/>
        </w:rPr>
      </w:pPr>
      <w:r>
        <w:rPr>
          <w:color w:val="0C0C0C" w:themeColor="text1" w:themeTint="F2"/>
          <w:szCs w:val="21"/>
        </w:rPr>
        <w:t>表1 抽取样品数量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059"/>
        <w:gridCol w:w="2223"/>
        <w:gridCol w:w="2083"/>
        <w:gridCol w:w="2081"/>
      </w:tblGrid>
      <w:tr w14:paraId="1614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2" w:type="dxa"/>
            <w:vAlign w:val="center"/>
          </w:tcPr>
          <w:p w14:paraId="31FDD1BD">
            <w:pPr>
              <w:snapToGrid w:val="0"/>
              <w:jc w:val="center"/>
              <w:rPr>
                <w:color w:val="0C0C0C" w:themeColor="text1" w:themeTint="F2"/>
                <w:szCs w:val="21"/>
              </w:rPr>
            </w:pPr>
            <w:r>
              <w:rPr>
                <w:color w:val="0C0C0C" w:themeColor="text1" w:themeTint="F2"/>
                <w:szCs w:val="21"/>
              </w:rPr>
              <w:t>序号</w:t>
            </w:r>
          </w:p>
        </w:tc>
        <w:tc>
          <w:tcPr>
            <w:tcW w:w="2059" w:type="dxa"/>
            <w:vAlign w:val="center"/>
          </w:tcPr>
          <w:p w14:paraId="09823ACA">
            <w:pPr>
              <w:snapToGrid w:val="0"/>
              <w:jc w:val="center"/>
              <w:rPr>
                <w:color w:val="0C0C0C" w:themeColor="text1" w:themeTint="F2"/>
                <w:szCs w:val="21"/>
              </w:rPr>
            </w:pPr>
            <w:r>
              <w:rPr>
                <w:color w:val="0C0C0C" w:themeColor="text1" w:themeTint="F2"/>
                <w:szCs w:val="21"/>
              </w:rPr>
              <w:t>产品种类</w:t>
            </w:r>
          </w:p>
        </w:tc>
        <w:tc>
          <w:tcPr>
            <w:tcW w:w="2223" w:type="dxa"/>
            <w:vAlign w:val="center"/>
          </w:tcPr>
          <w:p w14:paraId="2C74EFAF">
            <w:pPr>
              <w:snapToGrid w:val="0"/>
              <w:jc w:val="center"/>
              <w:rPr>
                <w:color w:val="0C0C0C" w:themeColor="text1" w:themeTint="F2"/>
                <w:szCs w:val="21"/>
              </w:rPr>
            </w:pPr>
            <w:r>
              <w:rPr>
                <w:color w:val="0C0C0C" w:themeColor="text1" w:themeTint="F2"/>
                <w:szCs w:val="21"/>
              </w:rPr>
              <w:t>抽样数量（个）</w:t>
            </w:r>
          </w:p>
        </w:tc>
        <w:tc>
          <w:tcPr>
            <w:tcW w:w="2083" w:type="dxa"/>
            <w:vAlign w:val="center"/>
          </w:tcPr>
          <w:p w14:paraId="22FFE493">
            <w:pPr>
              <w:snapToGrid w:val="0"/>
              <w:jc w:val="center"/>
              <w:rPr>
                <w:color w:val="0C0C0C" w:themeColor="text1" w:themeTint="F2"/>
                <w:szCs w:val="21"/>
              </w:rPr>
            </w:pPr>
            <w:r>
              <w:rPr>
                <w:color w:val="0C0C0C" w:themeColor="text1" w:themeTint="F2"/>
                <w:szCs w:val="21"/>
              </w:rPr>
              <w:t>检验样品数量（个）</w:t>
            </w:r>
          </w:p>
        </w:tc>
        <w:tc>
          <w:tcPr>
            <w:tcW w:w="2081" w:type="dxa"/>
            <w:vAlign w:val="center"/>
          </w:tcPr>
          <w:p w14:paraId="392E09EF">
            <w:pPr>
              <w:snapToGrid w:val="0"/>
              <w:jc w:val="center"/>
              <w:rPr>
                <w:color w:val="0C0C0C" w:themeColor="text1" w:themeTint="F2"/>
                <w:szCs w:val="21"/>
              </w:rPr>
            </w:pPr>
            <w:r>
              <w:rPr>
                <w:color w:val="0C0C0C" w:themeColor="text1" w:themeTint="F2"/>
                <w:szCs w:val="21"/>
              </w:rPr>
              <w:t>备用样品数量（个）</w:t>
            </w:r>
          </w:p>
        </w:tc>
      </w:tr>
      <w:tr w14:paraId="5DDB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2" w:type="dxa"/>
            <w:vAlign w:val="center"/>
          </w:tcPr>
          <w:p w14:paraId="25253880">
            <w:pPr>
              <w:snapToGrid w:val="0"/>
              <w:jc w:val="center"/>
              <w:rPr>
                <w:color w:val="0C0C0C" w:themeColor="text1" w:themeTint="F2"/>
                <w:szCs w:val="21"/>
              </w:rPr>
            </w:pPr>
            <w:r>
              <w:rPr>
                <w:color w:val="0C0C0C" w:themeColor="text1" w:themeTint="F2"/>
                <w:szCs w:val="21"/>
              </w:rPr>
              <w:t>1</w:t>
            </w:r>
          </w:p>
        </w:tc>
        <w:tc>
          <w:tcPr>
            <w:tcW w:w="2059" w:type="dxa"/>
            <w:vAlign w:val="center"/>
          </w:tcPr>
          <w:p w14:paraId="7DF345A6">
            <w:pPr>
              <w:snapToGrid w:val="0"/>
              <w:jc w:val="center"/>
              <w:rPr>
                <w:color w:val="0C0C0C" w:themeColor="text1" w:themeTint="F2"/>
                <w:szCs w:val="21"/>
              </w:rPr>
            </w:pPr>
            <w:r>
              <w:rPr>
                <w:color w:val="0C0C0C" w:themeColor="text1" w:themeTint="F2"/>
                <w:szCs w:val="21"/>
              </w:rPr>
              <w:t>包装规格＜2kg（L）</w:t>
            </w:r>
          </w:p>
        </w:tc>
        <w:tc>
          <w:tcPr>
            <w:tcW w:w="2223" w:type="dxa"/>
            <w:vAlign w:val="center"/>
          </w:tcPr>
          <w:p w14:paraId="1948431A">
            <w:pPr>
              <w:snapToGrid w:val="0"/>
              <w:jc w:val="center"/>
              <w:rPr>
                <w:color w:val="0C0C0C" w:themeColor="text1" w:themeTint="F2"/>
                <w:szCs w:val="21"/>
              </w:rPr>
            </w:pPr>
            <w:r>
              <w:rPr>
                <w:color w:val="0C0C0C" w:themeColor="text1" w:themeTint="F2"/>
                <w:szCs w:val="21"/>
              </w:rPr>
              <w:t>不少于2kg（L）且不少于6个独立包装</w:t>
            </w:r>
          </w:p>
        </w:tc>
        <w:tc>
          <w:tcPr>
            <w:tcW w:w="2083" w:type="dxa"/>
            <w:vAlign w:val="center"/>
          </w:tcPr>
          <w:p w14:paraId="1F9FC76F">
            <w:pPr>
              <w:snapToGrid w:val="0"/>
              <w:jc w:val="center"/>
              <w:rPr>
                <w:color w:val="0C0C0C" w:themeColor="text1" w:themeTint="F2"/>
                <w:szCs w:val="21"/>
              </w:rPr>
            </w:pPr>
            <w:r>
              <w:rPr>
                <w:color w:val="0C0C0C" w:themeColor="text1" w:themeTint="F2"/>
                <w:szCs w:val="21"/>
              </w:rPr>
              <w:t>4</w:t>
            </w:r>
          </w:p>
        </w:tc>
        <w:tc>
          <w:tcPr>
            <w:tcW w:w="2081" w:type="dxa"/>
            <w:vAlign w:val="center"/>
          </w:tcPr>
          <w:p w14:paraId="05107868">
            <w:pPr>
              <w:snapToGrid w:val="0"/>
              <w:jc w:val="center"/>
              <w:rPr>
                <w:color w:val="0C0C0C" w:themeColor="text1" w:themeTint="F2"/>
                <w:szCs w:val="21"/>
              </w:rPr>
            </w:pPr>
            <w:r>
              <w:rPr>
                <w:color w:val="0C0C0C" w:themeColor="text1" w:themeTint="F2"/>
                <w:szCs w:val="21"/>
              </w:rPr>
              <w:t>2</w:t>
            </w:r>
          </w:p>
        </w:tc>
      </w:tr>
      <w:tr w14:paraId="581A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2" w:type="dxa"/>
            <w:vAlign w:val="center"/>
          </w:tcPr>
          <w:p w14:paraId="2283E04D">
            <w:pPr>
              <w:snapToGrid w:val="0"/>
              <w:jc w:val="center"/>
              <w:rPr>
                <w:color w:val="0C0C0C" w:themeColor="text1" w:themeTint="F2"/>
                <w:szCs w:val="21"/>
              </w:rPr>
            </w:pPr>
            <w:r>
              <w:rPr>
                <w:color w:val="0C0C0C" w:themeColor="text1" w:themeTint="F2"/>
                <w:szCs w:val="21"/>
              </w:rPr>
              <w:t>2</w:t>
            </w:r>
          </w:p>
        </w:tc>
        <w:tc>
          <w:tcPr>
            <w:tcW w:w="2059" w:type="dxa"/>
            <w:vAlign w:val="center"/>
          </w:tcPr>
          <w:p w14:paraId="08D48425">
            <w:pPr>
              <w:snapToGrid w:val="0"/>
              <w:jc w:val="center"/>
              <w:rPr>
                <w:color w:val="0C0C0C" w:themeColor="text1" w:themeTint="F2"/>
                <w:szCs w:val="21"/>
              </w:rPr>
            </w:pPr>
            <w:r>
              <w:rPr>
                <w:color w:val="0C0C0C" w:themeColor="text1" w:themeTint="F2"/>
                <w:szCs w:val="21"/>
              </w:rPr>
              <w:t>包装规格≥2kg（L）且＜10kg（L）的独立包装</w:t>
            </w:r>
          </w:p>
        </w:tc>
        <w:tc>
          <w:tcPr>
            <w:tcW w:w="2223" w:type="dxa"/>
            <w:vAlign w:val="center"/>
          </w:tcPr>
          <w:p w14:paraId="74B95331">
            <w:pPr>
              <w:snapToGrid w:val="0"/>
              <w:jc w:val="center"/>
              <w:rPr>
                <w:color w:val="0C0C0C" w:themeColor="text1" w:themeTint="F2"/>
                <w:szCs w:val="21"/>
              </w:rPr>
            </w:pPr>
            <w:r>
              <w:rPr>
                <w:color w:val="0C0C0C" w:themeColor="text1" w:themeTint="F2"/>
                <w:szCs w:val="21"/>
              </w:rPr>
              <w:t>不少于3个独立包装</w:t>
            </w:r>
          </w:p>
        </w:tc>
        <w:tc>
          <w:tcPr>
            <w:tcW w:w="2083" w:type="dxa"/>
            <w:vAlign w:val="center"/>
          </w:tcPr>
          <w:p w14:paraId="33D0FD2E">
            <w:pPr>
              <w:snapToGrid w:val="0"/>
              <w:jc w:val="center"/>
              <w:rPr>
                <w:color w:val="0C0C0C" w:themeColor="text1" w:themeTint="F2"/>
                <w:szCs w:val="21"/>
              </w:rPr>
            </w:pPr>
            <w:r>
              <w:rPr>
                <w:color w:val="0C0C0C" w:themeColor="text1" w:themeTint="F2"/>
                <w:szCs w:val="21"/>
              </w:rPr>
              <w:t>2</w:t>
            </w:r>
          </w:p>
        </w:tc>
        <w:tc>
          <w:tcPr>
            <w:tcW w:w="2081" w:type="dxa"/>
            <w:vAlign w:val="center"/>
          </w:tcPr>
          <w:p w14:paraId="5DC0C5BB">
            <w:pPr>
              <w:snapToGrid w:val="0"/>
              <w:jc w:val="center"/>
              <w:rPr>
                <w:color w:val="0C0C0C" w:themeColor="text1" w:themeTint="F2"/>
                <w:szCs w:val="21"/>
              </w:rPr>
            </w:pPr>
            <w:r>
              <w:rPr>
                <w:color w:val="0C0C0C" w:themeColor="text1" w:themeTint="F2"/>
                <w:szCs w:val="21"/>
              </w:rPr>
              <w:t>1</w:t>
            </w:r>
          </w:p>
        </w:tc>
      </w:tr>
      <w:tr w14:paraId="0196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2" w:type="dxa"/>
            <w:vAlign w:val="center"/>
          </w:tcPr>
          <w:p w14:paraId="58D1EE4B">
            <w:pPr>
              <w:snapToGrid w:val="0"/>
              <w:jc w:val="center"/>
              <w:rPr>
                <w:color w:val="0C0C0C" w:themeColor="text1" w:themeTint="F2"/>
                <w:szCs w:val="21"/>
              </w:rPr>
            </w:pPr>
            <w:r>
              <w:rPr>
                <w:color w:val="0C0C0C" w:themeColor="text1" w:themeTint="F2"/>
                <w:szCs w:val="21"/>
              </w:rPr>
              <w:t>3</w:t>
            </w:r>
          </w:p>
        </w:tc>
        <w:tc>
          <w:tcPr>
            <w:tcW w:w="2059" w:type="dxa"/>
            <w:vAlign w:val="center"/>
          </w:tcPr>
          <w:p w14:paraId="4AB1567F">
            <w:pPr>
              <w:snapToGrid w:val="0"/>
              <w:jc w:val="center"/>
              <w:rPr>
                <w:color w:val="0C0C0C" w:themeColor="text1" w:themeTint="F2"/>
                <w:szCs w:val="21"/>
              </w:rPr>
            </w:pPr>
            <w:r>
              <w:rPr>
                <w:color w:val="0C0C0C" w:themeColor="text1" w:themeTint="F2"/>
                <w:szCs w:val="21"/>
              </w:rPr>
              <w:t>包装规格≥10kg（L）的大包装</w:t>
            </w:r>
          </w:p>
        </w:tc>
        <w:tc>
          <w:tcPr>
            <w:tcW w:w="2223" w:type="dxa"/>
            <w:vAlign w:val="center"/>
          </w:tcPr>
          <w:p w14:paraId="4FB4D116">
            <w:pPr>
              <w:snapToGrid w:val="0"/>
              <w:jc w:val="center"/>
              <w:rPr>
                <w:color w:val="0C0C0C" w:themeColor="text1" w:themeTint="F2"/>
                <w:szCs w:val="21"/>
              </w:rPr>
            </w:pPr>
            <w:r>
              <w:rPr>
                <w:color w:val="0C0C0C" w:themeColor="text1" w:themeTint="F2"/>
                <w:szCs w:val="21"/>
              </w:rPr>
              <w:t>3个大包装，从每个大包装产品中分别分装成相应小包装样品，每一个小包装量不少于1kg（L）</w:t>
            </w:r>
          </w:p>
        </w:tc>
        <w:tc>
          <w:tcPr>
            <w:tcW w:w="2083" w:type="dxa"/>
            <w:vAlign w:val="center"/>
          </w:tcPr>
          <w:p w14:paraId="20F563F5">
            <w:pPr>
              <w:snapToGrid w:val="0"/>
              <w:jc w:val="center"/>
              <w:rPr>
                <w:color w:val="0C0C0C" w:themeColor="text1" w:themeTint="F2"/>
                <w:szCs w:val="21"/>
              </w:rPr>
            </w:pPr>
            <w:r>
              <w:rPr>
                <w:color w:val="0C0C0C" w:themeColor="text1" w:themeTint="F2"/>
                <w:szCs w:val="21"/>
              </w:rPr>
              <w:t>2</w:t>
            </w:r>
          </w:p>
        </w:tc>
        <w:tc>
          <w:tcPr>
            <w:tcW w:w="2081" w:type="dxa"/>
            <w:vAlign w:val="center"/>
          </w:tcPr>
          <w:p w14:paraId="03C89722">
            <w:pPr>
              <w:snapToGrid w:val="0"/>
              <w:jc w:val="center"/>
              <w:rPr>
                <w:color w:val="0C0C0C" w:themeColor="text1" w:themeTint="F2"/>
                <w:szCs w:val="21"/>
              </w:rPr>
            </w:pPr>
            <w:r>
              <w:rPr>
                <w:color w:val="0C0C0C" w:themeColor="text1" w:themeTint="F2"/>
                <w:szCs w:val="21"/>
              </w:rPr>
              <w:t>1</w:t>
            </w:r>
          </w:p>
        </w:tc>
      </w:tr>
    </w:tbl>
    <w:p w14:paraId="7B1667C7">
      <w:pPr>
        <w:snapToGrid w:val="0"/>
        <w:spacing w:line="440" w:lineRule="exact"/>
        <w:rPr>
          <w:rFonts w:eastAsia="黑体"/>
          <w:color w:val="0C0C0C" w:themeColor="text1" w:themeTint="F2"/>
          <w:szCs w:val="21"/>
        </w:rPr>
      </w:pPr>
      <w:r>
        <w:rPr>
          <w:rFonts w:eastAsia="黑体"/>
          <w:color w:val="0C0C0C" w:themeColor="text1" w:themeTint="F2"/>
          <w:szCs w:val="21"/>
        </w:rPr>
        <w:t>2 检验依据</w:t>
      </w:r>
    </w:p>
    <w:p w14:paraId="73F013DC">
      <w:pPr>
        <w:adjustRightInd w:val="0"/>
        <w:snapToGrid w:val="0"/>
        <w:spacing w:line="360" w:lineRule="auto"/>
        <w:ind w:firstLine="420"/>
        <w:jc w:val="center"/>
        <w:rPr>
          <w:color w:val="0C0C0C" w:themeColor="text1" w:themeTint="F2"/>
          <w:szCs w:val="21"/>
        </w:rPr>
      </w:pPr>
      <w:r>
        <w:rPr>
          <w:color w:val="0C0C0C" w:themeColor="text1" w:themeTint="F2"/>
          <w:szCs w:val="21"/>
        </w:rPr>
        <w:t>表2 手洗餐具用洗涤剂</w:t>
      </w:r>
    </w:p>
    <w:tbl>
      <w:tblPr>
        <w:tblStyle w:val="6"/>
        <w:tblW w:w="49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3096"/>
        <w:gridCol w:w="5266"/>
      </w:tblGrid>
      <w:tr w14:paraId="208C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jc w:val="center"/>
        </w:trPr>
        <w:tc>
          <w:tcPr>
            <w:tcW w:w="411" w:type="pct"/>
            <w:vAlign w:val="center"/>
          </w:tcPr>
          <w:p w14:paraId="666BDCC7">
            <w:pPr>
              <w:adjustRightInd w:val="0"/>
              <w:snapToGrid w:val="0"/>
              <w:spacing w:line="440" w:lineRule="exact"/>
              <w:jc w:val="center"/>
              <w:rPr>
                <w:color w:val="0C0C0C" w:themeColor="text1" w:themeTint="F2"/>
                <w:szCs w:val="21"/>
              </w:rPr>
            </w:pPr>
            <w:r>
              <w:rPr>
                <w:color w:val="0C0C0C" w:themeColor="text1" w:themeTint="F2"/>
                <w:szCs w:val="21"/>
              </w:rPr>
              <w:t>序号</w:t>
            </w:r>
          </w:p>
        </w:tc>
        <w:tc>
          <w:tcPr>
            <w:tcW w:w="1699" w:type="pct"/>
            <w:vAlign w:val="center"/>
          </w:tcPr>
          <w:p w14:paraId="6D4DF1E0">
            <w:pPr>
              <w:adjustRightInd w:val="0"/>
              <w:snapToGrid w:val="0"/>
              <w:spacing w:line="440" w:lineRule="exact"/>
              <w:jc w:val="center"/>
              <w:rPr>
                <w:color w:val="0C0C0C" w:themeColor="text1" w:themeTint="F2"/>
                <w:szCs w:val="21"/>
              </w:rPr>
            </w:pPr>
            <w:r>
              <w:rPr>
                <w:color w:val="0C0C0C" w:themeColor="text1" w:themeTint="F2"/>
                <w:szCs w:val="21"/>
              </w:rPr>
              <w:t>检验项目</w:t>
            </w:r>
          </w:p>
        </w:tc>
        <w:tc>
          <w:tcPr>
            <w:tcW w:w="2890" w:type="pct"/>
            <w:vAlign w:val="center"/>
          </w:tcPr>
          <w:p w14:paraId="3940B66E">
            <w:pPr>
              <w:adjustRightInd w:val="0"/>
              <w:snapToGrid w:val="0"/>
              <w:spacing w:line="440" w:lineRule="exact"/>
              <w:jc w:val="center"/>
              <w:rPr>
                <w:color w:val="0C0C0C" w:themeColor="text1" w:themeTint="F2"/>
                <w:szCs w:val="21"/>
              </w:rPr>
            </w:pPr>
            <w:r>
              <w:rPr>
                <w:color w:val="0C0C0C" w:themeColor="text1" w:themeTint="F2"/>
                <w:szCs w:val="21"/>
              </w:rPr>
              <w:t>检验方法</w:t>
            </w:r>
          </w:p>
        </w:tc>
      </w:tr>
      <w:tr w14:paraId="3FD7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11" w:type="pct"/>
            <w:vAlign w:val="center"/>
          </w:tcPr>
          <w:p w14:paraId="697F35E0">
            <w:pPr>
              <w:adjustRightInd w:val="0"/>
              <w:snapToGrid w:val="0"/>
              <w:jc w:val="center"/>
              <w:rPr>
                <w:color w:val="0C0C0C" w:themeColor="text1" w:themeTint="F2"/>
                <w:szCs w:val="21"/>
              </w:rPr>
            </w:pPr>
            <w:r>
              <w:rPr>
                <w:rFonts w:hint="eastAsia"/>
                <w:color w:val="0C0C0C" w:themeColor="text1" w:themeTint="F2"/>
                <w:szCs w:val="21"/>
              </w:rPr>
              <w:t>1</w:t>
            </w:r>
          </w:p>
        </w:tc>
        <w:tc>
          <w:tcPr>
            <w:tcW w:w="1699" w:type="pct"/>
            <w:vAlign w:val="center"/>
          </w:tcPr>
          <w:p w14:paraId="4D015AE8">
            <w:pPr>
              <w:adjustRightInd w:val="0"/>
              <w:snapToGrid w:val="0"/>
              <w:jc w:val="center"/>
              <w:rPr>
                <w:color w:val="0C0C0C" w:themeColor="text1" w:themeTint="F2"/>
                <w:szCs w:val="21"/>
              </w:rPr>
            </w:pPr>
            <w:r>
              <w:rPr>
                <w:color w:val="0C0C0C" w:themeColor="text1" w:themeTint="F2"/>
                <w:szCs w:val="21"/>
              </w:rPr>
              <w:t>总砷（以As计）</w:t>
            </w:r>
          </w:p>
        </w:tc>
        <w:tc>
          <w:tcPr>
            <w:tcW w:w="2890" w:type="pct"/>
            <w:vAlign w:val="center"/>
          </w:tcPr>
          <w:p w14:paraId="2D402001">
            <w:pPr>
              <w:adjustRightInd w:val="0"/>
              <w:snapToGrid w:val="0"/>
              <w:jc w:val="center"/>
              <w:rPr>
                <w:color w:val="0C0C0C" w:themeColor="text1" w:themeTint="F2"/>
                <w:szCs w:val="21"/>
              </w:rPr>
            </w:pPr>
            <w:r>
              <w:rPr>
                <w:color w:val="0C0C0C" w:themeColor="text1" w:themeTint="F2"/>
                <w:szCs w:val="21"/>
              </w:rPr>
              <w:t>GB/T 30797</w:t>
            </w:r>
            <w:r>
              <w:rPr>
                <w:rFonts w:hint="eastAsia"/>
                <w:color w:val="0C0C0C" w:themeColor="text1" w:themeTint="F2"/>
                <w:szCs w:val="21"/>
              </w:rPr>
              <w:t>—</w:t>
            </w:r>
            <w:r>
              <w:rPr>
                <w:color w:val="0C0C0C" w:themeColor="text1" w:themeTint="F2"/>
                <w:szCs w:val="21"/>
              </w:rPr>
              <w:t>2014</w:t>
            </w:r>
          </w:p>
        </w:tc>
      </w:tr>
      <w:tr w14:paraId="5997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11" w:type="pct"/>
            <w:vAlign w:val="center"/>
          </w:tcPr>
          <w:p w14:paraId="642DFF1E">
            <w:pPr>
              <w:adjustRightInd w:val="0"/>
              <w:snapToGrid w:val="0"/>
              <w:jc w:val="center"/>
              <w:rPr>
                <w:color w:val="0C0C0C" w:themeColor="text1" w:themeTint="F2"/>
                <w:szCs w:val="21"/>
              </w:rPr>
            </w:pPr>
            <w:r>
              <w:rPr>
                <w:rFonts w:hint="eastAsia"/>
                <w:color w:val="0C0C0C" w:themeColor="text1" w:themeTint="F2"/>
                <w:szCs w:val="21"/>
              </w:rPr>
              <w:t>2</w:t>
            </w:r>
          </w:p>
        </w:tc>
        <w:tc>
          <w:tcPr>
            <w:tcW w:w="1699" w:type="pct"/>
            <w:vAlign w:val="center"/>
          </w:tcPr>
          <w:p w14:paraId="7FF738CB">
            <w:pPr>
              <w:adjustRightInd w:val="0"/>
              <w:snapToGrid w:val="0"/>
              <w:jc w:val="center"/>
              <w:rPr>
                <w:color w:val="0C0C0C" w:themeColor="text1" w:themeTint="F2"/>
                <w:szCs w:val="21"/>
              </w:rPr>
            </w:pPr>
            <w:r>
              <w:rPr>
                <w:color w:val="0C0C0C" w:themeColor="text1" w:themeTint="F2"/>
                <w:szCs w:val="21"/>
              </w:rPr>
              <w:t>重金属（以Pb计）</w:t>
            </w:r>
          </w:p>
        </w:tc>
        <w:tc>
          <w:tcPr>
            <w:tcW w:w="2890" w:type="pct"/>
            <w:vAlign w:val="center"/>
          </w:tcPr>
          <w:p w14:paraId="38C18858">
            <w:pPr>
              <w:adjustRightInd w:val="0"/>
              <w:snapToGrid w:val="0"/>
              <w:jc w:val="center"/>
              <w:rPr>
                <w:color w:val="0C0C0C" w:themeColor="text1" w:themeTint="F2"/>
                <w:szCs w:val="21"/>
              </w:rPr>
            </w:pPr>
            <w:r>
              <w:rPr>
                <w:color w:val="0C0C0C" w:themeColor="text1" w:themeTint="F2"/>
                <w:szCs w:val="21"/>
              </w:rPr>
              <w:t>GB/T 30799</w:t>
            </w:r>
            <w:r>
              <w:rPr>
                <w:rFonts w:hint="eastAsia"/>
                <w:color w:val="0C0C0C" w:themeColor="text1" w:themeTint="F2"/>
                <w:szCs w:val="21"/>
              </w:rPr>
              <w:t>—</w:t>
            </w:r>
            <w:r>
              <w:rPr>
                <w:color w:val="0C0C0C" w:themeColor="text1" w:themeTint="F2"/>
                <w:szCs w:val="21"/>
              </w:rPr>
              <w:t>2014</w:t>
            </w:r>
          </w:p>
        </w:tc>
      </w:tr>
      <w:tr w14:paraId="3B5D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pct"/>
            <w:vAlign w:val="center"/>
          </w:tcPr>
          <w:p w14:paraId="3A1DDEBD">
            <w:pPr>
              <w:adjustRightInd w:val="0"/>
              <w:snapToGrid w:val="0"/>
              <w:jc w:val="center"/>
              <w:rPr>
                <w:color w:val="0C0C0C" w:themeColor="text1" w:themeTint="F2"/>
                <w:szCs w:val="21"/>
              </w:rPr>
            </w:pPr>
            <w:r>
              <w:rPr>
                <w:color w:val="0C0C0C" w:themeColor="text1" w:themeTint="F2"/>
                <w:szCs w:val="21"/>
              </w:rPr>
              <w:t>3</w:t>
            </w:r>
          </w:p>
        </w:tc>
        <w:tc>
          <w:tcPr>
            <w:tcW w:w="1699" w:type="pct"/>
            <w:vAlign w:val="center"/>
          </w:tcPr>
          <w:p w14:paraId="335033BC">
            <w:pPr>
              <w:adjustRightInd w:val="0"/>
              <w:snapToGrid w:val="0"/>
              <w:jc w:val="center"/>
              <w:rPr>
                <w:color w:val="0C0C0C" w:themeColor="text1" w:themeTint="F2"/>
                <w:szCs w:val="21"/>
              </w:rPr>
            </w:pPr>
            <w:r>
              <w:rPr>
                <w:color w:val="0C0C0C" w:themeColor="text1" w:themeTint="F2"/>
                <w:szCs w:val="21"/>
              </w:rPr>
              <w:t>甲醇</w:t>
            </w:r>
          </w:p>
        </w:tc>
        <w:tc>
          <w:tcPr>
            <w:tcW w:w="2890" w:type="pct"/>
            <w:vAlign w:val="center"/>
          </w:tcPr>
          <w:p w14:paraId="0950A2E0">
            <w:pPr>
              <w:adjustRightInd w:val="0"/>
              <w:snapToGrid w:val="0"/>
              <w:jc w:val="center"/>
              <w:rPr>
                <w:color w:val="0C0C0C" w:themeColor="text1" w:themeTint="F2"/>
                <w:szCs w:val="21"/>
              </w:rPr>
            </w:pPr>
            <w:r>
              <w:rPr>
                <w:color w:val="0C0C0C" w:themeColor="text1" w:themeTint="F2"/>
                <w:szCs w:val="21"/>
              </w:rPr>
              <w:t>GB/T 30795</w:t>
            </w:r>
            <w:r>
              <w:rPr>
                <w:rFonts w:hint="eastAsia"/>
                <w:color w:val="0C0C0C" w:themeColor="text1" w:themeTint="F2"/>
                <w:szCs w:val="21"/>
              </w:rPr>
              <w:t>—</w:t>
            </w:r>
            <w:r>
              <w:rPr>
                <w:color w:val="0C0C0C" w:themeColor="text1" w:themeTint="F2"/>
                <w:szCs w:val="21"/>
              </w:rPr>
              <w:t>2014</w:t>
            </w:r>
          </w:p>
        </w:tc>
      </w:tr>
      <w:tr w14:paraId="165A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pct"/>
            <w:vAlign w:val="center"/>
          </w:tcPr>
          <w:p w14:paraId="3989B72E">
            <w:pPr>
              <w:adjustRightInd w:val="0"/>
              <w:snapToGrid w:val="0"/>
              <w:jc w:val="center"/>
              <w:rPr>
                <w:color w:val="0C0C0C" w:themeColor="text1" w:themeTint="F2"/>
                <w:szCs w:val="21"/>
              </w:rPr>
            </w:pPr>
            <w:r>
              <w:rPr>
                <w:color w:val="0C0C0C" w:themeColor="text1" w:themeTint="F2"/>
                <w:szCs w:val="21"/>
              </w:rPr>
              <w:t>4</w:t>
            </w:r>
          </w:p>
        </w:tc>
        <w:tc>
          <w:tcPr>
            <w:tcW w:w="1699" w:type="pct"/>
            <w:vAlign w:val="center"/>
          </w:tcPr>
          <w:p w14:paraId="33813B69">
            <w:pPr>
              <w:adjustRightInd w:val="0"/>
              <w:snapToGrid w:val="0"/>
              <w:jc w:val="center"/>
              <w:rPr>
                <w:color w:val="0C0C0C" w:themeColor="text1" w:themeTint="F2"/>
                <w:szCs w:val="21"/>
              </w:rPr>
            </w:pPr>
            <w:r>
              <w:rPr>
                <w:color w:val="0C0C0C" w:themeColor="text1" w:themeTint="F2"/>
                <w:szCs w:val="21"/>
              </w:rPr>
              <w:t>甲醛</w:t>
            </w:r>
          </w:p>
        </w:tc>
        <w:tc>
          <w:tcPr>
            <w:tcW w:w="2890" w:type="pct"/>
            <w:vAlign w:val="center"/>
          </w:tcPr>
          <w:p w14:paraId="15FA048D">
            <w:pPr>
              <w:adjustRightInd w:val="0"/>
              <w:snapToGrid w:val="0"/>
              <w:jc w:val="center"/>
              <w:rPr>
                <w:color w:val="0C0C0C" w:themeColor="text1" w:themeTint="F2"/>
                <w:szCs w:val="21"/>
              </w:rPr>
            </w:pPr>
            <w:r>
              <w:rPr>
                <w:color w:val="0C0C0C" w:themeColor="text1" w:themeTint="F2"/>
                <w:szCs w:val="21"/>
              </w:rPr>
              <w:t>GB/T 30796</w:t>
            </w:r>
            <w:r>
              <w:rPr>
                <w:rFonts w:hint="eastAsia"/>
                <w:color w:val="0C0C0C" w:themeColor="text1" w:themeTint="F2"/>
                <w:szCs w:val="21"/>
              </w:rPr>
              <w:t>—</w:t>
            </w:r>
            <w:r>
              <w:rPr>
                <w:color w:val="0C0C0C" w:themeColor="text1" w:themeTint="F2"/>
                <w:szCs w:val="21"/>
              </w:rPr>
              <w:t>2014</w:t>
            </w:r>
          </w:p>
        </w:tc>
      </w:tr>
      <w:tr w14:paraId="72CF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vAlign w:val="center"/>
          </w:tcPr>
          <w:p w14:paraId="3762F0C0">
            <w:pPr>
              <w:adjustRightInd w:val="0"/>
              <w:snapToGrid w:val="0"/>
              <w:jc w:val="center"/>
              <w:rPr>
                <w:color w:val="0C0C0C" w:themeColor="text1" w:themeTint="F2"/>
                <w:szCs w:val="21"/>
              </w:rPr>
            </w:pPr>
            <w:r>
              <w:rPr>
                <w:rFonts w:hint="eastAsia"/>
                <w:color w:val="0C0C0C" w:themeColor="text1" w:themeTint="F2"/>
                <w:szCs w:val="21"/>
              </w:rPr>
              <w:t>6</w:t>
            </w:r>
          </w:p>
        </w:tc>
        <w:tc>
          <w:tcPr>
            <w:tcW w:w="1699" w:type="pct"/>
            <w:vAlign w:val="center"/>
          </w:tcPr>
          <w:p w14:paraId="7DE50914">
            <w:pPr>
              <w:adjustRightInd w:val="0"/>
              <w:snapToGrid w:val="0"/>
              <w:jc w:val="center"/>
              <w:rPr>
                <w:color w:val="0C0C0C" w:themeColor="text1" w:themeTint="F2"/>
                <w:szCs w:val="21"/>
              </w:rPr>
            </w:pPr>
            <w:r>
              <w:rPr>
                <w:color w:val="0C0C0C" w:themeColor="text1" w:themeTint="F2"/>
                <w:szCs w:val="21"/>
              </w:rPr>
              <w:t>菌落总数</w:t>
            </w:r>
          </w:p>
        </w:tc>
        <w:tc>
          <w:tcPr>
            <w:tcW w:w="2890" w:type="pct"/>
            <w:vAlign w:val="center"/>
          </w:tcPr>
          <w:p w14:paraId="3CEDCC29">
            <w:pPr>
              <w:adjustRightInd w:val="0"/>
              <w:snapToGrid w:val="0"/>
              <w:jc w:val="center"/>
              <w:rPr>
                <w:color w:val="0C0C0C" w:themeColor="text1" w:themeTint="F2"/>
                <w:szCs w:val="21"/>
              </w:rPr>
            </w:pPr>
            <w:r>
              <w:rPr>
                <w:color w:val="0C0C0C" w:themeColor="text1" w:themeTint="F2"/>
                <w:szCs w:val="21"/>
              </w:rPr>
              <w:t>GB 14930.1—2022</w:t>
            </w:r>
          </w:p>
          <w:p w14:paraId="0613CF96">
            <w:pPr>
              <w:adjustRightInd w:val="0"/>
              <w:snapToGrid w:val="0"/>
              <w:jc w:val="center"/>
              <w:rPr>
                <w:color w:val="0C0C0C" w:themeColor="text1" w:themeTint="F2"/>
                <w:szCs w:val="21"/>
              </w:rPr>
            </w:pPr>
            <w:r>
              <w:rPr>
                <w:color w:val="0C0C0C" w:themeColor="text1" w:themeTint="F2"/>
                <w:szCs w:val="21"/>
              </w:rPr>
              <w:t>GB 4789.2</w:t>
            </w:r>
            <w:r>
              <w:rPr>
                <w:rFonts w:hint="eastAsia"/>
                <w:color w:val="0C0C0C" w:themeColor="text1" w:themeTint="F2"/>
                <w:szCs w:val="21"/>
              </w:rPr>
              <w:t>—</w:t>
            </w:r>
            <w:r>
              <w:rPr>
                <w:color w:val="0C0C0C" w:themeColor="text1" w:themeTint="F2"/>
                <w:szCs w:val="21"/>
              </w:rPr>
              <w:t>2022</w:t>
            </w:r>
          </w:p>
        </w:tc>
      </w:tr>
      <w:tr w14:paraId="42E2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vAlign w:val="center"/>
          </w:tcPr>
          <w:p w14:paraId="4A7DCE78">
            <w:pPr>
              <w:adjustRightInd w:val="0"/>
              <w:snapToGrid w:val="0"/>
              <w:jc w:val="center"/>
              <w:rPr>
                <w:color w:val="0C0C0C" w:themeColor="text1" w:themeTint="F2"/>
                <w:szCs w:val="21"/>
              </w:rPr>
            </w:pPr>
            <w:r>
              <w:rPr>
                <w:color w:val="0C0C0C" w:themeColor="text1" w:themeTint="F2"/>
                <w:szCs w:val="21"/>
              </w:rPr>
              <w:t>7</w:t>
            </w:r>
          </w:p>
        </w:tc>
        <w:tc>
          <w:tcPr>
            <w:tcW w:w="1699" w:type="pct"/>
            <w:vAlign w:val="center"/>
          </w:tcPr>
          <w:p w14:paraId="6EFDE9C3">
            <w:pPr>
              <w:adjustRightInd w:val="0"/>
              <w:snapToGrid w:val="0"/>
              <w:jc w:val="center"/>
              <w:rPr>
                <w:color w:val="0C0C0C" w:themeColor="text1" w:themeTint="F2"/>
                <w:szCs w:val="21"/>
              </w:rPr>
            </w:pPr>
            <w:r>
              <w:rPr>
                <w:color w:val="0C0C0C" w:themeColor="text1" w:themeTint="F2"/>
                <w:szCs w:val="21"/>
              </w:rPr>
              <w:t>大肠菌群</w:t>
            </w:r>
          </w:p>
        </w:tc>
        <w:tc>
          <w:tcPr>
            <w:tcW w:w="2890" w:type="pct"/>
            <w:vAlign w:val="center"/>
          </w:tcPr>
          <w:p w14:paraId="0F178751">
            <w:pPr>
              <w:adjustRightInd w:val="0"/>
              <w:snapToGrid w:val="0"/>
              <w:jc w:val="center"/>
              <w:rPr>
                <w:color w:val="0C0C0C" w:themeColor="text1" w:themeTint="F2"/>
                <w:szCs w:val="21"/>
              </w:rPr>
            </w:pPr>
            <w:r>
              <w:rPr>
                <w:color w:val="0C0C0C" w:themeColor="text1" w:themeTint="F2"/>
                <w:szCs w:val="21"/>
              </w:rPr>
              <w:t>GB 14930.1—2022</w:t>
            </w:r>
          </w:p>
          <w:p w14:paraId="348A30CF">
            <w:pPr>
              <w:adjustRightInd w:val="0"/>
              <w:snapToGrid w:val="0"/>
              <w:jc w:val="center"/>
              <w:rPr>
                <w:color w:val="0C0C0C" w:themeColor="text1" w:themeTint="F2"/>
                <w:szCs w:val="21"/>
              </w:rPr>
            </w:pPr>
            <w:r>
              <w:rPr>
                <w:color w:val="0C0C0C" w:themeColor="text1" w:themeTint="F2"/>
                <w:szCs w:val="21"/>
              </w:rPr>
              <w:t>GB 4789.3</w:t>
            </w:r>
            <w:r>
              <w:rPr>
                <w:rFonts w:hint="eastAsia"/>
                <w:color w:val="0C0C0C" w:themeColor="text1" w:themeTint="F2"/>
                <w:szCs w:val="21"/>
              </w:rPr>
              <w:t>—</w:t>
            </w:r>
            <w:r>
              <w:rPr>
                <w:color w:val="0C0C0C" w:themeColor="text1" w:themeTint="F2"/>
                <w:szCs w:val="21"/>
              </w:rPr>
              <w:t>2016</w:t>
            </w:r>
            <w:r>
              <w:rPr>
                <w:rFonts w:hint="eastAsia"/>
                <w:color w:val="0C0C0C" w:themeColor="text1" w:themeTint="F2"/>
                <w:szCs w:val="21"/>
              </w:rPr>
              <w:t>大肠菌群平板计数法</w:t>
            </w:r>
          </w:p>
        </w:tc>
      </w:tr>
      <w:tr w14:paraId="333D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pct"/>
            <w:vAlign w:val="center"/>
          </w:tcPr>
          <w:p w14:paraId="1EF08F5F">
            <w:pPr>
              <w:adjustRightInd w:val="0"/>
              <w:snapToGrid w:val="0"/>
              <w:jc w:val="center"/>
              <w:rPr>
                <w:color w:val="0C0C0C" w:themeColor="text1" w:themeTint="F2"/>
                <w:szCs w:val="21"/>
              </w:rPr>
            </w:pPr>
            <w:r>
              <w:rPr>
                <w:color w:val="0C0C0C" w:themeColor="text1" w:themeTint="F2"/>
                <w:szCs w:val="21"/>
              </w:rPr>
              <w:t>8</w:t>
            </w:r>
          </w:p>
        </w:tc>
        <w:tc>
          <w:tcPr>
            <w:tcW w:w="1699" w:type="pct"/>
            <w:vAlign w:val="center"/>
          </w:tcPr>
          <w:p w14:paraId="5A6AD73A">
            <w:pPr>
              <w:adjustRightInd w:val="0"/>
              <w:snapToGrid w:val="0"/>
              <w:jc w:val="center"/>
              <w:rPr>
                <w:color w:val="0C0C0C" w:themeColor="text1" w:themeTint="F2"/>
                <w:szCs w:val="21"/>
                <w:vertAlign w:val="superscript"/>
              </w:rPr>
            </w:pPr>
            <w:r>
              <w:rPr>
                <w:rFonts w:hint="eastAsia"/>
                <w:color w:val="0C0C0C" w:themeColor="text1" w:themeTint="F2"/>
                <w:szCs w:val="21"/>
              </w:rPr>
              <w:t>总有效物含量</w:t>
            </w:r>
            <w:r>
              <w:rPr>
                <w:rFonts w:hint="eastAsia"/>
                <w:color w:val="0C0C0C" w:themeColor="text1" w:themeTint="F2"/>
                <w:szCs w:val="21"/>
                <w:vertAlign w:val="superscript"/>
              </w:rPr>
              <w:t>a</w:t>
            </w:r>
          </w:p>
        </w:tc>
        <w:tc>
          <w:tcPr>
            <w:tcW w:w="2890" w:type="pct"/>
            <w:vAlign w:val="center"/>
          </w:tcPr>
          <w:p w14:paraId="3CE23619">
            <w:pPr>
              <w:adjustRightInd w:val="0"/>
              <w:snapToGrid w:val="0"/>
              <w:jc w:val="center"/>
              <w:rPr>
                <w:color w:val="0C0C0C" w:themeColor="text1" w:themeTint="F2"/>
                <w:szCs w:val="21"/>
              </w:rPr>
            </w:pPr>
            <w:r>
              <w:rPr>
                <w:rFonts w:hint="eastAsia"/>
                <w:color w:val="0C0C0C" w:themeColor="text1" w:themeTint="F2"/>
                <w:szCs w:val="21"/>
              </w:rPr>
              <w:t>GB/T 9985—2000</w:t>
            </w:r>
          </w:p>
          <w:p w14:paraId="0A15CD8D">
            <w:pPr>
              <w:adjustRightInd w:val="0"/>
              <w:snapToGrid w:val="0"/>
              <w:jc w:val="center"/>
              <w:rPr>
                <w:color w:val="0C0C0C" w:themeColor="text1" w:themeTint="F2"/>
                <w:szCs w:val="21"/>
              </w:rPr>
            </w:pPr>
            <w:r>
              <w:rPr>
                <w:color w:val="0C0C0C" w:themeColor="text1" w:themeTint="F2"/>
                <w:szCs w:val="21"/>
              </w:rPr>
              <w:t>GB/T 13173</w:t>
            </w:r>
            <w:r>
              <w:rPr>
                <w:rFonts w:hint="eastAsia"/>
                <w:color w:val="0C0C0C" w:themeColor="text1" w:themeTint="F2"/>
                <w:szCs w:val="21"/>
              </w:rPr>
              <w:t>—</w:t>
            </w:r>
            <w:r>
              <w:rPr>
                <w:color w:val="0C0C0C" w:themeColor="text1" w:themeTint="F2"/>
                <w:szCs w:val="21"/>
              </w:rPr>
              <w:t xml:space="preserve">2021 </w:t>
            </w:r>
          </w:p>
        </w:tc>
      </w:tr>
      <w:tr w14:paraId="5AC6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3"/>
            <w:vAlign w:val="center"/>
          </w:tcPr>
          <w:p w14:paraId="47AA1CBB">
            <w:pPr>
              <w:adjustRightInd w:val="0"/>
              <w:snapToGrid w:val="0"/>
              <w:jc w:val="left"/>
              <w:rPr>
                <w:color w:val="0C0C0C" w:themeColor="text1" w:themeTint="F2"/>
                <w:szCs w:val="21"/>
              </w:rPr>
            </w:pPr>
            <w:r>
              <w:rPr>
                <w:color w:val="0C0C0C" w:themeColor="text1" w:themeTint="F2"/>
                <w:szCs w:val="21"/>
              </w:rPr>
              <w:t>注</w:t>
            </w:r>
            <w:r>
              <w:rPr>
                <w:rFonts w:hint="eastAsia"/>
                <w:color w:val="0C0C0C" w:themeColor="text1" w:themeTint="F2"/>
                <w:szCs w:val="21"/>
              </w:rPr>
              <w:t>：a执行标准为GB/T 9985—2022的样品依据GB/T 13173—2021检验方法开展检验。</w:t>
            </w:r>
          </w:p>
        </w:tc>
      </w:tr>
    </w:tbl>
    <w:p w14:paraId="1D3C4BA3">
      <w:pPr>
        <w:adjustRightInd w:val="0"/>
        <w:snapToGrid w:val="0"/>
        <w:spacing w:line="360" w:lineRule="auto"/>
        <w:rPr>
          <w:color w:val="0C0C0C" w:themeColor="text1" w:themeTint="F2"/>
          <w:szCs w:val="21"/>
        </w:rPr>
      </w:pPr>
    </w:p>
    <w:p w14:paraId="641497C4">
      <w:pPr>
        <w:adjustRightInd w:val="0"/>
        <w:snapToGrid w:val="0"/>
        <w:spacing w:line="440" w:lineRule="exact"/>
        <w:ind w:firstLine="420" w:firstLineChars="200"/>
        <w:rPr>
          <w:color w:val="0C0C0C" w:themeColor="text1" w:themeTint="F2"/>
          <w:szCs w:val="21"/>
        </w:rPr>
      </w:pPr>
      <w:bookmarkStart w:id="0" w:name="_Hlk40347690"/>
      <w:r>
        <w:rPr>
          <w:color w:val="0C0C0C" w:themeColor="text1" w:themeTint="F2"/>
          <w:szCs w:val="21"/>
        </w:rPr>
        <w:t>执行企业标准、团体标准、地方标准的产品，检验项目参照上述内容执行。</w:t>
      </w:r>
      <w:bookmarkEnd w:id="0"/>
    </w:p>
    <w:p w14:paraId="4409D191">
      <w:pPr>
        <w:snapToGrid w:val="0"/>
        <w:spacing w:line="440" w:lineRule="exact"/>
        <w:ind w:firstLine="359" w:firstLineChars="171"/>
        <w:rPr>
          <w:color w:val="0C0C0C" w:themeColor="text1" w:themeTint="F2"/>
          <w:szCs w:val="21"/>
        </w:rPr>
      </w:pPr>
      <w:r>
        <w:rPr>
          <w:color w:val="0C0C0C" w:themeColor="text1" w:themeTint="F2"/>
          <w:szCs w:val="21"/>
        </w:rPr>
        <w:t>凡是注日期的文件，其随后所有的修改单（不包括勘误的内容）或修订版不适用于本细则。凡是不注日期的文件，其最新版本适用于本细则。</w:t>
      </w:r>
    </w:p>
    <w:p w14:paraId="6CD6ABFE">
      <w:pPr>
        <w:snapToGrid w:val="0"/>
        <w:spacing w:line="440" w:lineRule="exact"/>
        <w:ind w:firstLine="359" w:firstLineChars="171"/>
        <w:rPr>
          <w:rFonts w:hint="eastAsia" w:eastAsia="宋体"/>
          <w:color w:val="0C0C0C" w:themeColor="text1" w:themeTint="F2"/>
          <w:szCs w:val="21"/>
          <w:lang w:eastAsia="zh-CN"/>
        </w:rPr>
      </w:pPr>
      <w:r>
        <w:rPr>
          <w:rFonts w:hint="eastAsia"/>
          <w:color w:val="0C0C0C" w:themeColor="text1" w:themeTint="F2"/>
          <w:szCs w:val="21"/>
        </w:rPr>
        <w:t>复检用样品均适用备样</w:t>
      </w:r>
      <w:r>
        <w:rPr>
          <w:rFonts w:hint="eastAsia"/>
          <w:color w:val="0C0C0C" w:themeColor="text1" w:themeTint="F2"/>
          <w:szCs w:val="21"/>
          <w:lang w:eastAsia="zh-CN"/>
        </w:rPr>
        <w:t>。</w:t>
      </w:r>
      <w:bookmarkStart w:id="1" w:name="_GoBack"/>
      <w:bookmarkEnd w:id="1"/>
    </w:p>
    <w:p w14:paraId="78FE4358">
      <w:pPr>
        <w:snapToGrid w:val="0"/>
        <w:spacing w:line="440" w:lineRule="exact"/>
        <w:ind w:firstLine="359" w:firstLineChars="171"/>
        <w:rPr>
          <w:rFonts w:eastAsia="黑体"/>
          <w:color w:val="0C0C0C" w:themeColor="text1" w:themeTint="F2"/>
          <w:szCs w:val="21"/>
        </w:rPr>
      </w:pPr>
    </w:p>
    <w:p w14:paraId="79976759">
      <w:pPr>
        <w:spacing w:line="360" w:lineRule="auto"/>
        <w:rPr>
          <w:rFonts w:eastAsia="黑体"/>
          <w:color w:val="0C0C0C" w:themeColor="text1" w:themeTint="F2"/>
          <w:szCs w:val="21"/>
        </w:rPr>
      </w:pPr>
      <w:r>
        <w:rPr>
          <w:rFonts w:eastAsia="黑体"/>
          <w:color w:val="0C0C0C" w:themeColor="text1" w:themeTint="F2"/>
          <w:szCs w:val="21"/>
        </w:rPr>
        <w:t>3 判定规则</w:t>
      </w:r>
    </w:p>
    <w:p w14:paraId="3A3B5D84">
      <w:pPr>
        <w:snapToGrid w:val="0"/>
        <w:spacing w:line="440" w:lineRule="exact"/>
        <w:rPr>
          <w:color w:val="0C0C0C" w:themeColor="text1" w:themeTint="F2"/>
          <w:szCs w:val="21"/>
        </w:rPr>
      </w:pPr>
      <w:r>
        <w:rPr>
          <w:color w:val="0C0C0C" w:themeColor="text1" w:themeTint="F2"/>
          <w:szCs w:val="21"/>
        </w:rPr>
        <w:t>3.1依据标准</w:t>
      </w:r>
    </w:p>
    <w:p w14:paraId="6B5F6D8C">
      <w:pPr>
        <w:snapToGrid w:val="0"/>
        <w:spacing w:line="440" w:lineRule="exact"/>
        <w:ind w:firstLine="420" w:firstLineChars="200"/>
        <w:rPr>
          <w:color w:val="0C0C0C" w:themeColor="text1" w:themeTint="F2"/>
          <w:szCs w:val="21"/>
        </w:rPr>
      </w:pPr>
      <w:r>
        <w:rPr>
          <w:color w:val="0C0C0C" w:themeColor="text1" w:themeTint="F2"/>
          <w:szCs w:val="21"/>
        </w:rPr>
        <w:t>GB 14930.1</w:t>
      </w:r>
      <w:r>
        <w:rPr>
          <w:rFonts w:hint="eastAsia"/>
          <w:color w:val="0C0C0C" w:themeColor="text1" w:themeTint="F2"/>
          <w:szCs w:val="21"/>
        </w:rPr>
        <w:t>—</w:t>
      </w:r>
      <w:r>
        <w:rPr>
          <w:color w:val="0C0C0C" w:themeColor="text1" w:themeTint="F2"/>
          <w:szCs w:val="21"/>
        </w:rPr>
        <w:t>2022 食品安全国家标准洗涤剂</w:t>
      </w:r>
    </w:p>
    <w:p w14:paraId="437F91C0">
      <w:pPr>
        <w:tabs>
          <w:tab w:val="left" w:pos="3812"/>
        </w:tabs>
        <w:snapToGrid w:val="0"/>
        <w:spacing w:line="440" w:lineRule="exact"/>
        <w:ind w:firstLine="420" w:firstLineChars="200"/>
        <w:rPr>
          <w:color w:val="0C0C0C" w:themeColor="text1" w:themeTint="F2"/>
          <w:szCs w:val="21"/>
        </w:rPr>
      </w:pPr>
      <w:r>
        <w:rPr>
          <w:rFonts w:hint="eastAsia"/>
          <w:color w:val="0C0C0C" w:themeColor="text1" w:themeTint="F2"/>
          <w:szCs w:val="21"/>
        </w:rPr>
        <w:t>GB/T 9985—2000 手洗餐具用洗涤剂</w:t>
      </w:r>
    </w:p>
    <w:p w14:paraId="446D14D7">
      <w:pPr>
        <w:tabs>
          <w:tab w:val="left" w:pos="3812"/>
        </w:tabs>
        <w:snapToGrid w:val="0"/>
        <w:spacing w:line="440" w:lineRule="exact"/>
        <w:ind w:firstLine="420" w:firstLineChars="200"/>
        <w:rPr>
          <w:color w:val="0C0C0C" w:themeColor="text1" w:themeTint="F2"/>
          <w:szCs w:val="21"/>
        </w:rPr>
      </w:pPr>
      <w:r>
        <w:rPr>
          <w:rFonts w:hint="eastAsia"/>
          <w:color w:val="0C0C0C" w:themeColor="text1" w:themeTint="F2"/>
          <w:szCs w:val="21"/>
        </w:rPr>
        <w:t>GB/T 9985—2022 手洗餐具用洗涤剂</w:t>
      </w:r>
    </w:p>
    <w:p w14:paraId="2925D274">
      <w:pPr>
        <w:snapToGrid w:val="0"/>
        <w:spacing w:line="440" w:lineRule="exact"/>
        <w:ind w:firstLine="359" w:firstLineChars="171"/>
        <w:rPr>
          <w:color w:val="0C0C0C" w:themeColor="text1" w:themeTint="F2"/>
          <w:szCs w:val="21"/>
        </w:rPr>
      </w:pPr>
      <w:r>
        <w:rPr>
          <w:color w:val="0C0C0C" w:themeColor="text1" w:themeTint="F2"/>
          <w:szCs w:val="21"/>
        </w:rPr>
        <w:t>现行有效的企业标准、团体标准、地方标准及产品明示质量要求</w:t>
      </w:r>
    </w:p>
    <w:p w14:paraId="4613C521">
      <w:pPr>
        <w:snapToGrid w:val="0"/>
        <w:spacing w:line="440" w:lineRule="exact"/>
        <w:rPr>
          <w:color w:val="0C0C0C" w:themeColor="text1" w:themeTint="F2"/>
          <w:szCs w:val="21"/>
        </w:rPr>
      </w:pPr>
      <w:r>
        <w:rPr>
          <w:color w:val="0C0C0C" w:themeColor="text1" w:themeTint="F2"/>
          <w:szCs w:val="21"/>
        </w:rPr>
        <w:t>3.2判定原则</w:t>
      </w:r>
    </w:p>
    <w:p w14:paraId="019FF19D">
      <w:pPr>
        <w:snapToGrid w:val="0"/>
        <w:spacing w:line="440" w:lineRule="exact"/>
        <w:ind w:firstLine="420" w:firstLineChars="200"/>
        <w:rPr>
          <w:color w:val="0C0C0C" w:themeColor="text1" w:themeTint="F2"/>
          <w:szCs w:val="21"/>
        </w:rPr>
      </w:pPr>
      <w:r>
        <w:rPr>
          <w:color w:val="0C0C0C" w:themeColor="text1" w:themeTint="F2"/>
          <w:szCs w:val="21"/>
        </w:rPr>
        <w:t>经检验，检验项目全部合格，判定为被抽查产品</w:t>
      </w:r>
      <w:r>
        <w:rPr>
          <w:color w:val="0C0C0C" w:themeColor="text1" w:themeTint="F2"/>
        </w:rPr>
        <w:t>所检项目未发现不合格</w:t>
      </w:r>
      <w:r>
        <w:rPr>
          <w:color w:val="0C0C0C" w:themeColor="text1" w:themeTint="F2"/>
          <w:szCs w:val="21"/>
        </w:rPr>
        <w:t>；检验项目中任一项或一项以上不合格，判定为被抽查产品不合格。</w:t>
      </w:r>
    </w:p>
    <w:p w14:paraId="4FC03158">
      <w:pPr>
        <w:snapToGrid w:val="0"/>
        <w:spacing w:line="440" w:lineRule="exact"/>
        <w:ind w:firstLine="417" w:firstLineChars="199"/>
        <w:rPr>
          <w:color w:val="0C0C0C" w:themeColor="text1" w:themeTint="F2"/>
          <w:szCs w:val="21"/>
        </w:rPr>
      </w:pPr>
      <w:r>
        <w:rPr>
          <w:color w:val="0C0C0C" w:themeColor="text1" w:themeTint="F2"/>
          <w:szCs w:val="21"/>
        </w:rPr>
        <w:t>若被检产品明示的质量要求高于本细则中检验项目依据的标准要求时，应按被检产品明示的质量要求判定。</w:t>
      </w:r>
    </w:p>
    <w:p w14:paraId="03197C73">
      <w:pPr>
        <w:snapToGrid w:val="0"/>
        <w:spacing w:line="440" w:lineRule="exact"/>
        <w:ind w:firstLine="417" w:firstLineChars="199"/>
        <w:rPr>
          <w:color w:val="0C0C0C" w:themeColor="text1" w:themeTint="F2"/>
          <w:szCs w:val="21"/>
        </w:rPr>
      </w:pPr>
      <w:r>
        <w:rPr>
          <w:color w:val="0C0C0C" w:themeColor="text1" w:themeTint="F2"/>
          <w:szCs w:val="21"/>
        </w:rPr>
        <w:t>若被检产品明示的质量要求低于本细则中检验项目依据的强制性标准要求时，应按照强制性标准要求判定。</w:t>
      </w:r>
    </w:p>
    <w:p w14:paraId="6DCB528E">
      <w:pPr>
        <w:snapToGrid w:val="0"/>
        <w:spacing w:line="440" w:lineRule="exact"/>
        <w:ind w:firstLine="417" w:firstLineChars="199"/>
        <w:rPr>
          <w:color w:val="0C0C0C" w:themeColor="text1" w:themeTint="F2"/>
          <w:szCs w:val="21"/>
        </w:rPr>
      </w:pPr>
      <w:r>
        <w:rPr>
          <w:color w:val="0C0C0C" w:themeColor="text1" w:themeTint="F2"/>
          <w:szCs w:val="21"/>
        </w:rPr>
        <w:t>若被检产品明示的质量要求低于或包含本细则中检验项目依据的推荐性标准要求时，应以被检产品明示的质量要求判定。</w:t>
      </w:r>
    </w:p>
    <w:p w14:paraId="59F33020">
      <w:pPr>
        <w:snapToGrid w:val="0"/>
        <w:spacing w:line="440" w:lineRule="exact"/>
        <w:ind w:firstLine="417" w:firstLineChars="199"/>
        <w:rPr>
          <w:color w:val="0C0C0C" w:themeColor="text1" w:themeTint="F2"/>
          <w:szCs w:val="21"/>
        </w:rPr>
      </w:pPr>
      <w:r>
        <w:rPr>
          <w:color w:val="0C0C0C" w:themeColor="text1" w:themeTint="F2"/>
          <w:szCs w:val="21"/>
        </w:rPr>
        <w:t>若被检产品明示的质量要求缺少本细则中检验项目依据的强制性标准要求时，应按照强制性标准要求判定。</w:t>
      </w:r>
    </w:p>
    <w:p w14:paraId="4E67A4FA">
      <w:pPr>
        <w:snapToGrid w:val="0"/>
        <w:spacing w:line="440" w:lineRule="exact"/>
        <w:ind w:firstLine="417" w:firstLineChars="199"/>
        <w:rPr>
          <w:color w:val="0C0C0C" w:themeColor="text1" w:themeTint="F2"/>
          <w:szCs w:val="21"/>
        </w:rPr>
      </w:pPr>
      <w:r>
        <w:rPr>
          <w:color w:val="0C0C0C" w:themeColor="text1" w:themeTint="F2"/>
          <w:szCs w:val="21"/>
        </w:rPr>
        <w:t>若被检产品明示的质量要求缺少本细则中检验项目依据的推荐性标准要求时，该项目不参与判定。</w:t>
      </w:r>
    </w:p>
    <w:p w14:paraId="22D68134">
      <w:pPr>
        <w:snapToGrid w:val="0"/>
        <w:spacing w:line="440" w:lineRule="exact"/>
        <w:ind w:firstLine="417" w:firstLineChars="199"/>
        <w:rPr>
          <w:color w:val="0C0C0C" w:themeColor="text1" w:themeTint="F2"/>
          <w:szCs w:val="21"/>
        </w:rPr>
      </w:pPr>
      <w:r>
        <w:rPr>
          <w:color w:val="0C0C0C" w:themeColor="text1" w:themeTint="F2"/>
          <w:szCs w:val="21"/>
        </w:rPr>
        <w:t>依据GB 4789.1</w:t>
      </w:r>
      <w:r>
        <w:rPr>
          <w:rFonts w:hint="eastAsia"/>
          <w:color w:val="0C0C0C" w:themeColor="text1" w:themeTint="F2"/>
          <w:szCs w:val="21"/>
        </w:rPr>
        <w:t>—</w:t>
      </w:r>
      <w:r>
        <w:rPr>
          <w:color w:val="0C0C0C" w:themeColor="text1" w:themeTint="F2"/>
          <w:szCs w:val="21"/>
        </w:rPr>
        <w:t>2016 《食品安全国家标准食品微生物学检验总则》第7.3条规定“检验结果报告后，剩余样品和同批产品不进行微生物项目的复检”，微生物指标不合格不进行复检。</w:t>
      </w:r>
    </w:p>
    <w:p w14:paraId="331C7D34">
      <w:pPr>
        <w:spacing w:line="360" w:lineRule="auto"/>
        <w:rPr>
          <w:rFonts w:eastAsia="黑体"/>
          <w:color w:val="0C0C0C" w:themeColor="text1" w:themeTint="F2"/>
        </w:rPr>
      </w:pPr>
    </w:p>
    <w:p w14:paraId="31527CC7">
      <w:pPr>
        <w:spacing w:line="360" w:lineRule="auto"/>
        <w:rPr>
          <w:rFonts w:eastAsia="黑体"/>
          <w:color w:val="0C0C0C" w:themeColor="text1" w:themeTint="F2"/>
        </w:rPr>
      </w:pPr>
      <w:r>
        <w:rPr>
          <w:rFonts w:eastAsia="黑体"/>
          <w:color w:val="0C0C0C" w:themeColor="text1" w:themeTint="F2"/>
        </w:rPr>
        <w:t>4 附则</w:t>
      </w:r>
    </w:p>
    <w:p w14:paraId="519BCF53">
      <w:pPr>
        <w:snapToGrid w:val="0"/>
        <w:spacing w:line="440" w:lineRule="exact"/>
        <w:ind w:firstLine="417" w:firstLineChars="199"/>
        <w:rPr>
          <w:color w:val="0C0C0C" w:themeColor="text1" w:themeTint="F2"/>
        </w:rPr>
      </w:pPr>
      <w:r>
        <w:rPr>
          <w:color w:val="0C0C0C" w:themeColor="text1" w:themeTint="F2"/>
        </w:rPr>
        <w:t>本细则代替《市场监管总局关于发布儿童及婴幼儿服装等90种产品质量国家监督抽查实施细则的公告》（</w:t>
      </w:r>
      <w:r>
        <w:rPr>
          <w:rFonts w:hint="eastAsia"/>
          <w:color w:val="0C0C0C" w:themeColor="text1" w:themeTint="F2"/>
        </w:rPr>
        <w:t>2023</w:t>
      </w:r>
      <w:r>
        <w:rPr>
          <w:color w:val="0C0C0C" w:themeColor="text1" w:themeTint="F2"/>
        </w:rPr>
        <w:t>年第</w:t>
      </w:r>
      <w:r>
        <w:rPr>
          <w:rFonts w:hint="eastAsia"/>
          <w:color w:val="0C0C0C" w:themeColor="text1" w:themeTint="F2"/>
        </w:rPr>
        <w:t>15</w:t>
      </w:r>
      <w:r>
        <w:rPr>
          <w:color w:val="0C0C0C" w:themeColor="text1" w:themeTint="F2"/>
        </w:rPr>
        <w:t>号）中的《餐具洗涤剂产品质量国家监督抽查实施细则》。</w:t>
      </w:r>
    </w:p>
    <w:p w14:paraId="62F396B3">
      <w:pPr>
        <w:widowControl/>
        <w:tabs>
          <w:tab w:val="left" w:pos="720"/>
        </w:tabs>
        <w:snapToGrid w:val="0"/>
        <w:spacing w:line="440" w:lineRule="exact"/>
        <w:ind w:firstLine="417" w:firstLineChars="199"/>
        <w:rPr>
          <w:color w:val="0C0C0C" w:themeColor="text1" w:themeTint="F2"/>
        </w:rPr>
      </w:pPr>
    </w:p>
    <w:p w14:paraId="73717B03">
      <w:pPr>
        <w:snapToGrid w:val="0"/>
        <w:spacing w:line="440" w:lineRule="exact"/>
        <w:ind w:firstLine="417" w:firstLineChars="199"/>
        <w:rPr>
          <w:color w:val="0C0C0C" w:themeColor="text1" w:themeTint="F2"/>
          <w:szCs w:val="21"/>
        </w:rPr>
      </w:pPr>
    </w:p>
    <w:sectPr>
      <w:headerReference r:id="rId3" w:type="default"/>
      <w:footerReference r:id="rId4" w:type="default"/>
      <w:footerReference r:id="rId5" w:type="even"/>
      <w:pgSz w:w="11906" w:h="16838"/>
      <w:pgMar w:top="1984"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10A47">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7E00B53B">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DD3F6">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14:paraId="522F20AF">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4362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M5OGJmODRjMDQ3YTAzYTY2YTFkOWJhMWZmYjgzNDcifQ=="/>
  </w:docVars>
  <w:rsids>
    <w:rsidRoot w:val="00172A27"/>
    <w:rsid w:val="00010BFF"/>
    <w:rsid w:val="000146D8"/>
    <w:rsid w:val="0002012A"/>
    <w:rsid w:val="00051A44"/>
    <w:rsid w:val="0006594B"/>
    <w:rsid w:val="00077DED"/>
    <w:rsid w:val="00077E5C"/>
    <w:rsid w:val="00081CBD"/>
    <w:rsid w:val="00084634"/>
    <w:rsid w:val="00090700"/>
    <w:rsid w:val="00093453"/>
    <w:rsid w:val="000976DE"/>
    <w:rsid w:val="000D7781"/>
    <w:rsid w:val="000E0753"/>
    <w:rsid w:val="000E497D"/>
    <w:rsid w:val="000E49F8"/>
    <w:rsid w:val="000F5226"/>
    <w:rsid w:val="000F7C16"/>
    <w:rsid w:val="00100B50"/>
    <w:rsid w:val="00105FEA"/>
    <w:rsid w:val="001159CD"/>
    <w:rsid w:val="00120C9C"/>
    <w:rsid w:val="001216D4"/>
    <w:rsid w:val="00133DB1"/>
    <w:rsid w:val="0015070F"/>
    <w:rsid w:val="00172A27"/>
    <w:rsid w:val="001809DD"/>
    <w:rsid w:val="001840BD"/>
    <w:rsid w:val="001D5CEF"/>
    <w:rsid w:val="001D6739"/>
    <w:rsid w:val="001D6F64"/>
    <w:rsid w:val="001E2570"/>
    <w:rsid w:val="001E4523"/>
    <w:rsid w:val="001F23C9"/>
    <w:rsid w:val="001F4FC1"/>
    <w:rsid w:val="0021099B"/>
    <w:rsid w:val="00210CAB"/>
    <w:rsid w:val="002216DC"/>
    <w:rsid w:val="0023519E"/>
    <w:rsid w:val="00243F97"/>
    <w:rsid w:val="00253624"/>
    <w:rsid w:val="00281ED9"/>
    <w:rsid w:val="00283A5A"/>
    <w:rsid w:val="0028631C"/>
    <w:rsid w:val="002C715B"/>
    <w:rsid w:val="002D0DD0"/>
    <w:rsid w:val="002D44A4"/>
    <w:rsid w:val="002D7441"/>
    <w:rsid w:val="002D7F8A"/>
    <w:rsid w:val="002E0D1D"/>
    <w:rsid w:val="002E21D0"/>
    <w:rsid w:val="003041D3"/>
    <w:rsid w:val="00314654"/>
    <w:rsid w:val="003203A3"/>
    <w:rsid w:val="003254D6"/>
    <w:rsid w:val="0033643C"/>
    <w:rsid w:val="003527BA"/>
    <w:rsid w:val="003736FD"/>
    <w:rsid w:val="00374383"/>
    <w:rsid w:val="00380689"/>
    <w:rsid w:val="003A1DA0"/>
    <w:rsid w:val="003B67F7"/>
    <w:rsid w:val="003B6C91"/>
    <w:rsid w:val="003C0637"/>
    <w:rsid w:val="003C1705"/>
    <w:rsid w:val="003C210C"/>
    <w:rsid w:val="003C388C"/>
    <w:rsid w:val="003C3C74"/>
    <w:rsid w:val="003E61BF"/>
    <w:rsid w:val="004008EC"/>
    <w:rsid w:val="00404ED1"/>
    <w:rsid w:val="00407310"/>
    <w:rsid w:val="00411B89"/>
    <w:rsid w:val="00441637"/>
    <w:rsid w:val="00442162"/>
    <w:rsid w:val="00443505"/>
    <w:rsid w:val="00445E86"/>
    <w:rsid w:val="00474E04"/>
    <w:rsid w:val="004A49AE"/>
    <w:rsid w:val="004A49FE"/>
    <w:rsid w:val="004B29A6"/>
    <w:rsid w:val="004D0C5A"/>
    <w:rsid w:val="004D20AF"/>
    <w:rsid w:val="004E00B8"/>
    <w:rsid w:val="004E10BE"/>
    <w:rsid w:val="004E1396"/>
    <w:rsid w:val="004F72B4"/>
    <w:rsid w:val="00520D97"/>
    <w:rsid w:val="00522E8C"/>
    <w:rsid w:val="0052324F"/>
    <w:rsid w:val="00557CC2"/>
    <w:rsid w:val="00557E4C"/>
    <w:rsid w:val="00563EBC"/>
    <w:rsid w:val="00592F05"/>
    <w:rsid w:val="005A511C"/>
    <w:rsid w:val="005A7E01"/>
    <w:rsid w:val="005B51E3"/>
    <w:rsid w:val="005D460F"/>
    <w:rsid w:val="005E51E9"/>
    <w:rsid w:val="005E5702"/>
    <w:rsid w:val="005F6E13"/>
    <w:rsid w:val="00604576"/>
    <w:rsid w:val="00616424"/>
    <w:rsid w:val="00617C9E"/>
    <w:rsid w:val="00631634"/>
    <w:rsid w:val="0063505C"/>
    <w:rsid w:val="006361EA"/>
    <w:rsid w:val="0065079E"/>
    <w:rsid w:val="006657F4"/>
    <w:rsid w:val="00670C31"/>
    <w:rsid w:val="00676490"/>
    <w:rsid w:val="00690888"/>
    <w:rsid w:val="006B2100"/>
    <w:rsid w:val="006C1681"/>
    <w:rsid w:val="006D1E9D"/>
    <w:rsid w:val="006F0971"/>
    <w:rsid w:val="00702D69"/>
    <w:rsid w:val="00706AD6"/>
    <w:rsid w:val="0072334C"/>
    <w:rsid w:val="0074263C"/>
    <w:rsid w:val="007736DD"/>
    <w:rsid w:val="00775779"/>
    <w:rsid w:val="00791E38"/>
    <w:rsid w:val="007B0C7A"/>
    <w:rsid w:val="007D0B5A"/>
    <w:rsid w:val="007E0A74"/>
    <w:rsid w:val="00801D2C"/>
    <w:rsid w:val="008136E9"/>
    <w:rsid w:val="00821499"/>
    <w:rsid w:val="00843F0F"/>
    <w:rsid w:val="00874689"/>
    <w:rsid w:val="008862EA"/>
    <w:rsid w:val="00895BEA"/>
    <w:rsid w:val="008A3497"/>
    <w:rsid w:val="008A6CE3"/>
    <w:rsid w:val="008A7D31"/>
    <w:rsid w:val="008B2495"/>
    <w:rsid w:val="008D7D0A"/>
    <w:rsid w:val="00906D2B"/>
    <w:rsid w:val="0091761C"/>
    <w:rsid w:val="00917A54"/>
    <w:rsid w:val="00932064"/>
    <w:rsid w:val="00936FF0"/>
    <w:rsid w:val="00943DD1"/>
    <w:rsid w:val="009451B4"/>
    <w:rsid w:val="00955000"/>
    <w:rsid w:val="00962771"/>
    <w:rsid w:val="00983BE0"/>
    <w:rsid w:val="00994FD5"/>
    <w:rsid w:val="009B71D2"/>
    <w:rsid w:val="009C3D96"/>
    <w:rsid w:val="009D5C0D"/>
    <w:rsid w:val="00A05741"/>
    <w:rsid w:val="00A2180C"/>
    <w:rsid w:val="00A378DF"/>
    <w:rsid w:val="00A43553"/>
    <w:rsid w:val="00A606CE"/>
    <w:rsid w:val="00AA65D8"/>
    <w:rsid w:val="00AC30B2"/>
    <w:rsid w:val="00AD62EE"/>
    <w:rsid w:val="00AE524C"/>
    <w:rsid w:val="00B03346"/>
    <w:rsid w:val="00B1139A"/>
    <w:rsid w:val="00B160C9"/>
    <w:rsid w:val="00B364A0"/>
    <w:rsid w:val="00B5796C"/>
    <w:rsid w:val="00B61DB5"/>
    <w:rsid w:val="00B739EE"/>
    <w:rsid w:val="00B752D8"/>
    <w:rsid w:val="00B76430"/>
    <w:rsid w:val="00B8723C"/>
    <w:rsid w:val="00BA24F7"/>
    <w:rsid w:val="00BB7B19"/>
    <w:rsid w:val="00BE3B8C"/>
    <w:rsid w:val="00C10B51"/>
    <w:rsid w:val="00C15C10"/>
    <w:rsid w:val="00C202E4"/>
    <w:rsid w:val="00C26074"/>
    <w:rsid w:val="00C5744D"/>
    <w:rsid w:val="00C67BD2"/>
    <w:rsid w:val="00C7215F"/>
    <w:rsid w:val="00C80957"/>
    <w:rsid w:val="00C83B0A"/>
    <w:rsid w:val="00C9167A"/>
    <w:rsid w:val="00C91BEB"/>
    <w:rsid w:val="00C92747"/>
    <w:rsid w:val="00C9637F"/>
    <w:rsid w:val="00CA760B"/>
    <w:rsid w:val="00CC1494"/>
    <w:rsid w:val="00CD5AB7"/>
    <w:rsid w:val="00CE1E0C"/>
    <w:rsid w:val="00CE277E"/>
    <w:rsid w:val="00D15BE3"/>
    <w:rsid w:val="00D215A2"/>
    <w:rsid w:val="00D22F75"/>
    <w:rsid w:val="00D2351B"/>
    <w:rsid w:val="00D36889"/>
    <w:rsid w:val="00D56867"/>
    <w:rsid w:val="00D65E1F"/>
    <w:rsid w:val="00D661F2"/>
    <w:rsid w:val="00D70F7F"/>
    <w:rsid w:val="00D77429"/>
    <w:rsid w:val="00D86ADF"/>
    <w:rsid w:val="00DA663E"/>
    <w:rsid w:val="00DB32BC"/>
    <w:rsid w:val="00DD4889"/>
    <w:rsid w:val="00DE7878"/>
    <w:rsid w:val="00E02A7F"/>
    <w:rsid w:val="00E07880"/>
    <w:rsid w:val="00E2187F"/>
    <w:rsid w:val="00E25998"/>
    <w:rsid w:val="00E31EEE"/>
    <w:rsid w:val="00E47EBA"/>
    <w:rsid w:val="00E54137"/>
    <w:rsid w:val="00E82621"/>
    <w:rsid w:val="00E85B7F"/>
    <w:rsid w:val="00E930E9"/>
    <w:rsid w:val="00E9421B"/>
    <w:rsid w:val="00ED0962"/>
    <w:rsid w:val="00EF24BF"/>
    <w:rsid w:val="00F0078F"/>
    <w:rsid w:val="00F1346C"/>
    <w:rsid w:val="00F263BE"/>
    <w:rsid w:val="00F644FA"/>
    <w:rsid w:val="00F76E12"/>
    <w:rsid w:val="00F776C6"/>
    <w:rsid w:val="00F77C9A"/>
    <w:rsid w:val="00F81570"/>
    <w:rsid w:val="00F87443"/>
    <w:rsid w:val="00FB576C"/>
    <w:rsid w:val="00FC7625"/>
    <w:rsid w:val="00FD2AA6"/>
    <w:rsid w:val="00FE160B"/>
    <w:rsid w:val="00FE7E8A"/>
    <w:rsid w:val="00FF68B3"/>
    <w:rsid w:val="01B80B7A"/>
    <w:rsid w:val="02E244CB"/>
    <w:rsid w:val="030559FB"/>
    <w:rsid w:val="03FE7EAB"/>
    <w:rsid w:val="061D5992"/>
    <w:rsid w:val="073B1452"/>
    <w:rsid w:val="07832BA1"/>
    <w:rsid w:val="082D6FB0"/>
    <w:rsid w:val="085B1D6F"/>
    <w:rsid w:val="08844E22"/>
    <w:rsid w:val="08E72291"/>
    <w:rsid w:val="099F5C8C"/>
    <w:rsid w:val="0A1E73F4"/>
    <w:rsid w:val="0DF3198E"/>
    <w:rsid w:val="10965AC6"/>
    <w:rsid w:val="1140560A"/>
    <w:rsid w:val="12307DC9"/>
    <w:rsid w:val="124D62E4"/>
    <w:rsid w:val="12B74046"/>
    <w:rsid w:val="12E110C3"/>
    <w:rsid w:val="1577438A"/>
    <w:rsid w:val="158E72E0"/>
    <w:rsid w:val="194B54E8"/>
    <w:rsid w:val="1A1670E6"/>
    <w:rsid w:val="1AE216BB"/>
    <w:rsid w:val="1AFD319C"/>
    <w:rsid w:val="1B6603B7"/>
    <w:rsid w:val="1D4E1BDE"/>
    <w:rsid w:val="1E297B4D"/>
    <w:rsid w:val="1EB17AB5"/>
    <w:rsid w:val="1ED61AE4"/>
    <w:rsid w:val="1F49071C"/>
    <w:rsid w:val="1FB65DB1"/>
    <w:rsid w:val="1FC81641"/>
    <w:rsid w:val="1FD9384E"/>
    <w:rsid w:val="209F03B3"/>
    <w:rsid w:val="20FD71B1"/>
    <w:rsid w:val="211D59BC"/>
    <w:rsid w:val="221C3EC6"/>
    <w:rsid w:val="22D8603F"/>
    <w:rsid w:val="234E72B5"/>
    <w:rsid w:val="2389333F"/>
    <w:rsid w:val="23921209"/>
    <w:rsid w:val="23B15503"/>
    <w:rsid w:val="24241890"/>
    <w:rsid w:val="24264B88"/>
    <w:rsid w:val="24D740D4"/>
    <w:rsid w:val="267918E7"/>
    <w:rsid w:val="26962499"/>
    <w:rsid w:val="27A74232"/>
    <w:rsid w:val="29312005"/>
    <w:rsid w:val="2A353D77"/>
    <w:rsid w:val="2AC717C5"/>
    <w:rsid w:val="2C250022"/>
    <w:rsid w:val="2D0B213D"/>
    <w:rsid w:val="2D8B2B22"/>
    <w:rsid w:val="2E9F5C62"/>
    <w:rsid w:val="2EE1627B"/>
    <w:rsid w:val="2F503401"/>
    <w:rsid w:val="2F9037FD"/>
    <w:rsid w:val="2FFA2612"/>
    <w:rsid w:val="3150593A"/>
    <w:rsid w:val="31BE28A4"/>
    <w:rsid w:val="31D24110"/>
    <w:rsid w:val="3202689B"/>
    <w:rsid w:val="320D1173"/>
    <w:rsid w:val="3293788C"/>
    <w:rsid w:val="34873A5C"/>
    <w:rsid w:val="35BC534C"/>
    <w:rsid w:val="363475D8"/>
    <w:rsid w:val="36F823B4"/>
    <w:rsid w:val="37FA1879"/>
    <w:rsid w:val="382C3278"/>
    <w:rsid w:val="383E69E7"/>
    <w:rsid w:val="388163D9"/>
    <w:rsid w:val="38BE13DB"/>
    <w:rsid w:val="3AF64E5C"/>
    <w:rsid w:val="3B7E6C11"/>
    <w:rsid w:val="3B8E367D"/>
    <w:rsid w:val="3B8E778B"/>
    <w:rsid w:val="3BB05953"/>
    <w:rsid w:val="3BF46386"/>
    <w:rsid w:val="3C090BBF"/>
    <w:rsid w:val="3CF7075F"/>
    <w:rsid w:val="3D7B02C4"/>
    <w:rsid w:val="3DA908AC"/>
    <w:rsid w:val="3DBF00CF"/>
    <w:rsid w:val="3DFF227A"/>
    <w:rsid w:val="3E5D51F2"/>
    <w:rsid w:val="3EA13331"/>
    <w:rsid w:val="3F32667F"/>
    <w:rsid w:val="40DC4AF4"/>
    <w:rsid w:val="41474664"/>
    <w:rsid w:val="417B430D"/>
    <w:rsid w:val="418F3021"/>
    <w:rsid w:val="41F06AA9"/>
    <w:rsid w:val="41F83BB0"/>
    <w:rsid w:val="423F533B"/>
    <w:rsid w:val="42457934"/>
    <w:rsid w:val="443C13EE"/>
    <w:rsid w:val="44B30262"/>
    <w:rsid w:val="44DA134B"/>
    <w:rsid w:val="456357E4"/>
    <w:rsid w:val="4585575A"/>
    <w:rsid w:val="45BE0C6C"/>
    <w:rsid w:val="465D7F9F"/>
    <w:rsid w:val="46D83FB0"/>
    <w:rsid w:val="474B6530"/>
    <w:rsid w:val="475E44B5"/>
    <w:rsid w:val="48593863"/>
    <w:rsid w:val="48C400DF"/>
    <w:rsid w:val="493113C1"/>
    <w:rsid w:val="496D4E83"/>
    <w:rsid w:val="499F7616"/>
    <w:rsid w:val="49B26D3A"/>
    <w:rsid w:val="49D547D7"/>
    <w:rsid w:val="4B0B4B1B"/>
    <w:rsid w:val="4B2C6678"/>
    <w:rsid w:val="4DB841F3"/>
    <w:rsid w:val="4E404914"/>
    <w:rsid w:val="4E465E03"/>
    <w:rsid w:val="50047BC4"/>
    <w:rsid w:val="50334005"/>
    <w:rsid w:val="505E421B"/>
    <w:rsid w:val="50FA7E11"/>
    <w:rsid w:val="517448D5"/>
    <w:rsid w:val="52205134"/>
    <w:rsid w:val="5279512E"/>
    <w:rsid w:val="528C7C8F"/>
    <w:rsid w:val="529E42FF"/>
    <w:rsid w:val="52EB0BC7"/>
    <w:rsid w:val="53B828A2"/>
    <w:rsid w:val="548D005E"/>
    <w:rsid w:val="549A4653"/>
    <w:rsid w:val="554A6079"/>
    <w:rsid w:val="578153D9"/>
    <w:rsid w:val="57E9601D"/>
    <w:rsid w:val="58350A83"/>
    <w:rsid w:val="58EF1411"/>
    <w:rsid w:val="58EF652E"/>
    <w:rsid w:val="5A056A12"/>
    <w:rsid w:val="5A2677D6"/>
    <w:rsid w:val="5AAB580B"/>
    <w:rsid w:val="5B124BBD"/>
    <w:rsid w:val="5BEA4111"/>
    <w:rsid w:val="5C50253A"/>
    <w:rsid w:val="5D071DDC"/>
    <w:rsid w:val="5EEE3F19"/>
    <w:rsid w:val="5F377E07"/>
    <w:rsid w:val="5F5A0C98"/>
    <w:rsid w:val="5F9A41D1"/>
    <w:rsid w:val="60464805"/>
    <w:rsid w:val="6071095D"/>
    <w:rsid w:val="60BD7DF0"/>
    <w:rsid w:val="60C2740B"/>
    <w:rsid w:val="60CA62C0"/>
    <w:rsid w:val="61A70276"/>
    <w:rsid w:val="620F042E"/>
    <w:rsid w:val="626764BC"/>
    <w:rsid w:val="62B92A90"/>
    <w:rsid w:val="638018DF"/>
    <w:rsid w:val="64A31301"/>
    <w:rsid w:val="64A55079"/>
    <w:rsid w:val="65F53F8F"/>
    <w:rsid w:val="665054B9"/>
    <w:rsid w:val="678278F4"/>
    <w:rsid w:val="68150768"/>
    <w:rsid w:val="68466B73"/>
    <w:rsid w:val="687150F2"/>
    <w:rsid w:val="68B35D2C"/>
    <w:rsid w:val="690F6F65"/>
    <w:rsid w:val="691602F4"/>
    <w:rsid w:val="69321FF3"/>
    <w:rsid w:val="699B6A4B"/>
    <w:rsid w:val="6B286B57"/>
    <w:rsid w:val="6CA9147F"/>
    <w:rsid w:val="6CD174AB"/>
    <w:rsid w:val="6D592EA5"/>
    <w:rsid w:val="6E4C47B8"/>
    <w:rsid w:val="6E7F4B8D"/>
    <w:rsid w:val="6E861244"/>
    <w:rsid w:val="6EB507F9"/>
    <w:rsid w:val="6EE449F0"/>
    <w:rsid w:val="6EED7D49"/>
    <w:rsid w:val="6EF72976"/>
    <w:rsid w:val="70F30069"/>
    <w:rsid w:val="717F6C52"/>
    <w:rsid w:val="722C7C94"/>
    <w:rsid w:val="72361A07"/>
    <w:rsid w:val="738B18DE"/>
    <w:rsid w:val="73DD4830"/>
    <w:rsid w:val="74DD3B22"/>
    <w:rsid w:val="76006033"/>
    <w:rsid w:val="760A7432"/>
    <w:rsid w:val="76837622"/>
    <w:rsid w:val="76E25746"/>
    <w:rsid w:val="77160F3E"/>
    <w:rsid w:val="774A3AE4"/>
    <w:rsid w:val="7789082B"/>
    <w:rsid w:val="779427CE"/>
    <w:rsid w:val="78E139CE"/>
    <w:rsid w:val="7B35430A"/>
    <w:rsid w:val="7B65510B"/>
    <w:rsid w:val="7C5A4039"/>
    <w:rsid w:val="7D5611AF"/>
    <w:rsid w:val="7DCC76C3"/>
    <w:rsid w:val="7F221B2F"/>
    <w:rsid w:val="7F594F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批注框文本 Char"/>
    <w:link w:val="3"/>
    <w:semiHidden/>
    <w:qFormat/>
    <w:uiPriority w:val="99"/>
    <w:rPr>
      <w:kern w:val="2"/>
      <w:sz w:val="18"/>
      <w:szCs w:val="18"/>
    </w:rPr>
  </w:style>
  <w:style w:type="character" w:customStyle="1" w:styleId="10">
    <w:name w:val="页脚 Char"/>
    <w:link w:val="4"/>
    <w:qFormat/>
    <w:uiPriority w:val="99"/>
    <w:rPr>
      <w:kern w:val="2"/>
      <w:sz w:val="18"/>
      <w:szCs w:val="18"/>
    </w:rPr>
  </w:style>
  <w:style w:type="character" w:customStyle="1" w:styleId="11">
    <w:name w:val="页眉 Char"/>
    <w:link w:val="5"/>
    <w:semiHidden/>
    <w:qFormat/>
    <w:uiPriority w:val="99"/>
    <w:rPr>
      <w:kern w:val="2"/>
      <w:sz w:val="18"/>
      <w:szCs w:val="18"/>
    </w:rPr>
  </w:style>
  <w:style w:type="paragraph" w:customStyle="1" w:styleId="12">
    <w:name w:val="列出段落1"/>
    <w:basedOn w:val="1"/>
    <w:qFormat/>
    <w:uiPriority w:val="34"/>
    <w:pPr>
      <w:ind w:firstLine="420" w:firstLineChars="200"/>
    </w:pPr>
    <w:rPr>
      <w:rFonts w:ascii="Calibri" w:hAnsi="Calibri"/>
      <w:szCs w:val="22"/>
    </w:rPr>
  </w:style>
  <w:style w:type="paragraph" w:customStyle="1" w:styleId="13">
    <w:name w:val="修订1"/>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1010</Words>
  <Characters>1199</Characters>
  <Lines>9</Lines>
  <Paragraphs>2</Paragraphs>
  <TotalTime>11</TotalTime>
  <ScaleCrop>false</ScaleCrop>
  <LinksUpToDate>false</LinksUpToDate>
  <CharactersWithSpaces>1226</CharactersWithSpaces>
  <Application>WPS Office_12.1.0.20784_F1E327BC-269C-435d-A152-05C5408002CA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2025-04-11T08:29:00Z</dcterms:created>
  <dc:creator>Administrator</dc:creator>
  <lastModifiedBy>菠萝啵啵</lastModifiedBy>
  <lastPrinted>2024-03-04T07:52:00Z</lastPrinted>
  <dcterms:modified xsi:type="dcterms:W3CDTF">2025-04-14T02:06:32Z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06255C0B4F4E457C8564BB5760743177</vt:lpwstr>
  </property>
  <property fmtid="{D5CDD505-2E9C-101B-9397-08002B2CF9AE}" pid="4" name="KSOTemplateDocerSaveRecord">
    <vt:lpwstr>eyJoZGlkIjoiZTA3MzBmZTNmMDA4YWMzZjgzMTgxM2YwMjc1NjdjN2IiLCJ1c2VySWQiOiI4MzkzMDQ5MzYifQ==</vt:lpwstr>
  </property>
</Properties>
</file>