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818BF" w14:textId="501DFBCB" w:rsidR="00BB34C0" w:rsidRPr="00F648B1" w:rsidRDefault="00BB34C0" w:rsidP="00BB34C0">
      <w:pPr>
        <w:snapToGrid w:val="0"/>
        <w:ind w:firstLineChars="500" w:firstLine="1606"/>
        <w:rPr>
          <w:b/>
          <w:sz w:val="32"/>
          <w:szCs w:val="32"/>
        </w:rPr>
      </w:pPr>
      <w:r w:rsidRPr="00F648B1">
        <w:rPr>
          <w:rFonts w:hint="eastAsia"/>
          <w:b/>
          <w:sz w:val="32"/>
          <w:szCs w:val="32"/>
        </w:rPr>
        <w:t>2025年</w:t>
      </w:r>
      <w:r>
        <w:rPr>
          <w:rFonts w:hint="eastAsia"/>
          <w:b/>
          <w:sz w:val="32"/>
          <w:szCs w:val="32"/>
        </w:rPr>
        <w:t>德清县羽绒被产品质量</w:t>
      </w:r>
    </w:p>
    <w:p w14:paraId="5A9A320D" w14:textId="77777777" w:rsidR="00BB34C0" w:rsidRPr="00F648B1" w:rsidRDefault="00BB34C0" w:rsidP="00BB34C0">
      <w:pPr>
        <w:ind w:firstLineChars="800" w:firstLine="2570"/>
        <w:rPr>
          <w:b/>
          <w:sz w:val="32"/>
          <w:szCs w:val="32"/>
        </w:rPr>
      </w:pPr>
      <w:r w:rsidRPr="00F648B1">
        <w:rPr>
          <w:rFonts w:hint="eastAsia"/>
          <w:b/>
          <w:sz w:val="32"/>
          <w:szCs w:val="32"/>
        </w:rPr>
        <w:t>监督</w:t>
      </w:r>
      <w:r>
        <w:rPr>
          <w:rFonts w:hint="eastAsia"/>
          <w:b/>
          <w:sz w:val="32"/>
          <w:szCs w:val="32"/>
        </w:rPr>
        <w:t>抽查</w:t>
      </w:r>
      <w:r w:rsidRPr="00F648B1">
        <w:rPr>
          <w:rFonts w:hint="eastAsia"/>
          <w:b/>
          <w:sz w:val="32"/>
          <w:szCs w:val="32"/>
        </w:rPr>
        <w:t>实施细则</w:t>
      </w:r>
    </w:p>
    <w:p w14:paraId="687EF9C8" w14:textId="77777777" w:rsidR="00BB34C0" w:rsidRPr="00393032" w:rsidRDefault="00BB34C0" w:rsidP="00BB34C0">
      <w:pPr>
        <w:pStyle w:val="ListParagraph"/>
        <w:numPr>
          <w:ilvl w:val="0"/>
          <w:numId w:val="1"/>
        </w:numPr>
        <w:spacing w:line="240" w:lineRule="auto"/>
        <w:contextualSpacing w:val="0"/>
        <w:rPr>
          <w:b/>
          <w:bCs/>
        </w:rPr>
      </w:pPr>
      <w:r w:rsidRPr="00393032">
        <w:rPr>
          <w:rFonts w:hint="eastAsia"/>
          <w:b/>
          <w:bCs/>
        </w:rPr>
        <w:t>抽样方法和样品数量</w:t>
      </w:r>
    </w:p>
    <w:p w14:paraId="6A415E6C" w14:textId="77777777" w:rsidR="00BB34C0" w:rsidRPr="00F648B1" w:rsidRDefault="00BB34C0" w:rsidP="00BB34C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68D03D3C" w14:textId="77777777" w:rsidR="00BB34C0" w:rsidRDefault="00BB34C0" w:rsidP="00BB34C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17CA0522" w14:textId="77777777" w:rsidR="00BB34C0" w:rsidRPr="00F648B1" w:rsidRDefault="00BB34C0" w:rsidP="00BB34C0">
      <w:pPr>
        <w:rPr>
          <w:rFonts w:cs="Times New Roman"/>
          <w:color w:val="000000"/>
          <w:sz w:val="21"/>
          <w:szCs w:val="21"/>
        </w:rPr>
      </w:pPr>
      <w:r w:rsidRPr="00F648B1">
        <w:rPr>
          <w:rFonts w:cs="Times New Roman" w:hint="eastAsia"/>
          <w:color w:val="000000"/>
          <w:sz w:val="21"/>
          <w:szCs w:val="21"/>
        </w:rPr>
        <w:t>1.2样品数量</w:t>
      </w:r>
    </w:p>
    <w:p w14:paraId="3C33B721" w14:textId="77777777" w:rsidR="00BB34C0" w:rsidRPr="00F648B1" w:rsidRDefault="00BB34C0" w:rsidP="00BB34C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2705354C" w14:textId="05B8F1BD" w:rsidR="00BB34C0" w:rsidRDefault="00BB34C0" w:rsidP="00BB34C0">
      <w:pPr>
        <w:ind w:firstLineChars="1500" w:firstLine="3150"/>
        <w:rPr>
          <w:rFonts w:cs="Times New Roman"/>
          <w:color w:val="000000"/>
          <w:sz w:val="21"/>
          <w:szCs w:val="21"/>
        </w:rPr>
      </w:pPr>
      <w:r w:rsidRPr="00F648B1">
        <w:rPr>
          <w:rFonts w:cs="Times New Roman" w:hint="eastAsia"/>
          <w:color w:val="000000"/>
          <w:sz w:val="21"/>
          <w:szCs w:val="21"/>
        </w:rPr>
        <w:t>表1</w:t>
      </w:r>
      <w:r>
        <w:rPr>
          <w:rFonts w:cs="Times New Roman" w:hint="eastAsia"/>
          <w:color w:val="000000"/>
          <w:sz w:val="21"/>
          <w:szCs w:val="21"/>
        </w:rPr>
        <w:t>羽绒被</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BB34C0" w:rsidRPr="001B2956" w14:paraId="000F8ECF" w14:textId="77777777" w:rsidTr="000A048E">
        <w:tc>
          <w:tcPr>
            <w:tcW w:w="846" w:type="dxa"/>
          </w:tcPr>
          <w:p w14:paraId="0DDA62F4" w14:textId="77777777" w:rsidR="00BB34C0" w:rsidRPr="001B2956" w:rsidRDefault="00BB34C0"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0E12E2EA" w14:textId="77777777" w:rsidR="00BB34C0" w:rsidRPr="001B2956" w:rsidRDefault="00BB34C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0597EE4C" w14:textId="77777777" w:rsidR="00BB34C0" w:rsidRPr="001B2956" w:rsidRDefault="00BB34C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309D916F" w14:textId="77777777" w:rsidR="00BB34C0" w:rsidRPr="001B2956" w:rsidRDefault="00BB34C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27E10F2A" w14:textId="77777777" w:rsidR="00BB34C0" w:rsidRPr="001B2956" w:rsidRDefault="00BB34C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BB34C0" w:rsidRPr="00DA62BD" w14:paraId="75B3BE66" w14:textId="77777777" w:rsidTr="000A048E">
        <w:trPr>
          <w:trHeight w:val="267"/>
        </w:trPr>
        <w:tc>
          <w:tcPr>
            <w:tcW w:w="846" w:type="dxa"/>
          </w:tcPr>
          <w:p w14:paraId="6FE658CA" w14:textId="77777777" w:rsidR="00BB34C0" w:rsidRPr="00530292" w:rsidRDefault="00BB34C0"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72E9230F" w14:textId="643AEC1C" w:rsidR="00BB34C0" w:rsidRPr="00530292" w:rsidRDefault="00BB34C0" w:rsidP="000A048E">
            <w:pPr>
              <w:jc w:val="left"/>
              <w:rPr>
                <w:color w:val="000000"/>
                <w:kern w:val="0"/>
                <w:sz w:val="20"/>
                <w:szCs w:val="20"/>
                <w:lang w:bidi="ar"/>
              </w:rPr>
            </w:pPr>
            <w:r w:rsidRPr="00530292">
              <w:rPr>
                <w:color w:val="000000"/>
                <w:kern w:val="0"/>
                <w:sz w:val="20"/>
                <w:szCs w:val="20"/>
                <w:lang w:bidi="ar"/>
              </w:rPr>
              <w:t>羽绒</w:t>
            </w:r>
            <w:r>
              <w:rPr>
                <w:rFonts w:hint="eastAsia"/>
                <w:color w:val="000000"/>
                <w:kern w:val="0"/>
                <w:sz w:val="20"/>
                <w:szCs w:val="20"/>
                <w:lang w:bidi="ar"/>
              </w:rPr>
              <w:t>被</w:t>
            </w:r>
          </w:p>
        </w:tc>
        <w:tc>
          <w:tcPr>
            <w:tcW w:w="1985" w:type="dxa"/>
          </w:tcPr>
          <w:p w14:paraId="74F2F0A8" w14:textId="16BA14B9" w:rsidR="00BB34C0" w:rsidRPr="00DA62BD" w:rsidRDefault="00BB34C0" w:rsidP="000A048E">
            <w:pPr>
              <w:ind w:firstLineChars="300" w:firstLine="600"/>
              <w:rPr>
                <w:kern w:val="0"/>
                <w:sz w:val="20"/>
                <w:szCs w:val="20"/>
                <w:lang w:bidi="ar"/>
              </w:rPr>
            </w:pPr>
            <w:r>
              <w:rPr>
                <w:rFonts w:hint="eastAsia"/>
                <w:kern w:val="0"/>
                <w:sz w:val="20"/>
                <w:szCs w:val="20"/>
                <w:lang w:bidi="ar"/>
              </w:rPr>
              <w:t>1条</w:t>
            </w:r>
          </w:p>
        </w:tc>
        <w:tc>
          <w:tcPr>
            <w:tcW w:w="1883" w:type="dxa"/>
          </w:tcPr>
          <w:p w14:paraId="270740C3" w14:textId="60E8C676" w:rsidR="00BB34C0" w:rsidRPr="00DA62BD" w:rsidRDefault="00BB34C0" w:rsidP="000A048E">
            <w:pPr>
              <w:ind w:firstLineChars="300" w:firstLine="600"/>
              <w:rPr>
                <w:kern w:val="0"/>
                <w:sz w:val="20"/>
                <w:szCs w:val="20"/>
                <w:lang w:bidi="ar"/>
              </w:rPr>
            </w:pPr>
            <w:r>
              <w:rPr>
                <w:rFonts w:hint="eastAsia"/>
                <w:kern w:val="0"/>
                <w:sz w:val="20"/>
                <w:szCs w:val="20"/>
                <w:lang w:bidi="ar"/>
              </w:rPr>
              <w:t>1条</w:t>
            </w:r>
          </w:p>
        </w:tc>
        <w:tc>
          <w:tcPr>
            <w:tcW w:w="1456" w:type="dxa"/>
          </w:tcPr>
          <w:p w14:paraId="5C4C49B0" w14:textId="6BD9FDDF" w:rsidR="00BB34C0" w:rsidRPr="00DA62BD" w:rsidRDefault="00BB34C0" w:rsidP="000A048E">
            <w:pPr>
              <w:ind w:firstLineChars="200" w:firstLine="400"/>
              <w:rPr>
                <w:kern w:val="0"/>
                <w:sz w:val="20"/>
                <w:szCs w:val="20"/>
                <w:lang w:bidi="ar"/>
              </w:rPr>
            </w:pPr>
            <w:r>
              <w:rPr>
                <w:rFonts w:hint="eastAsia"/>
                <w:kern w:val="0"/>
                <w:sz w:val="20"/>
                <w:szCs w:val="20"/>
                <w:lang w:bidi="ar"/>
              </w:rPr>
              <w:t>2条</w:t>
            </w:r>
          </w:p>
        </w:tc>
      </w:tr>
    </w:tbl>
    <w:p w14:paraId="5135BBA5" w14:textId="77777777" w:rsidR="00BB34C0" w:rsidRDefault="00BB34C0" w:rsidP="00BB34C0">
      <w:pPr>
        <w:rPr>
          <w:b/>
          <w:bCs/>
        </w:rPr>
      </w:pPr>
      <w:r>
        <w:rPr>
          <w:rFonts w:hint="eastAsia"/>
          <w:b/>
          <w:bCs/>
        </w:rPr>
        <w:t xml:space="preserve">2 </w:t>
      </w:r>
      <w:r w:rsidRPr="008805B0">
        <w:rPr>
          <w:b/>
          <w:bCs/>
        </w:rPr>
        <w:t>检验项目</w:t>
      </w:r>
    </w:p>
    <w:p w14:paraId="156C943E" w14:textId="0F35764F" w:rsidR="00BB34C0" w:rsidRPr="00647CC0" w:rsidRDefault="00BB34C0" w:rsidP="00BB34C0">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Pr>
          <w:rFonts w:cs="Times New Roman" w:hint="eastAsia"/>
          <w:color w:val="000000"/>
          <w:sz w:val="21"/>
          <w:szCs w:val="21"/>
        </w:rPr>
        <w:t>羽绒</w:t>
      </w:r>
      <w:r w:rsidR="00E33120">
        <w:rPr>
          <w:rFonts w:cs="Times New Roman" w:hint="eastAsia"/>
          <w:color w:val="000000"/>
          <w:sz w:val="21"/>
          <w:szCs w:val="21"/>
        </w:rPr>
        <w:t>被</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BB34C0" w:rsidRPr="00F05E77" w14:paraId="4BED9C75"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017FC633"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1DE3446F"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32C508C1"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BB34C0" w:rsidRPr="00F05E77" w14:paraId="024B4331" w14:textId="77777777" w:rsidTr="000A048E">
        <w:tc>
          <w:tcPr>
            <w:tcW w:w="782" w:type="pct"/>
            <w:tcBorders>
              <w:top w:val="single" w:sz="4" w:space="0" w:color="auto"/>
              <w:left w:val="single" w:sz="4" w:space="0" w:color="auto"/>
              <w:bottom w:val="single" w:sz="4" w:space="0" w:color="auto"/>
              <w:right w:val="single" w:sz="4" w:space="0" w:color="auto"/>
            </w:tcBorders>
          </w:tcPr>
          <w:p w14:paraId="75980982"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64B1B005"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FBA89F5"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GB/T 2912.1—2009</w:t>
            </w:r>
          </w:p>
        </w:tc>
      </w:tr>
      <w:tr w:rsidR="00BB34C0" w:rsidRPr="00F05E77" w14:paraId="47604975" w14:textId="77777777" w:rsidTr="000A048E">
        <w:tc>
          <w:tcPr>
            <w:tcW w:w="782" w:type="pct"/>
            <w:tcBorders>
              <w:top w:val="single" w:sz="4" w:space="0" w:color="auto"/>
              <w:left w:val="single" w:sz="4" w:space="0" w:color="auto"/>
              <w:bottom w:val="single" w:sz="4" w:space="0" w:color="auto"/>
              <w:right w:val="single" w:sz="4" w:space="0" w:color="auto"/>
            </w:tcBorders>
          </w:tcPr>
          <w:p w14:paraId="1C5D5158"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2</w:t>
            </w:r>
          </w:p>
        </w:tc>
        <w:tc>
          <w:tcPr>
            <w:tcW w:w="1998" w:type="pct"/>
            <w:tcBorders>
              <w:top w:val="single" w:sz="4" w:space="0" w:color="auto"/>
              <w:left w:val="single" w:sz="4" w:space="0" w:color="auto"/>
              <w:bottom w:val="single" w:sz="4" w:space="0" w:color="auto"/>
              <w:right w:val="single" w:sz="4" w:space="0" w:color="auto"/>
            </w:tcBorders>
          </w:tcPr>
          <w:p w14:paraId="43066CB2"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6884BD55"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GB/T 7573—2009</w:t>
            </w:r>
          </w:p>
        </w:tc>
      </w:tr>
      <w:tr w:rsidR="00BB34C0" w:rsidRPr="00F05E77" w14:paraId="6B400C2F" w14:textId="77777777" w:rsidTr="000A048E">
        <w:tc>
          <w:tcPr>
            <w:tcW w:w="782" w:type="pct"/>
            <w:tcBorders>
              <w:top w:val="single" w:sz="4" w:space="0" w:color="auto"/>
              <w:left w:val="single" w:sz="4" w:space="0" w:color="auto"/>
              <w:bottom w:val="single" w:sz="4" w:space="0" w:color="auto"/>
              <w:right w:val="single" w:sz="4" w:space="0" w:color="auto"/>
            </w:tcBorders>
          </w:tcPr>
          <w:p w14:paraId="53EEF6B4"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117B3222"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3E3EF48E" w14:textId="77777777" w:rsidR="00BB34C0" w:rsidRPr="00023A65" w:rsidRDefault="00BB34C0" w:rsidP="000A048E">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1038B9E4" w14:textId="77777777" w:rsidR="00BB34C0" w:rsidRPr="00023A65" w:rsidRDefault="00BB34C0" w:rsidP="000A048E">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BB34C0" w:rsidRPr="00F05E77" w14:paraId="50BEF136" w14:textId="77777777" w:rsidTr="000A048E">
        <w:tc>
          <w:tcPr>
            <w:tcW w:w="782" w:type="pct"/>
            <w:tcBorders>
              <w:top w:val="single" w:sz="4" w:space="0" w:color="auto"/>
              <w:left w:val="single" w:sz="4" w:space="0" w:color="auto"/>
              <w:bottom w:val="single" w:sz="4" w:space="0" w:color="auto"/>
              <w:right w:val="single" w:sz="4" w:space="0" w:color="auto"/>
            </w:tcBorders>
          </w:tcPr>
          <w:p w14:paraId="1320554C" w14:textId="77777777" w:rsidR="00BB34C0" w:rsidRPr="00023A65" w:rsidRDefault="00BB34C0" w:rsidP="000A048E">
            <w:pPr>
              <w:jc w:val="left"/>
              <w:rPr>
                <w:color w:val="000000"/>
                <w:kern w:val="0"/>
                <w:sz w:val="20"/>
                <w:szCs w:val="20"/>
                <w:lang w:bidi="ar"/>
              </w:rPr>
            </w:pPr>
            <w:r w:rsidRPr="00023A65">
              <w:rPr>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5A74FF94"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557DA8BB"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GB/T 3922—2013</w:t>
            </w:r>
          </w:p>
        </w:tc>
      </w:tr>
      <w:tr w:rsidR="00BB34C0" w:rsidRPr="00F05E77" w14:paraId="0A5A31D8" w14:textId="77777777" w:rsidTr="000A048E">
        <w:tc>
          <w:tcPr>
            <w:tcW w:w="782" w:type="pct"/>
            <w:tcBorders>
              <w:top w:val="single" w:sz="4" w:space="0" w:color="auto"/>
              <w:left w:val="single" w:sz="4" w:space="0" w:color="auto"/>
              <w:bottom w:val="single" w:sz="4" w:space="0" w:color="auto"/>
              <w:right w:val="single" w:sz="4" w:space="0" w:color="auto"/>
            </w:tcBorders>
          </w:tcPr>
          <w:p w14:paraId="4838984E" w14:textId="77777777" w:rsidR="00BB34C0" w:rsidRPr="00023A65" w:rsidRDefault="00BB34C0" w:rsidP="000A048E">
            <w:pPr>
              <w:jc w:val="left"/>
              <w:rPr>
                <w:color w:val="000000"/>
                <w:kern w:val="0"/>
                <w:sz w:val="20"/>
                <w:szCs w:val="20"/>
                <w:lang w:bidi="ar"/>
              </w:rPr>
            </w:pPr>
            <w:r w:rsidRPr="00023A65">
              <w:rPr>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3E37D38F"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EBBEC03"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GB/T 5713—2013</w:t>
            </w:r>
          </w:p>
        </w:tc>
      </w:tr>
      <w:tr w:rsidR="00BB34C0" w:rsidRPr="00F05E77" w14:paraId="588502C0" w14:textId="77777777" w:rsidTr="000A048E">
        <w:tc>
          <w:tcPr>
            <w:tcW w:w="782" w:type="pct"/>
            <w:tcBorders>
              <w:top w:val="single" w:sz="4" w:space="0" w:color="auto"/>
              <w:left w:val="single" w:sz="4" w:space="0" w:color="auto"/>
              <w:bottom w:val="single" w:sz="4" w:space="0" w:color="auto"/>
              <w:right w:val="single" w:sz="4" w:space="0" w:color="auto"/>
            </w:tcBorders>
          </w:tcPr>
          <w:p w14:paraId="4136DD99" w14:textId="77777777" w:rsidR="00BB34C0" w:rsidRPr="00023A65" w:rsidRDefault="00BB34C0" w:rsidP="000A048E">
            <w:pPr>
              <w:jc w:val="left"/>
              <w:rPr>
                <w:color w:val="000000"/>
                <w:kern w:val="0"/>
                <w:sz w:val="20"/>
                <w:szCs w:val="20"/>
                <w:lang w:bidi="ar"/>
              </w:rPr>
            </w:pPr>
            <w:r w:rsidRPr="00023A65">
              <w:rPr>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70DFFDE9"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5C1CD0D9"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GB/T 3920—2008</w:t>
            </w:r>
          </w:p>
        </w:tc>
      </w:tr>
      <w:tr w:rsidR="00BB34C0" w:rsidRPr="00F05E77" w14:paraId="1CC3EB04" w14:textId="77777777" w:rsidTr="000A048E">
        <w:tc>
          <w:tcPr>
            <w:tcW w:w="782" w:type="pct"/>
            <w:tcBorders>
              <w:top w:val="single" w:sz="4" w:space="0" w:color="auto"/>
              <w:left w:val="single" w:sz="4" w:space="0" w:color="auto"/>
              <w:bottom w:val="single" w:sz="4" w:space="0" w:color="auto"/>
              <w:right w:val="single" w:sz="4" w:space="0" w:color="auto"/>
            </w:tcBorders>
          </w:tcPr>
          <w:p w14:paraId="01C76B80" w14:textId="77777777" w:rsidR="00BB34C0" w:rsidRPr="00023A65" w:rsidRDefault="00BB34C0" w:rsidP="000A048E">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5A73C89E" w14:textId="77777777" w:rsidR="00BB34C0" w:rsidRPr="00023A65" w:rsidRDefault="00BB34C0" w:rsidP="000A048E">
            <w:pPr>
              <w:jc w:val="left"/>
              <w:rPr>
                <w:color w:val="000000"/>
                <w:kern w:val="0"/>
                <w:sz w:val="20"/>
                <w:szCs w:val="20"/>
                <w:lang w:bidi="ar"/>
              </w:rPr>
            </w:pPr>
            <w:r w:rsidRPr="00B030AF">
              <w:rPr>
                <w:color w:val="000000"/>
                <w:kern w:val="0"/>
                <w:sz w:val="20"/>
                <w:szCs w:val="20"/>
                <w:lang w:bidi="ar"/>
              </w:rPr>
              <w:t>异味</w:t>
            </w:r>
          </w:p>
        </w:tc>
        <w:tc>
          <w:tcPr>
            <w:tcW w:w="2220" w:type="pct"/>
            <w:tcBorders>
              <w:top w:val="single" w:sz="4" w:space="0" w:color="auto"/>
              <w:left w:val="single" w:sz="4" w:space="0" w:color="auto"/>
              <w:bottom w:val="single" w:sz="4" w:space="0" w:color="auto"/>
              <w:right w:val="single" w:sz="4" w:space="0" w:color="auto"/>
            </w:tcBorders>
          </w:tcPr>
          <w:p w14:paraId="26E43B4E" w14:textId="77777777" w:rsidR="00BB34C0" w:rsidRPr="00023A65" w:rsidRDefault="00BB34C0" w:rsidP="000A048E">
            <w:pPr>
              <w:jc w:val="left"/>
              <w:rPr>
                <w:color w:val="000000"/>
                <w:kern w:val="0"/>
                <w:sz w:val="20"/>
                <w:szCs w:val="20"/>
                <w:lang w:bidi="ar"/>
              </w:rPr>
            </w:pPr>
            <w:r>
              <w:rPr>
                <w:rFonts w:hint="eastAsia"/>
                <w:color w:val="000000"/>
                <w:kern w:val="0"/>
                <w:sz w:val="20"/>
                <w:szCs w:val="20"/>
                <w:lang w:bidi="ar"/>
              </w:rPr>
              <w:t>GB/T 18401-2010</w:t>
            </w:r>
          </w:p>
        </w:tc>
      </w:tr>
      <w:tr w:rsidR="00BB34C0" w:rsidRPr="00F05E77" w14:paraId="056190D4" w14:textId="77777777" w:rsidTr="000A048E">
        <w:tc>
          <w:tcPr>
            <w:tcW w:w="782" w:type="pct"/>
            <w:tcBorders>
              <w:top w:val="single" w:sz="4" w:space="0" w:color="auto"/>
              <w:left w:val="single" w:sz="4" w:space="0" w:color="auto"/>
              <w:bottom w:val="single" w:sz="4" w:space="0" w:color="auto"/>
              <w:right w:val="single" w:sz="4" w:space="0" w:color="auto"/>
            </w:tcBorders>
          </w:tcPr>
          <w:p w14:paraId="3FE02A38" w14:textId="0DAE815B" w:rsidR="00BB34C0" w:rsidRPr="00023A65" w:rsidRDefault="00CF62F9" w:rsidP="000A048E">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15C07A57" w14:textId="77777777" w:rsidR="00BB34C0" w:rsidRPr="00023A65" w:rsidRDefault="00BB34C0" w:rsidP="000A048E">
            <w:pPr>
              <w:jc w:val="left"/>
              <w:rPr>
                <w:color w:val="000000"/>
                <w:kern w:val="0"/>
                <w:sz w:val="20"/>
                <w:szCs w:val="20"/>
                <w:lang w:bidi="ar"/>
              </w:rPr>
            </w:pPr>
            <w:r w:rsidRPr="00023A65">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142226D6"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01057.1—2007</w:t>
            </w:r>
          </w:p>
          <w:p w14:paraId="7D38A14D"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01057.2—2007</w:t>
            </w:r>
          </w:p>
          <w:p w14:paraId="009104B5"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01057.3—2007</w:t>
            </w:r>
          </w:p>
          <w:p w14:paraId="566E3F70"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01057.4—2007</w:t>
            </w:r>
          </w:p>
          <w:p w14:paraId="5E84818E"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2910.1—2009</w:t>
            </w:r>
          </w:p>
          <w:p w14:paraId="1C6B1009"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2910.2—2009</w:t>
            </w:r>
          </w:p>
          <w:p w14:paraId="5252EEE1"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2910.3—2009</w:t>
            </w:r>
          </w:p>
          <w:p w14:paraId="52A2FDC3"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2910.4—2009</w:t>
            </w:r>
          </w:p>
          <w:p w14:paraId="51EDFB61"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2910.4—2022</w:t>
            </w:r>
          </w:p>
          <w:p w14:paraId="31D19467"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2910.6—2009</w:t>
            </w:r>
          </w:p>
          <w:p w14:paraId="5036F6ED"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2910.7—2009</w:t>
            </w:r>
          </w:p>
          <w:p w14:paraId="67ABD52F"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2910.8—2009</w:t>
            </w:r>
          </w:p>
          <w:p w14:paraId="461E6C47"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lastRenderedPageBreak/>
              <w:t>GB/T 2910.11—2009</w:t>
            </w:r>
          </w:p>
          <w:p w14:paraId="182CB178"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2910.12—2009</w:t>
            </w:r>
          </w:p>
          <w:p w14:paraId="05A0FBA0"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2910.18—2009</w:t>
            </w:r>
          </w:p>
          <w:p w14:paraId="0BE1D0FE"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2910.20—2009</w:t>
            </w:r>
          </w:p>
          <w:p w14:paraId="711B45A9"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2910.22—2009</w:t>
            </w:r>
          </w:p>
          <w:p w14:paraId="3E4C56BC"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2910.101—2009</w:t>
            </w:r>
          </w:p>
          <w:p w14:paraId="11A84B55"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01101—2008</w:t>
            </w:r>
          </w:p>
          <w:p w14:paraId="005EB7FA"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01112—2012</w:t>
            </w:r>
          </w:p>
          <w:p w14:paraId="4CC498DC"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01026—2017</w:t>
            </w:r>
          </w:p>
          <w:p w14:paraId="2D28FBC1"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01095—2002</w:t>
            </w:r>
          </w:p>
          <w:p w14:paraId="184ED616"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FZ/T 30003—2009</w:t>
            </w:r>
          </w:p>
          <w:p w14:paraId="2377BB99" w14:textId="77777777" w:rsidR="00BB34C0" w:rsidRPr="00023A65" w:rsidRDefault="00BB34C0" w:rsidP="000A048E">
            <w:pPr>
              <w:spacing w:line="240" w:lineRule="auto"/>
              <w:jc w:val="left"/>
              <w:rPr>
                <w:color w:val="000000"/>
                <w:kern w:val="0"/>
                <w:sz w:val="20"/>
                <w:szCs w:val="20"/>
                <w:lang w:bidi="ar"/>
              </w:rPr>
            </w:pPr>
            <w:r w:rsidRPr="00023A65">
              <w:rPr>
                <w:color w:val="000000"/>
                <w:kern w:val="0"/>
                <w:sz w:val="20"/>
                <w:szCs w:val="20"/>
                <w:lang w:bidi="ar"/>
              </w:rPr>
              <w:t>GB/T 16988—2013</w:t>
            </w:r>
          </w:p>
          <w:p w14:paraId="43649980" w14:textId="77777777" w:rsidR="00BB34C0" w:rsidRPr="00023A65" w:rsidRDefault="00BB34C0" w:rsidP="000A048E">
            <w:pPr>
              <w:spacing w:line="240" w:lineRule="auto"/>
              <w:jc w:val="left"/>
              <w:rPr>
                <w:color w:val="000000"/>
                <w:kern w:val="0"/>
                <w:sz w:val="20"/>
                <w:szCs w:val="20"/>
                <w:lang w:bidi="ar"/>
              </w:rPr>
            </w:pPr>
            <w:r w:rsidRPr="00023A65">
              <w:rPr>
                <w:rFonts w:hint="eastAsia"/>
                <w:color w:val="000000"/>
                <w:kern w:val="0"/>
                <w:sz w:val="20"/>
                <w:szCs w:val="20"/>
                <w:lang w:bidi="ar"/>
              </w:rPr>
              <w:t>GB/T 38015—2019等</w:t>
            </w:r>
          </w:p>
        </w:tc>
      </w:tr>
      <w:tr w:rsidR="00BB34C0" w:rsidRPr="00C8671C" w14:paraId="731BA1CA" w14:textId="77777777" w:rsidTr="000A048E">
        <w:tc>
          <w:tcPr>
            <w:tcW w:w="782" w:type="pct"/>
            <w:tcBorders>
              <w:top w:val="single" w:sz="4" w:space="0" w:color="auto"/>
              <w:left w:val="single" w:sz="4" w:space="0" w:color="auto"/>
              <w:bottom w:val="single" w:sz="4" w:space="0" w:color="auto"/>
              <w:right w:val="single" w:sz="4" w:space="0" w:color="auto"/>
            </w:tcBorders>
          </w:tcPr>
          <w:p w14:paraId="55B2DD2C" w14:textId="2CBA1755" w:rsidR="00BB34C0" w:rsidRPr="00023A65" w:rsidRDefault="00CF62F9" w:rsidP="000A048E">
            <w:pPr>
              <w:jc w:val="left"/>
              <w:rPr>
                <w:color w:val="000000"/>
                <w:kern w:val="0"/>
                <w:sz w:val="20"/>
                <w:szCs w:val="20"/>
                <w:lang w:bidi="ar"/>
              </w:rPr>
            </w:pPr>
            <w:r>
              <w:rPr>
                <w:rFonts w:hint="eastAsia"/>
                <w:color w:val="000000"/>
                <w:kern w:val="0"/>
                <w:sz w:val="20"/>
                <w:szCs w:val="20"/>
                <w:lang w:bidi="ar"/>
              </w:rPr>
              <w:lastRenderedPageBreak/>
              <w:t>9</w:t>
            </w:r>
          </w:p>
        </w:tc>
        <w:tc>
          <w:tcPr>
            <w:tcW w:w="1998" w:type="pct"/>
            <w:tcBorders>
              <w:top w:val="single" w:sz="4" w:space="0" w:color="auto"/>
              <w:left w:val="single" w:sz="4" w:space="0" w:color="auto"/>
              <w:bottom w:val="single" w:sz="4" w:space="0" w:color="auto"/>
              <w:right w:val="single" w:sz="4" w:space="0" w:color="auto"/>
            </w:tcBorders>
          </w:tcPr>
          <w:p w14:paraId="49DBBC06" w14:textId="77777777" w:rsidR="00BB34C0" w:rsidRPr="00023A65" w:rsidRDefault="00BB34C0" w:rsidP="000A048E">
            <w:pPr>
              <w:jc w:val="left"/>
              <w:rPr>
                <w:color w:val="000000"/>
                <w:kern w:val="0"/>
                <w:sz w:val="20"/>
                <w:szCs w:val="20"/>
                <w:lang w:bidi="ar"/>
              </w:rPr>
            </w:pPr>
            <w:r w:rsidRPr="00B030AF">
              <w:rPr>
                <w:color w:val="000000"/>
                <w:kern w:val="0"/>
                <w:sz w:val="20"/>
                <w:szCs w:val="20"/>
                <w:lang w:bidi="ar"/>
              </w:rPr>
              <w:t>羽绒羽毛成分分析</w:t>
            </w:r>
          </w:p>
        </w:tc>
        <w:tc>
          <w:tcPr>
            <w:tcW w:w="2220" w:type="pct"/>
            <w:tcBorders>
              <w:top w:val="single" w:sz="4" w:space="0" w:color="auto"/>
              <w:left w:val="single" w:sz="4" w:space="0" w:color="auto"/>
              <w:bottom w:val="single" w:sz="4" w:space="0" w:color="auto"/>
              <w:right w:val="single" w:sz="4" w:space="0" w:color="auto"/>
            </w:tcBorders>
          </w:tcPr>
          <w:p w14:paraId="0DC90042" w14:textId="10AEC4B3" w:rsidR="00BB34C0" w:rsidRPr="00023A65" w:rsidRDefault="00C6544E" w:rsidP="00C6544E">
            <w:pPr>
              <w:adjustRightInd w:val="0"/>
              <w:snapToGrid w:val="0"/>
              <w:spacing w:line="300" w:lineRule="exact"/>
              <w:rPr>
                <w:color w:val="000000"/>
                <w:kern w:val="0"/>
                <w:sz w:val="20"/>
                <w:szCs w:val="20"/>
                <w:lang w:bidi="ar"/>
              </w:rPr>
            </w:pPr>
            <w:r w:rsidRPr="00C6544E">
              <w:rPr>
                <w:rFonts w:hint="eastAsia"/>
                <w:color w:val="000000"/>
                <w:kern w:val="0"/>
                <w:sz w:val="20"/>
                <w:szCs w:val="20"/>
                <w:lang w:bidi="ar"/>
              </w:rPr>
              <w:t>GB/T 10288-2016</w:t>
            </w:r>
          </w:p>
        </w:tc>
      </w:tr>
      <w:tr w:rsidR="00BB34C0" w:rsidRPr="00C8671C" w14:paraId="4EFEB952" w14:textId="77777777" w:rsidTr="000A048E">
        <w:tc>
          <w:tcPr>
            <w:tcW w:w="782" w:type="pct"/>
            <w:tcBorders>
              <w:top w:val="single" w:sz="4" w:space="0" w:color="auto"/>
              <w:left w:val="single" w:sz="4" w:space="0" w:color="auto"/>
              <w:bottom w:val="single" w:sz="4" w:space="0" w:color="auto"/>
              <w:right w:val="single" w:sz="4" w:space="0" w:color="auto"/>
            </w:tcBorders>
          </w:tcPr>
          <w:p w14:paraId="061ABCF8" w14:textId="69D4B141" w:rsidR="00BB34C0" w:rsidRPr="00023A65" w:rsidRDefault="00BB34C0" w:rsidP="000A048E">
            <w:pPr>
              <w:adjustRightInd w:val="0"/>
              <w:snapToGrid w:val="0"/>
              <w:spacing w:line="300" w:lineRule="exact"/>
              <w:rPr>
                <w:color w:val="000000"/>
                <w:kern w:val="0"/>
                <w:sz w:val="20"/>
                <w:szCs w:val="20"/>
                <w:lang w:bidi="ar"/>
              </w:rPr>
            </w:pPr>
            <w:r>
              <w:rPr>
                <w:rFonts w:hint="eastAsia"/>
                <w:color w:val="000000"/>
                <w:kern w:val="0"/>
                <w:sz w:val="20"/>
                <w:szCs w:val="20"/>
                <w:lang w:bidi="ar"/>
              </w:rPr>
              <w:t>1</w:t>
            </w:r>
            <w:r w:rsidR="00CF62F9">
              <w:rPr>
                <w:rFonts w:hint="eastAsia"/>
                <w:color w:val="000000"/>
                <w:kern w:val="0"/>
                <w:sz w:val="20"/>
                <w:szCs w:val="20"/>
                <w:lang w:bidi="ar"/>
              </w:rPr>
              <w:t>0</w:t>
            </w:r>
          </w:p>
        </w:tc>
        <w:tc>
          <w:tcPr>
            <w:tcW w:w="1998" w:type="pct"/>
            <w:tcBorders>
              <w:top w:val="single" w:sz="4" w:space="0" w:color="auto"/>
              <w:left w:val="single" w:sz="4" w:space="0" w:color="auto"/>
              <w:bottom w:val="single" w:sz="4" w:space="0" w:color="auto"/>
              <w:right w:val="single" w:sz="4" w:space="0" w:color="auto"/>
            </w:tcBorders>
          </w:tcPr>
          <w:p w14:paraId="4AD02FDD" w14:textId="273C3A9C" w:rsidR="00BB34C0" w:rsidRPr="00023A65" w:rsidRDefault="00BB34C0" w:rsidP="000A048E">
            <w:pPr>
              <w:adjustRightInd w:val="0"/>
              <w:spacing w:line="264" w:lineRule="auto"/>
              <w:jc w:val="left"/>
              <w:rPr>
                <w:color w:val="000000"/>
                <w:kern w:val="0"/>
                <w:sz w:val="20"/>
                <w:szCs w:val="20"/>
                <w:lang w:bidi="ar"/>
              </w:rPr>
            </w:pPr>
            <w:r>
              <w:rPr>
                <w:rFonts w:hint="eastAsia"/>
                <w:color w:val="000000"/>
                <w:kern w:val="0"/>
                <w:sz w:val="20"/>
                <w:szCs w:val="20"/>
                <w:lang w:bidi="ar"/>
              </w:rPr>
              <w:t>防钻绒性能</w:t>
            </w:r>
          </w:p>
        </w:tc>
        <w:tc>
          <w:tcPr>
            <w:tcW w:w="2220" w:type="pct"/>
            <w:tcBorders>
              <w:top w:val="single" w:sz="4" w:space="0" w:color="auto"/>
              <w:left w:val="single" w:sz="4" w:space="0" w:color="auto"/>
              <w:bottom w:val="single" w:sz="4" w:space="0" w:color="auto"/>
              <w:right w:val="single" w:sz="4" w:space="0" w:color="auto"/>
            </w:tcBorders>
          </w:tcPr>
          <w:p w14:paraId="2FC90CD9" w14:textId="58E05FB2" w:rsidR="00BB34C0" w:rsidRPr="00023A65" w:rsidRDefault="00C6544E" w:rsidP="000A048E">
            <w:pPr>
              <w:adjustRightInd w:val="0"/>
              <w:snapToGrid w:val="0"/>
              <w:spacing w:line="300" w:lineRule="exact"/>
              <w:rPr>
                <w:color w:val="000000"/>
                <w:kern w:val="0"/>
                <w:sz w:val="20"/>
                <w:szCs w:val="20"/>
                <w:lang w:bidi="ar"/>
              </w:rPr>
            </w:pPr>
            <w:r>
              <w:rPr>
                <w:rFonts w:hint="eastAsia"/>
                <w:color w:val="000000"/>
                <w:kern w:val="0"/>
                <w:sz w:val="20"/>
                <w:szCs w:val="20"/>
                <w:lang w:bidi="ar"/>
              </w:rPr>
              <w:t>QB/T 1193-2023</w:t>
            </w:r>
          </w:p>
        </w:tc>
      </w:tr>
      <w:tr w:rsidR="00BB34C0" w:rsidRPr="00833C5E" w14:paraId="13639D50" w14:textId="77777777" w:rsidTr="000A048E">
        <w:tc>
          <w:tcPr>
            <w:tcW w:w="5000" w:type="pct"/>
            <w:gridSpan w:val="3"/>
            <w:tcBorders>
              <w:top w:val="single" w:sz="4" w:space="0" w:color="auto"/>
              <w:left w:val="single" w:sz="4" w:space="0" w:color="auto"/>
              <w:bottom w:val="single" w:sz="4" w:space="0" w:color="auto"/>
              <w:right w:val="single" w:sz="4" w:space="0" w:color="auto"/>
            </w:tcBorders>
          </w:tcPr>
          <w:p w14:paraId="1D186C7D" w14:textId="77777777" w:rsidR="00BB34C0" w:rsidRPr="00FF1ADB" w:rsidRDefault="00BB34C0" w:rsidP="000A048E">
            <w:pPr>
              <w:adjustRightInd w:val="0"/>
              <w:snapToGrid w:val="0"/>
              <w:spacing w:line="300" w:lineRule="exact"/>
              <w:rPr>
                <w:color w:val="000000"/>
                <w:kern w:val="0"/>
                <w:sz w:val="20"/>
                <w:szCs w:val="20"/>
                <w:lang w:bidi="ar"/>
              </w:rPr>
            </w:pPr>
            <w:r w:rsidRPr="00FF1ADB">
              <w:rPr>
                <w:rFonts w:hint="eastAsia"/>
                <w:color w:val="000000"/>
                <w:kern w:val="0"/>
                <w:sz w:val="20"/>
                <w:szCs w:val="20"/>
                <w:lang w:bidi="ar"/>
              </w:rPr>
              <w:t>注：</w:t>
            </w:r>
          </w:p>
          <w:p w14:paraId="4D06A7E3" w14:textId="77777777" w:rsidR="00BB34C0" w:rsidRPr="00FF1ADB" w:rsidRDefault="00BB34C0" w:rsidP="000A048E">
            <w:pPr>
              <w:adjustRightInd w:val="0"/>
              <w:snapToGrid w:val="0"/>
              <w:spacing w:line="300" w:lineRule="exact"/>
              <w:ind w:left="360"/>
              <w:jc w:val="left"/>
              <w:rPr>
                <w:color w:val="000000"/>
                <w:kern w:val="0"/>
                <w:sz w:val="20"/>
                <w:szCs w:val="20"/>
                <w:lang w:bidi="ar"/>
              </w:rPr>
            </w:pPr>
            <w:r w:rsidRPr="00FF1ADB">
              <w:rPr>
                <w:rFonts w:hint="eastAsia"/>
                <w:color w:val="000000"/>
                <w:kern w:val="0"/>
                <w:sz w:val="20"/>
                <w:szCs w:val="20"/>
                <w:lang w:bidi="ar"/>
              </w:rPr>
              <w:t>具体产品的检测项目可根据实际样品标称的产品标准来确定。</w:t>
            </w:r>
          </w:p>
        </w:tc>
      </w:tr>
    </w:tbl>
    <w:p w14:paraId="6F96C47A" w14:textId="77777777" w:rsidR="00BB34C0" w:rsidRPr="00647CC0" w:rsidRDefault="00BB34C0" w:rsidP="00BB34C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05FC61ED" w14:textId="77777777" w:rsidR="00BB34C0" w:rsidRPr="00647CC0" w:rsidRDefault="00BB34C0" w:rsidP="00BB34C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3E458043" w14:textId="77777777" w:rsidR="00BB34C0" w:rsidRPr="00647CC0" w:rsidRDefault="00BB34C0" w:rsidP="00BB34C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2075AA60" w14:textId="77777777" w:rsidR="00BF66E7" w:rsidRPr="009A2EA7" w:rsidRDefault="00BF66E7" w:rsidP="00BF66E7">
      <w:pPr>
        <w:spacing w:line="240" w:lineRule="auto"/>
        <w:rPr>
          <w:b/>
          <w:bCs/>
        </w:rPr>
      </w:pPr>
      <w:r w:rsidRPr="009A2EA7">
        <w:rPr>
          <w:rFonts w:hint="eastAsia"/>
          <w:b/>
          <w:bCs/>
        </w:rPr>
        <w:t>3 判定规则</w:t>
      </w:r>
    </w:p>
    <w:p w14:paraId="5D15F02D" w14:textId="77777777" w:rsidR="00BF66E7" w:rsidRPr="00647CC0" w:rsidRDefault="00BF66E7" w:rsidP="00BF66E7">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2DABDD3E" w14:textId="77777777" w:rsidR="00BF66E7" w:rsidRPr="00647CC0" w:rsidRDefault="00BF66E7" w:rsidP="00BF66E7">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355366C5" w14:textId="77777777" w:rsidR="00BF66E7" w:rsidRDefault="00BF66E7" w:rsidP="00BF66E7">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6B0CD4D1" w14:textId="2813B3D0" w:rsidR="00823156" w:rsidRPr="00647CC0" w:rsidRDefault="00823156" w:rsidP="00823156">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360A3343" w14:textId="00129384" w:rsidR="00BF66E7" w:rsidRPr="00647CC0" w:rsidRDefault="00BF66E7" w:rsidP="00BF66E7">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FZ/T 81005-2017 绗缝制品</w:t>
      </w:r>
    </w:p>
    <w:p w14:paraId="405D6363" w14:textId="3AE79A91" w:rsidR="00BF66E7" w:rsidRPr="00647CC0" w:rsidRDefault="00BF66E7" w:rsidP="00BF66E7">
      <w:pPr>
        <w:adjustRightInd w:val="0"/>
        <w:snapToGrid w:val="0"/>
        <w:spacing w:line="336" w:lineRule="auto"/>
        <w:ind w:firstLineChars="300" w:firstLine="630"/>
        <w:rPr>
          <w:rFonts w:cs="Times New Roman"/>
          <w:color w:val="000000"/>
          <w:sz w:val="21"/>
          <w:szCs w:val="21"/>
        </w:rPr>
      </w:pPr>
      <w:r w:rsidRPr="00647CC0">
        <w:rPr>
          <w:rFonts w:cs="Times New Roman"/>
          <w:color w:val="000000"/>
          <w:sz w:val="21"/>
          <w:szCs w:val="21"/>
        </w:rPr>
        <w:t>QB/T 1193-2</w:t>
      </w:r>
      <w:r w:rsidR="00E20362">
        <w:rPr>
          <w:rFonts w:cs="Times New Roman" w:hint="eastAsia"/>
          <w:color w:val="000000"/>
          <w:sz w:val="21"/>
          <w:szCs w:val="21"/>
        </w:rPr>
        <w:t>023</w:t>
      </w:r>
      <w:r w:rsidRPr="00647CC0">
        <w:rPr>
          <w:rFonts w:cs="Times New Roman"/>
          <w:color w:val="000000"/>
          <w:sz w:val="21"/>
          <w:szCs w:val="21"/>
        </w:rPr>
        <w:t>羽绒羽毛被</w:t>
      </w:r>
    </w:p>
    <w:p w14:paraId="36B03AC7" w14:textId="77777777" w:rsidR="00823156" w:rsidRPr="00647CC0" w:rsidRDefault="00823156" w:rsidP="00823156">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21CBAABA" w14:textId="77777777" w:rsidR="00823156" w:rsidRPr="00647CC0" w:rsidRDefault="00823156" w:rsidP="00823156">
      <w:pPr>
        <w:snapToGrid w:val="0"/>
        <w:ind w:firstLineChars="100" w:firstLine="210"/>
        <w:rPr>
          <w:rFonts w:cs="Times New Roman"/>
          <w:color w:val="000000"/>
          <w:sz w:val="21"/>
          <w:szCs w:val="21"/>
        </w:rPr>
      </w:pPr>
      <w:r w:rsidRPr="00647CC0">
        <w:rPr>
          <w:rFonts w:cs="Times New Roman" w:hint="eastAsia"/>
          <w:color w:val="000000"/>
          <w:sz w:val="21"/>
          <w:szCs w:val="21"/>
        </w:rPr>
        <w:t>3.2判定原则</w:t>
      </w:r>
    </w:p>
    <w:p w14:paraId="1D617185"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3E4CCDE3"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23835DC0"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01B051E4"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lastRenderedPageBreak/>
        <w:t>若被检产品明示的质量要求缺少本细则中检验项目依据的强制性标准要求时，应按照强制性标准要求判定。</w:t>
      </w:r>
    </w:p>
    <w:p w14:paraId="644241B6"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5CDFD190" w14:textId="77777777" w:rsidR="00823156" w:rsidRPr="00647CC0" w:rsidRDefault="00823156" w:rsidP="00823156">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1177681E"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2CE20278"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75857894" w14:textId="77777777" w:rsidR="00823156" w:rsidRPr="00647CC0" w:rsidRDefault="00823156" w:rsidP="00823156">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56668507" w14:textId="77777777" w:rsidR="00BF66E7" w:rsidRPr="00823156" w:rsidRDefault="00BF66E7" w:rsidP="00BF66E7">
      <w:pPr>
        <w:adjustRightInd w:val="0"/>
        <w:snapToGrid w:val="0"/>
        <w:spacing w:line="336" w:lineRule="auto"/>
        <w:ind w:firstLineChars="300" w:firstLine="630"/>
        <w:rPr>
          <w:rFonts w:cs="Times New Roman"/>
          <w:color w:val="000000"/>
          <w:sz w:val="21"/>
          <w:szCs w:val="21"/>
        </w:rPr>
      </w:pPr>
    </w:p>
    <w:p w14:paraId="57F74744" w14:textId="77777777" w:rsidR="00092C34" w:rsidRPr="00BF66E7" w:rsidRDefault="00092C34"/>
    <w:sectPr w:rsidR="00092C34" w:rsidRPr="00BF6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C0"/>
    <w:rsid w:val="00092C34"/>
    <w:rsid w:val="003B650E"/>
    <w:rsid w:val="00437B13"/>
    <w:rsid w:val="00675533"/>
    <w:rsid w:val="00823156"/>
    <w:rsid w:val="00BB34C0"/>
    <w:rsid w:val="00BF609F"/>
    <w:rsid w:val="00BF66E7"/>
    <w:rsid w:val="00C6544E"/>
    <w:rsid w:val="00CF62F9"/>
    <w:rsid w:val="00E20362"/>
    <w:rsid w:val="00E3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C355"/>
  <w15:chartTrackingRefBased/>
  <w15:docId w15:val="{58132ECB-6D9D-4774-BF78-5B7BB8D7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C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BB34C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BB34C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BB34C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BB34C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BB34C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BB34C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BB34C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BB34C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BB34C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C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BB34C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BB34C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B34C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BB34C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BB34C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BB34C0"/>
    <w:rPr>
      <w:rFonts w:cstheme="majorBidi"/>
      <w:b/>
      <w:bCs/>
      <w:color w:val="595959" w:themeColor="text1" w:themeTint="A6"/>
    </w:rPr>
  </w:style>
  <w:style w:type="character" w:customStyle="1" w:styleId="Heading8Char">
    <w:name w:val="Heading 8 Char"/>
    <w:basedOn w:val="DefaultParagraphFont"/>
    <w:link w:val="Heading8"/>
    <w:uiPriority w:val="9"/>
    <w:semiHidden/>
    <w:rsid w:val="00BB34C0"/>
    <w:rPr>
      <w:rFonts w:cstheme="majorBidi"/>
      <w:color w:val="595959" w:themeColor="text1" w:themeTint="A6"/>
    </w:rPr>
  </w:style>
  <w:style w:type="character" w:customStyle="1" w:styleId="Heading9Char">
    <w:name w:val="Heading 9 Char"/>
    <w:basedOn w:val="DefaultParagraphFont"/>
    <w:link w:val="Heading9"/>
    <w:uiPriority w:val="9"/>
    <w:semiHidden/>
    <w:rsid w:val="00BB34C0"/>
    <w:rPr>
      <w:rFonts w:eastAsiaTheme="majorEastAsia" w:cstheme="majorBidi"/>
      <w:color w:val="595959" w:themeColor="text1" w:themeTint="A6"/>
    </w:rPr>
  </w:style>
  <w:style w:type="paragraph" w:styleId="Title">
    <w:name w:val="Title"/>
    <w:basedOn w:val="Normal"/>
    <w:next w:val="Normal"/>
    <w:link w:val="TitleChar"/>
    <w:uiPriority w:val="10"/>
    <w:qFormat/>
    <w:rsid w:val="00BB34C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4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4C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B34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34C0"/>
    <w:rPr>
      <w:i/>
      <w:iCs/>
      <w:color w:val="404040" w:themeColor="text1" w:themeTint="BF"/>
    </w:rPr>
  </w:style>
  <w:style w:type="paragraph" w:styleId="ListParagraph">
    <w:name w:val="List Paragraph"/>
    <w:basedOn w:val="Normal"/>
    <w:uiPriority w:val="34"/>
    <w:qFormat/>
    <w:rsid w:val="00BB34C0"/>
    <w:pPr>
      <w:ind w:left="720"/>
      <w:contextualSpacing/>
    </w:pPr>
  </w:style>
  <w:style w:type="character" w:styleId="IntenseEmphasis">
    <w:name w:val="Intense Emphasis"/>
    <w:basedOn w:val="DefaultParagraphFont"/>
    <w:uiPriority w:val="21"/>
    <w:qFormat/>
    <w:rsid w:val="00BB34C0"/>
    <w:rPr>
      <w:i/>
      <w:iCs/>
      <w:color w:val="0F4761" w:themeColor="accent1" w:themeShade="BF"/>
    </w:rPr>
  </w:style>
  <w:style w:type="paragraph" w:styleId="IntenseQuote">
    <w:name w:val="Intense Quote"/>
    <w:basedOn w:val="Normal"/>
    <w:next w:val="Normal"/>
    <w:link w:val="IntenseQuoteChar"/>
    <w:uiPriority w:val="30"/>
    <w:qFormat/>
    <w:rsid w:val="00BB3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4C0"/>
    <w:rPr>
      <w:i/>
      <w:iCs/>
      <w:color w:val="0F4761" w:themeColor="accent1" w:themeShade="BF"/>
    </w:rPr>
  </w:style>
  <w:style w:type="character" w:styleId="IntenseReference">
    <w:name w:val="Intense Reference"/>
    <w:basedOn w:val="DefaultParagraphFont"/>
    <w:uiPriority w:val="32"/>
    <w:qFormat/>
    <w:rsid w:val="00BB34C0"/>
    <w:rPr>
      <w:b/>
      <w:bCs/>
      <w:smallCaps/>
      <w:color w:val="0F4761" w:themeColor="accent1" w:themeShade="BF"/>
      <w:spacing w:val="5"/>
    </w:rPr>
  </w:style>
  <w:style w:type="paragraph" w:styleId="PlainText">
    <w:name w:val="Plain Text"/>
    <w:basedOn w:val="Normal"/>
    <w:link w:val="PlainTextChar"/>
    <w:rsid w:val="00BB34C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BB34C0"/>
    <w:rPr>
      <w:rFonts w:ascii="宋体" w:eastAsia="宋体" w:hAnsi="Courier New" w:cs="Times New Roman"/>
      <w:szCs w:val="21"/>
    </w:rPr>
  </w:style>
  <w:style w:type="table" w:styleId="TableGrid">
    <w:name w:val="Table Grid"/>
    <w:basedOn w:val="TableNormal"/>
    <w:uiPriority w:val="39"/>
    <w:rsid w:val="00BB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1741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2025-03-24T06:46:00Z</dcterms:created>
  <dc:creator>Henry Li</dc:creator>
  <lastModifiedBy>Henry Li</lastModifiedBy>
  <dcterms:modified xsi:type="dcterms:W3CDTF">2025-03-25T09:12:00Z</dcterms:modified>
  <revision>3</revision>
</coreProperties>
</file>