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D6AF4">
      <w:pPr>
        <w:spacing w:line="560" w:lineRule="exact"/>
        <w:rPr>
          <w:rFonts w:ascii="黑体" w:hAnsi="黑体" w:eastAsia="黑体" w:cs="黑体"/>
          <w:spacing w:val="15"/>
          <w:sz w:val="32"/>
          <w:szCs w:val="32"/>
        </w:rPr>
      </w:pPr>
    </w:p>
    <w:p w14:paraId="0CA1A754">
      <w:pPr>
        <w:spacing w:line="560" w:lineRule="exact"/>
        <w:jc w:val="center"/>
        <w:rPr>
          <w:rFonts w:ascii="方正小标宋简体" w:hAnsi="方正小标宋简体" w:eastAsia="方正小标宋简体" w:cs="方正小标宋简体"/>
          <w:spacing w:val="15"/>
          <w:sz w:val="44"/>
          <w:szCs w:val="44"/>
        </w:rPr>
      </w:pPr>
    </w:p>
    <w:p w14:paraId="14A5EEA6">
      <w:pPr>
        <w:spacing w:line="560" w:lineRule="exact"/>
        <w:jc w:val="center"/>
        <w:rPr>
          <w:rFonts w:ascii="方正小标宋简体" w:hAnsi="方正小标宋简体" w:eastAsia="方正小标宋简体" w:cs="方正小标宋简体"/>
          <w:bCs/>
          <w:spacing w:val="15"/>
          <w:sz w:val="44"/>
          <w:szCs w:val="44"/>
        </w:rPr>
      </w:pPr>
    </w:p>
    <w:p w14:paraId="28F77FC7">
      <w:pPr>
        <w:spacing w:line="560" w:lineRule="exact"/>
        <w:jc w:val="center"/>
        <w:rPr>
          <w:rFonts w:ascii="方正小标宋简体" w:hAnsi="方正小标宋简体" w:eastAsia="方正小标宋简体" w:cs="方正小标宋简体"/>
          <w:bCs/>
          <w:spacing w:val="15"/>
          <w:sz w:val="44"/>
          <w:szCs w:val="44"/>
        </w:rPr>
      </w:pPr>
    </w:p>
    <w:p w14:paraId="40E2C8ED">
      <w:pPr>
        <w:spacing w:line="560" w:lineRule="exact"/>
        <w:jc w:val="center"/>
        <w:rPr>
          <w:rFonts w:ascii="方正小标宋简体" w:hAnsi="方正小标宋简体" w:eastAsia="方正小标宋简体" w:cs="方正小标宋简体"/>
          <w:bCs/>
          <w:spacing w:val="15"/>
          <w:sz w:val="44"/>
          <w:szCs w:val="44"/>
        </w:rPr>
      </w:pPr>
    </w:p>
    <w:p w14:paraId="21E9D496">
      <w:pPr>
        <w:spacing w:line="560" w:lineRule="exact"/>
        <w:jc w:val="center"/>
        <w:rPr>
          <w:rFonts w:ascii="方正小标宋简体" w:hAnsi="方正小标宋简体" w:eastAsia="方正小标宋简体" w:cs="方正小标宋简体"/>
          <w:bCs/>
          <w:spacing w:val="15"/>
          <w:sz w:val="44"/>
          <w:szCs w:val="44"/>
        </w:rPr>
      </w:pPr>
    </w:p>
    <w:p w14:paraId="7E443476">
      <w:pPr>
        <w:spacing w:line="560" w:lineRule="exact"/>
        <w:jc w:val="center"/>
        <w:rPr>
          <w:rFonts w:ascii="方正小标宋简体" w:hAnsi="方正小标宋简体" w:eastAsia="方正小标宋简体" w:cs="方正小标宋简体"/>
          <w:bCs/>
          <w:spacing w:val="15"/>
          <w:sz w:val="44"/>
          <w:szCs w:val="44"/>
        </w:rPr>
      </w:pPr>
    </w:p>
    <w:p w14:paraId="1EC332DA">
      <w:pPr>
        <w:spacing w:line="560" w:lineRule="exact"/>
        <w:jc w:val="center"/>
        <w:rPr>
          <w:rFonts w:ascii="方正小标宋简体" w:hAnsi="方正小标宋简体" w:eastAsia="方正小标宋简体" w:cs="方正小标宋简体"/>
          <w:bCs/>
          <w:spacing w:val="15"/>
          <w:sz w:val="44"/>
          <w:szCs w:val="44"/>
        </w:rPr>
      </w:pPr>
    </w:p>
    <w:p w14:paraId="3C38BAAA">
      <w:pPr>
        <w:spacing w:line="560" w:lineRule="exact"/>
        <w:jc w:val="center"/>
        <w:rPr>
          <w:rFonts w:ascii="方正小标宋简体" w:hAnsi="方正小标宋简体" w:eastAsia="方正小标宋简体" w:cs="方正小标宋简体"/>
          <w:bCs/>
          <w:spacing w:val="15"/>
          <w:sz w:val="44"/>
          <w:szCs w:val="44"/>
        </w:rPr>
      </w:pPr>
    </w:p>
    <w:p w14:paraId="28C65370">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德清县新市镇中心卫生院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57D68C82">
      <w:pPr>
        <w:spacing w:line="560" w:lineRule="exact"/>
        <w:ind w:firstLine="590" w:firstLineChars="196"/>
        <w:rPr>
          <w:rStyle w:val="10"/>
          <w:color w:val="000000"/>
          <w:sz w:val="30"/>
          <w:szCs w:val="30"/>
        </w:rPr>
      </w:pPr>
    </w:p>
    <w:p w14:paraId="4A8F3CAA">
      <w:pPr>
        <w:spacing w:line="520" w:lineRule="exact"/>
        <w:ind w:firstLine="627" w:firstLineChars="196"/>
        <w:jc w:val="center"/>
        <w:rPr>
          <w:rStyle w:val="10"/>
          <w:rFonts w:ascii="黑体" w:eastAsia="黑体"/>
          <w:b w:val="0"/>
          <w:color w:val="000000"/>
          <w:sz w:val="32"/>
          <w:szCs w:val="32"/>
        </w:rPr>
      </w:pPr>
    </w:p>
    <w:p w14:paraId="1B307ADE">
      <w:pPr>
        <w:spacing w:line="520" w:lineRule="exact"/>
        <w:ind w:firstLine="627" w:firstLineChars="196"/>
        <w:jc w:val="center"/>
        <w:rPr>
          <w:rStyle w:val="10"/>
          <w:rFonts w:ascii="黑体" w:eastAsia="黑体"/>
          <w:b w:val="0"/>
          <w:color w:val="000000"/>
          <w:sz w:val="32"/>
          <w:szCs w:val="32"/>
        </w:rPr>
      </w:pPr>
    </w:p>
    <w:p w14:paraId="59D72A6C">
      <w:pPr>
        <w:spacing w:line="520" w:lineRule="exact"/>
        <w:ind w:firstLine="627" w:firstLineChars="196"/>
        <w:jc w:val="center"/>
        <w:rPr>
          <w:rStyle w:val="10"/>
          <w:rFonts w:ascii="黑体" w:eastAsia="黑体"/>
          <w:b w:val="0"/>
          <w:color w:val="000000"/>
          <w:sz w:val="32"/>
          <w:szCs w:val="32"/>
        </w:rPr>
      </w:pPr>
    </w:p>
    <w:p w14:paraId="7860C6B2">
      <w:pPr>
        <w:spacing w:line="520" w:lineRule="exact"/>
        <w:ind w:firstLine="627" w:firstLineChars="196"/>
        <w:jc w:val="center"/>
        <w:rPr>
          <w:rStyle w:val="10"/>
          <w:rFonts w:ascii="黑体" w:eastAsia="黑体"/>
          <w:b w:val="0"/>
          <w:color w:val="000000"/>
          <w:sz w:val="32"/>
          <w:szCs w:val="32"/>
        </w:rPr>
      </w:pPr>
    </w:p>
    <w:p w14:paraId="4083727A">
      <w:pPr>
        <w:spacing w:line="520" w:lineRule="exact"/>
        <w:ind w:firstLine="627" w:firstLineChars="196"/>
        <w:jc w:val="center"/>
        <w:rPr>
          <w:rStyle w:val="10"/>
          <w:rFonts w:ascii="黑体" w:eastAsia="黑体"/>
          <w:b w:val="0"/>
          <w:color w:val="000000"/>
          <w:sz w:val="32"/>
          <w:szCs w:val="32"/>
        </w:rPr>
      </w:pPr>
    </w:p>
    <w:p w14:paraId="5442CA86">
      <w:pPr>
        <w:spacing w:line="520" w:lineRule="exact"/>
        <w:ind w:firstLine="627" w:firstLineChars="196"/>
        <w:jc w:val="center"/>
        <w:rPr>
          <w:rStyle w:val="10"/>
          <w:rFonts w:ascii="黑体" w:eastAsia="黑体"/>
          <w:b w:val="0"/>
          <w:color w:val="000000"/>
          <w:sz w:val="32"/>
          <w:szCs w:val="32"/>
        </w:rPr>
      </w:pPr>
    </w:p>
    <w:p w14:paraId="454C6B7F">
      <w:pPr>
        <w:spacing w:line="520" w:lineRule="exact"/>
        <w:ind w:firstLine="627" w:firstLineChars="196"/>
        <w:jc w:val="center"/>
        <w:rPr>
          <w:rStyle w:val="10"/>
          <w:rFonts w:ascii="黑体" w:eastAsia="黑体"/>
          <w:b w:val="0"/>
          <w:color w:val="000000"/>
          <w:sz w:val="32"/>
          <w:szCs w:val="32"/>
        </w:rPr>
      </w:pPr>
    </w:p>
    <w:p w14:paraId="0FB7BDE7">
      <w:pPr>
        <w:spacing w:line="520" w:lineRule="exact"/>
        <w:ind w:firstLine="627" w:firstLineChars="196"/>
        <w:jc w:val="center"/>
        <w:rPr>
          <w:rStyle w:val="10"/>
          <w:rFonts w:ascii="黑体" w:eastAsia="黑体"/>
          <w:b w:val="0"/>
          <w:color w:val="000000"/>
          <w:sz w:val="32"/>
          <w:szCs w:val="32"/>
        </w:rPr>
      </w:pPr>
    </w:p>
    <w:p w14:paraId="3D5B0D4F">
      <w:pPr>
        <w:spacing w:line="520" w:lineRule="exact"/>
        <w:ind w:firstLine="627" w:firstLineChars="196"/>
        <w:jc w:val="center"/>
        <w:rPr>
          <w:rStyle w:val="10"/>
          <w:rFonts w:ascii="黑体" w:eastAsia="黑体"/>
          <w:b w:val="0"/>
          <w:color w:val="000000"/>
          <w:sz w:val="32"/>
          <w:szCs w:val="32"/>
        </w:rPr>
      </w:pPr>
    </w:p>
    <w:p w14:paraId="14C0173E">
      <w:pPr>
        <w:spacing w:line="520" w:lineRule="exact"/>
        <w:ind w:firstLine="627" w:firstLineChars="196"/>
        <w:jc w:val="center"/>
        <w:rPr>
          <w:rStyle w:val="10"/>
          <w:rFonts w:ascii="黑体" w:eastAsia="黑体"/>
          <w:b w:val="0"/>
          <w:color w:val="000000"/>
          <w:sz w:val="32"/>
          <w:szCs w:val="32"/>
        </w:rPr>
      </w:pPr>
    </w:p>
    <w:p w14:paraId="4A7761CE">
      <w:pPr>
        <w:spacing w:line="520" w:lineRule="exact"/>
        <w:ind w:firstLine="627" w:firstLineChars="196"/>
        <w:jc w:val="center"/>
        <w:rPr>
          <w:rStyle w:val="10"/>
          <w:rFonts w:ascii="黑体" w:eastAsia="黑体"/>
          <w:b w:val="0"/>
          <w:color w:val="000000"/>
          <w:sz w:val="32"/>
          <w:szCs w:val="32"/>
        </w:rPr>
      </w:pPr>
    </w:p>
    <w:p w14:paraId="028A28DA">
      <w:pPr>
        <w:spacing w:line="520" w:lineRule="exact"/>
        <w:ind w:firstLine="627" w:firstLineChars="196"/>
        <w:jc w:val="center"/>
        <w:rPr>
          <w:rStyle w:val="10"/>
          <w:rFonts w:ascii="黑体" w:eastAsia="黑体"/>
          <w:b w:val="0"/>
          <w:color w:val="000000"/>
          <w:sz w:val="32"/>
          <w:szCs w:val="32"/>
        </w:rPr>
      </w:pPr>
    </w:p>
    <w:p w14:paraId="3BF5EEFE">
      <w:pPr>
        <w:spacing w:line="520" w:lineRule="exact"/>
        <w:ind w:firstLine="627" w:firstLineChars="196"/>
        <w:jc w:val="center"/>
        <w:rPr>
          <w:rStyle w:val="10"/>
          <w:rFonts w:ascii="黑体" w:eastAsia="黑体"/>
          <w:b w:val="0"/>
          <w:color w:val="000000"/>
          <w:sz w:val="32"/>
          <w:szCs w:val="32"/>
        </w:rPr>
      </w:pPr>
    </w:p>
    <w:p w14:paraId="3F9EE46D">
      <w:pPr>
        <w:spacing w:line="520" w:lineRule="exact"/>
        <w:rPr>
          <w:rStyle w:val="10"/>
          <w:rFonts w:ascii="黑体" w:eastAsia="黑体"/>
          <w:b w:val="0"/>
          <w:color w:val="000000"/>
          <w:sz w:val="32"/>
          <w:szCs w:val="32"/>
        </w:rPr>
      </w:pPr>
    </w:p>
    <w:p w14:paraId="5B3BDCDE">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6971CB2A">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2CF4415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243275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1756944">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德清县新市镇中心卫生院单位预算安排情况说明</w:t>
      </w:r>
    </w:p>
    <w:p w14:paraId="109CFD58">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0EBCF98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3C509AD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10F2F23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632A64B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62C938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6FA914A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4A1C551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（九）关于德清县新市镇中心卫生院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1BB3C83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499144A4">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657EBCDF">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德清县新市镇中心卫生院单位预算表</w:t>
      </w:r>
    </w:p>
    <w:p w14:paraId="468E2C6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081FD3D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D27A1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6BDFE20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6B1DE48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24C48D7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47E4530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03B1F3B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1B153B4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B240A53">
      <w:pPr>
        <w:autoSpaceDE w:val="0"/>
        <w:autoSpaceDN w:val="0"/>
        <w:adjustRightInd w:val="0"/>
        <w:ind w:left="420" w:leftChars="200"/>
        <w:jc w:val="left"/>
        <w:rPr>
          <w:rStyle w:val="10"/>
          <w:rFonts w:hint="default" w:ascii="黑体" w:eastAsia="黑体"/>
          <w:b w:val="0"/>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6A2D7E2B">
      <w:pPr>
        <w:pStyle w:val="2"/>
        <w:rPr>
          <w:rStyle w:val="10"/>
          <w:rFonts w:hint="default" w:ascii="黑体" w:eastAsia="黑体"/>
          <w:b w:val="0"/>
          <w:sz w:val="32"/>
          <w:szCs w:val="32"/>
        </w:rPr>
      </w:pPr>
    </w:p>
    <w:p w14:paraId="3A169C3C">
      <w:pPr>
        <w:pStyle w:val="2"/>
        <w:rPr>
          <w:rStyle w:val="10"/>
          <w:rFonts w:hint="default" w:ascii="黑体" w:eastAsia="黑体"/>
          <w:b w:val="0"/>
          <w:sz w:val="32"/>
          <w:szCs w:val="32"/>
        </w:rPr>
      </w:pPr>
    </w:p>
    <w:p w14:paraId="0006DD2B">
      <w:pPr>
        <w:pStyle w:val="2"/>
        <w:rPr>
          <w:rStyle w:val="10"/>
          <w:rFonts w:hint="default" w:ascii="黑体" w:eastAsia="黑体"/>
          <w:b w:val="0"/>
          <w:sz w:val="32"/>
          <w:szCs w:val="32"/>
        </w:rPr>
      </w:pPr>
    </w:p>
    <w:p w14:paraId="0C9BF533">
      <w:pPr>
        <w:pStyle w:val="2"/>
        <w:rPr>
          <w:rStyle w:val="10"/>
          <w:rFonts w:hint="default" w:ascii="黑体" w:eastAsia="黑体"/>
          <w:b w:val="0"/>
          <w:sz w:val="32"/>
          <w:szCs w:val="32"/>
        </w:rPr>
      </w:pPr>
    </w:p>
    <w:p w14:paraId="006F8758">
      <w:pPr>
        <w:pStyle w:val="2"/>
        <w:rPr>
          <w:rStyle w:val="10"/>
          <w:rFonts w:hint="default" w:ascii="黑体" w:eastAsia="黑体"/>
          <w:b w:val="0"/>
          <w:sz w:val="32"/>
          <w:szCs w:val="32"/>
        </w:rPr>
      </w:pPr>
    </w:p>
    <w:p w14:paraId="3A493219">
      <w:pPr>
        <w:pStyle w:val="2"/>
        <w:rPr>
          <w:rStyle w:val="10"/>
          <w:rFonts w:hint="default" w:ascii="黑体" w:eastAsia="黑体"/>
          <w:b w:val="0"/>
          <w:sz w:val="32"/>
          <w:szCs w:val="32"/>
        </w:rPr>
      </w:pPr>
    </w:p>
    <w:p w14:paraId="205B3A31">
      <w:pPr>
        <w:pStyle w:val="2"/>
        <w:rPr>
          <w:rStyle w:val="10"/>
          <w:rFonts w:hint="default" w:ascii="黑体" w:eastAsia="黑体"/>
          <w:b w:val="0"/>
          <w:sz w:val="32"/>
          <w:szCs w:val="32"/>
        </w:rPr>
      </w:pPr>
    </w:p>
    <w:p w14:paraId="3B57211F">
      <w:pPr>
        <w:pStyle w:val="2"/>
        <w:tabs>
          <w:tab w:val="left" w:pos="2608"/>
        </w:tabs>
        <w:rPr>
          <w:rStyle w:val="10"/>
          <w:rFonts w:hint="default" w:ascii="黑体" w:eastAsia="黑体"/>
          <w:b w:val="0"/>
          <w:sz w:val="32"/>
          <w:szCs w:val="32"/>
        </w:rPr>
      </w:pPr>
    </w:p>
    <w:p w14:paraId="2424C630">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14:paraId="689C70A9">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049E2826">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1.提供基本公共卫生服务，承担居民健康档案规范建档指导、管理及服务。</w:t>
      </w:r>
    </w:p>
    <w:p w14:paraId="7D63870C">
      <w:pPr>
        <w:spacing w:line="276" w:lineRule="auto"/>
        <w:ind w:firstLine="627" w:firstLineChars="196"/>
        <w:rPr>
          <w:rFonts w:ascii="仿宋_GB2312" w:eastAsia="仿宋_GB2312"/>
          <w:bCs/>
          <w:sz w:val="32"/>
          <w:szCs w:val="32"/>
        </w:rPr>
      </w:pPr>
      <w:r>
        <w:rPr>
          <w:rFonts w:hint="eastAsia" w:ascii="仿宋_GB2312" w:eastAsia="仿宋_GB2312"/>
          <w:bCs/>
          <w:sz w:val="32"/>
          <w:szCs w:val="32"/>
        </w:rPr>
        <w:t>2.普及卫生保健常识，在重点人群和重点场所开展健康教育，帮助居民形成有利于维护和增进健康的行为方式，指导开展爱国卫生工作。</w:t>
      </w:r>
    </w:p>
    <w:p w14:paraId="78F01C97">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提供并组织实施辖区预防接种服务，落实国家免疫规划。</w:t>
      </w:r>
    </w:p>
    <w:p w14:paraId="7225FA50">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及时发现、登记并报告辖区内发现的传染病病例和疑似病例，参与现场疫情处理。</w:t>
      </w:r>
    </w:p>
    <w:p w14:paraId="2CD592DA">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开展新生儿访视及儿童保健系统管理，进行体格检查和生长发育监测及评价，开展健康指导。</w:t>
      </w:r>
    </w:p>
    <w:p w14:paraId="5F0439C2">
      <w:pPr>
        <w:spacing w:line="276" w:lineRule="auto"/>
        <w:ind w:firstLine="627" w:firstLineChars="196"/>
        <w:rPr>
          <w:rFonts w:hint="eastAsia"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开展孕产妇保健系统管理和产后访视，进行一般检查及孕期营养、心理等健康指导。</w:t>
      </w:r>
    </w:p>
    <w:p w14:paraId="4C7D38D7">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对辖区65岁及以上老年人进行登记管理，进行健康危险因素调查和一般体格检查,开展健康指导。</w:t>
      </w:r>
    </w:p>
    <w:p w14:paraId="4F3FE7D3">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对高血压、糖尿病等慢性病高危人群进行指导,对确诊高血压、糖尿病等慢性病病例进行登记管理、定期随访和健康指导。</w:t>
      </w:r>
    </w:p>
    <w:p w14:paraId="01755832">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rPr>
        <w:t>对辖区重要性精神疾病患者进行登记管理、治疗随访和康复指导。</w:t>
      </w:r>
    </w:p>
    <w:p w14:paraId="2FBE602E">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lang w:val="en-US" w:eastAsia="zh-CN"/>
        </w:rPr>
        <w:t>10.</w:t>
      </w:r>
      <w:r>
        <w:rPr>
          <w:rFonts w:hint="eastAsia" w:ascii="仿宋_GB2312" w:eastAsia="仿宋_GB2312"/>
          <w:bCs/>
          <w:sz w:val="32"/>
          <w:szCs w:val="32"/>
        </w:rPr>
        <w:t>负责辖区内突发公共卫生事件的报告并协助处理。</w:t>
      </w:r>
    </w:p>
    <w:p w14:paraId="135A49F6">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lang w:val="en-US" w:eastAsia="zh-CN"/>
        </w:rPr>
        <w:t>11.</w:t>
      </w:r>
      <w:r>
        <w:rPr>
          <w:rFonts w:hint="eastAsia" w:ascii="仿宋_GB2312" w:eastAsia="仿宋_GB2312"/>
          <w:bCs/>
          <w:sz w:val="32"/>
          <w:szCs w:val="32"/>
        </w:rPr>
        <w:t>做好卫生行政的门规定的其他公共卫生服务。</w:t>
      </w:r>
    </w:p>
    <w:p w14:paraId="5D6F78D5">
      <w:pPr>
        <w:spacing w:line="276" w:lineRule="auto"/>
        <w:ind w:firstLine="640" w:firstLineChars="200"/>
        <w:rPr>
          <w:rFonts w:ascii="仿宋_GB2312" w:eastAsia="仿宋_GB2312"/>
          <w:bCs/>
          <w:sz w:val="32"/>
          <w:szCs w:val="32"/>
        </w:rPr>
      </w:pPr>
      <w:r>
        <w:rPr>
          <w:rFonts w:hint="eastAsia" w:ascii="仿宋_GB2312" w:eastAsia="仿宋_GB2312"/>
          <w:bCs/>
          <w:sz w:val="32"/>
          <w:szCs w:val="32"/>
          <w:lang w:val="en-US" w:eastAsia="zh-CN"/>
        </w:rPr>
        <w:t>12.</w:t>
      </w:r>
      <w:r>
        <w:rPr>
          <w:rFonts w:hint="eastAsia" w:ascii="仿宋_GB2312" w:eastAsia="仿宋_GB2312"/>
          <w:bCs/>
          <w:sz w:val="32"/>
          <w:szCs w:val="32"/>
        </w:rPr>
        <w:t>提供基本医疗服务，使用农村适宜医疗技术和中医药技术，正确处理常见病、多发病处理并转诊。</w:t>
      </w:r>
    </w:p>
    <w:p w14:paraId="7F617F22">
      <w:pPr>
        <w:spacing w:line="276" w:lineRule="auto"/>
        <w:ind w:firstLine="640" w:firstLineChars="200"/>
        <w:rPr>
          <w:rFonts w:ascii="仿宋_GB2312" w:eastAsia="仿宋_GB2312"/>
          <w:bCs/>
          <w:sz w:val="32"/>
          <w:szCs w:val="32"/>
        </w:rPr>
      </w:pPr>
      <w:r>
        <w:rPr>
          <w:rFonts w:hint="eastAsia" w:ascii="仿宋_GB2312" w:eastAsia="仿宋_GB2312"/>
          <w:bCs/>
          <w:sz w:val="32"/>
          <w:szCs w:val="32"/>
          <w:lang w:val="en-US" w:eastAsia="zh-CN"/>
        </w:rPr>
        <w:t>13.</w:t>
      </w:r>
      <w:r>
        <w:rPr>
          <w:rFonts w:hint="eastAsia" w:ascii="仿宋_GB2312" w:eastAsia="仿宋_GB2312"/>
          <w:bCs/>
          <w:sz w:val="32"/>
          <w:szCs w:val="32"/>
        </w:rPr>
        <w:t>健全消毒、隔离制度，遵守无菌操作规程，加强医疗质量管理。做好医疗废物处理和污水、污物无害化处理。</w:t>
      </w:r>
    </w:p>
    <w:p w14:paraId="4C97AB8E">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14.</w:t>
      </w:r>
      <w:r>
        <w:rPr>
          <w:rFonts w:hint="eastAsia" w:ascii="仿宋_GB2312" w:eastAsia="仿宋_GB2312"/>
          <w:bCs/>
          <w:sz w:val="32"/>
          <w:szCs w:val="32"/>
        </w:rPr>
        <w:t>执行国家基本药物制度药品集中采购、零差率销售等政策，为实施一体化管理的村卫生室统一代购药品。</w:t>
      </w:r>
    </w:p>
    <w:p w14:paraId="5A63E2FD">
      <w:pPr>
        <w:spacing w:line="276" w:lineRule="auto"/>
        <w:ind w:firstLine="640" w:firstLineChars="200"/>
        <w:rPr>
          <w:rFonts w:hint="eastAsia" w:ascii="仿宋_GB2312" w:eastAsia="仿宋_GB2312"/>
          <w:bCs/>
          <w:sz w:val="32"/>
          <w:szCs w:val="32"/>
        </w:rPr>
      </w:pPr>
      <w:r>
        <w:rPr>
          <w:rFonts w:hint="eastAsia" w:ascii="仿宋_GB2312" w:eastAsia="仿宋_GB2312"/>
          <w:bCs/>
          <w:sz w:val="32"/>
          <w:szCs w:val="32"/>
          <w:lang w:val="en-US" w:eastAsia="zh-CN"/>
        </w:rPr>
        <w:t>15.</w:t>
      </w:r>
      <w:r>
        <w:rPr>
          <w:rFonts w:hint="eastAsia" w:ascii="仿宋_GB2312" w:eastAsia="仿宋_GB2312"/>
          <w:bCs/>
          <w:sz w:val="32"/>
          <w:szCs w:val="32"/>
        </w:rPr>
        <w:t>承担公共卫生管理，对辖区内传染病防治、学校卫生、食品卫生、饮水卫生、职业卫生、以及村级预防保健工作进行指导、培训、考核与监督。</w:t>
      </w:r>
    </w:p>
    <w:p w14:paraId="5AF54B61">
      <w:pPr>
        <w:spacing w:line="276" w:lineRule="auto"/>
        <w:ind w:firstLine="627" w:firstLineChars="196"/>
        <w:rPr>
          <w:rFonts w:ascii="仿宋_GB2312" w:eastAsia="仿宋_GB2312"/>
          <w:bCs/>
          <w:sz w:val="32"/>
          <w:szCs w:val="32"/>
        </w:rPr>
      </w:pPr>
      <w:r>
        <w:rPr>
          <w:rFonts w:hint="eastAsia" w:ascii="仿宋_GB2312" w:eastAsia="仿宋_GB2312"/>
          <w:bCs/>
          <w:sz w:val="32"/>
          <w:szCs w:val="32"/>
          <w:lang w:val="en-US" w:eastAsia="zh-CN"/>
        </w:rPr>
        <w:t>16.</w:t>
      </w:r>
      <w:r>
        <w:rPr>
          <w:rFonts w:hint="eastAsia" w:ascii="仿宋_GB2312" w:eastAsia="仿宋_GB2312"/>
          <w:bCs/>
          <w:sz w:val="32"/>
          <w:szCs w:val="32"/>
        </w:rPr>
        <w:t>严格执行政策规定，履行定点医疗机构职责，做好有关的政策宣传、监督及服务工作。</w:t>
      </w:r>
    </w:p>
    <w:p w14:paraId="0A19C8FF">
      <w:pPr>
        <w:spacing w:line="520" w:lineRule="exact"/>
        <w:ind w:firstLine="627" w:firstLineChars="196"/>
        <w:rPr>
          <w:rFonts w:hint="eastAsia" w:ascii="仿宋_GB2312" w:eastAsia="仿宋_GB2312"/>
          <w:bCs/>
          <w:sz w:val="32"/>
          <w:szCs w:val="32"/>
        </w:rPr>
      </w:pPr>
      <w:r>
        <w:rPr>
          <w:rFonts w:hint="eastAsia" w:ascii="仿宋_GB2312" w:eastAsia="仿宋_GB2312"/>
          <w:bCs/>
          <w:sz w:val="32"/>
          <w:szCs w:val="32"/>
          <w:lang w:val="en-US" w:eastAsia="zh-CN"/>
        </w:rPr>
        <w:t>17.</w:t>
      </w:r>
      <w:r>
        <w:rPr>
          <w:rFonts w:hint="eastAsia" w:ascii="仿宋_GB2312" w:eastAsia="仿宋_GB2312"/>
          <w:bCs/>
          <w:sz w:val="32"/>
          <w:szCs w:val="32"/>
        </w:rPr>
        <w:t>深入推进乡村卫生服务一体化管理，对村卫生室实行以行政、人员、业务、药品、财产为基本内容的“五统一”规范管理，负责村卫生室的技术指导和乡村医生培训等工作。</w:t>
      </w:r>
    </w:p>
    <w:p w14:paraId="797A1AAE">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51447AF">
      <w:pPr>
        <w:spacing w:line="520" w:lineRule="exact"/>
        <w:ind w:firstLine="627" w:firstLineChars="196"/>
      </w:pPr>
      <w:r>
        <w:rPr>
          <w:rFonts w:hint="eastAsia" w:ascii="仿宋_GB2312" w:eastAsia="仿宋_GB2312"/>
          <w:bCs/>
          <w:sz w:val="32"/>
          <w:szCs w:val="32"/>
        </w:rPr>
        <w:t>从预算单位构成看，</w:t>
      </w:r>
      <w:r>
        <w:rPr>
          <w:rFonts w:hint="eastAsia" w:ascii="仿宋_GB2312" w:eastAsia="仿宋_GB2312"/>
          <w:bCs/>
          <w:sz w:val="32"/>
          <w:szCs w:val="32"/>
          <w:lang w:eastAsia="zh-CN"/>
        </w:rPr>
        <w:t>德清县新市镇中心卫生院</w:t>
      </w:r>
      <w:r>
        <w:rPr>
          <w:rFonts w:hint="eastAsia" w:ascii="仿宋_GB2312" w:eastAsia="仿宋_GB2312"/>
          <w:bCs/>
          <w:sz w:val="32"/>
          <w:szCs w:val="32"/>
        </w:rPr>
        <w:t>预算包括：</w:t>
      </w:r>
      <w:r>
        <w:rPr>
          <w:rFonts w:hint="eastAsia" w:ascii="仿宋_GB2312" w:eastAsia="仿宋_GB2312"/>
          <w:bCs/>
          <w:sz w:val="32"/>
          <w:szCs w:val="32"/>
          <w:lang w:eastAsia="zh-CN"/>
        </w:rPr>
        <w:t>德清县新市镇中心卫生院</w:t>
      </w:r>
      <w:r>
        <w:rPr>
          <w:rFonts w:hint="eastAsia" w:ascii="仿宋_GB2312" w:eastAsia="仿宋_GB2312"/>
          <w:bCs/>
          <w:sz w:val="32"/>
          <w:szCs w:val="32"/>
        </w:rPr>
        <w:t>单位预算。</w:t>
      </w:r>
    </w:p>
    <w:p w14:paraId="3A20704A">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德清县新市镇中心卫生院单位预算安排情况说明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（一）关于德清县新市镇中心卫生院</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14:paraId="15BCC116">
      <w:pPr>
        <w:spacing w:line="520" w:lineRule="exact"/>
        <w:rPr>
          <w:rFonts w:ascii="楷体_GB2312" w:hAnsi="楷体_GB2312" w:eastAsia="楷体_GB2312" w:cs="楷体_GB2312"/>
          <w:b/>
          <w:color w:val="000000"/>
          <w:sz w:val="32"/>
          <w:szCs w:val="32"/>
          <w:highlight w:val="none"/>
        </w:rPr>
      </w:pPr>
      <w:r>
        <w:rPr>
          <w:rFonts w:hint="eastAsia" w:ascii="仿宋_GB2312" w:eastAsia="仿宋_GB2312"/>
          <w:bCs/>
          <w:color w:val="000000"/>
          <w:sz w:val="32"/>
          <w:szCs w:val="32"/>
          <w:highlight w:val="none"/>
        </w:rPr>
        <w:t xml:space="preserve">    按照</w:t>
      </w:r>
      <w:r>
        <w:rPr>
          <w:rFonts w:hint="eastAsia" w:ascii="仿宋_GB2312" w:eastAsia="仿宋_GB2312"/>
          <w:bCs/>
          <w:sz w:val="32"/>
          <w:szCs w:val="32"/>
          <w:highlight w:val="none"/>
        </w:rPr>
        <w:t>综合预算的原则，德清县新市镇中心卫生院</w:t>
      </w:r>
      <w:r>
        <w:rPr>
          <w:rFonts w:hint="eastAsia" w:ascii="仿宋_GB2312" w:eastAsia="仿宋_GB2312"/>
          <w:color w:val="000000"/>
          <w:sz w:val="32"/>
          <w:szCs w:val="32"/>
          <w:highlight w:val="none"/>
        </w:rPr>
        <w:t>所有收入和支出均纳入部门预算管理。收入包括：一般公共预算拨款收入</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woUserID w:val="1"/>
        </w:rPr>
        <w:t>政府性基金预算收入</w:t>
      </w:r>
      <w:r>
        <w:rPr>
          <w:rFonts w:hint="eastAsia" w:ascii="仿宋_GB2312" w:eastAsia="仿宋_GB2312"/>
          <w:color w:val="000000"/>
          <w:sz w:val="32"/>
          <w:szCs w:val="32"/>
          <w:lang w:eastAsia="zh-CN"/>
          <w:woUserID w:val="1"/>
        </w:rPr>
        <w:t>、</w:t>
      </w:r>
      <w:r>
        <w:rPr>
          <w:rFonts w:hint="eastAsia" w:ascii="仿宋_GB2312" w:eastAsia="仿宋_GB2312"/>
          <w:color w:val="000000"/>
          <w:sz w:val="32"/>
          <w:szCs w:val="32"/>
          <w:highlight w:val="none"/>
          <w:lang w:val="en-US" w:eastAsia="zh-CN"/>
        </w:rPr>
        <w:t>上年结转结余</w:t>
      </w:r>
      <w:r>
        <w:rPr>
          <w:rFonts w:hint="eastAsia" w:ascii="仿宋_GB2312" w:eastAsia="仿宋_GB2312"/>
          <w:color w:val="000000"/>
          <w:sz w:val="32"/>
          <w:szCs w:val="32"/>
          <w:highlight w:val="none"/>
        </w:rPr>
        <w:t>；支出包括：卫生健康支出</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德清县新市镇中心卫生院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收支总预算1272.50万元。</w:t>
      </w:r>
    </w:p>
    <w:p w14:paraId="2450CAB8">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（二）关于德清县新市镇中心卫生院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收入预算情况说明</w:t>
      </w:r>
    </w:p>
    <w:p w14:paraId="517D3542">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德清县新市镇中心卫生院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收入预算1272.50万元，比上年执行数减少</w:t>
      </w:r>
      <w:r>
        <w:rPr>
          <w:rFonts w:hint="eastAsia" w:ascii="仿宋_GB2312" w:hAnsi="仿宋_GB2312" w:eastAsia="仿宋_GB2312" w:cs="仿宋_GB2312"/>
          <w:color w:val="000000"/>
          <w:sz w:val="32"/>
          <w:szCs w:val="32"/>
          <w:highlight w:val="none"/>
          <w:lang w:val="en-US" w:eastAsia="zh-CN"/>
        </w:rPr>
        <w:t>635.30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33.3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rPr>
        <w:t>主要原因是</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中医药事业经费、基本药物制度补助资金、家庭医生签约服务工作经费</w:t>
      </w:r>
      <w:r>
        <w:rPr>
          <w:rFonts w:hint="default" w:ascii="仿宋_GB2312" w:hAnsi="Times New Roman" w:eastAsia="仿宋_GB2312" w:cs="仿宋_GB2312"/>
          <w:color w:val="000000"/>
          <w:kern w:val="2"/>
          <w:sz w:val="32"/>
          <w:szCs w:val="32"/>
          <w:lang w:val="en-US" w:eastAsia="zh-CN" w:bidi="ar"/>
          <w:woUserID w:val="1"/>
        </w:rPr>
        <w:t>、基层医疗卫生机构提升经费、</w:t>
      </w:r>
      <w:r>
        <w:rPr>
          <w:rFonts w:hint="default" w:ascii="仿宋_GB2312" w:eastAsia="仿宋_GB2312" w:cs="仿宋_GB2312"/>
          <w:color w:val="000000"/>
          <w:kern w:val="2"/>
          <w:sz w:val="32"/>
          <w:szCs w:val="32"/>
          <w:lang w:eastAsia="zh-CN" w:bidi="ar"/>
          <w:woUserID w:val="1"/>
        </w:rPr>
        <w:t>免疫规划经费(计划免疫接种经费、免疫规划门诊规范化建设经费)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等</w:t>
      </w:r>
      <w:r>
        <w:rPr>
          <w:rFonts w:hint="eastAsia" w:ascii="仿宋_GB2312" w:hAnsi="仿宋_GB2312" w:eastAsia="仿宋_GB2312" w:cs="仿宋_GB2312"/>
          <w:color w:val="000000"/>
          <w:sz w:val="32"/>
          <w:szCs w:val="32"/>
          <w:highlight w:val="none"/>
        </w:rPr>
        <w:t>，一部分资金预留在局本级，将在年中进行指标调整后下达；贯彻落实过紧日子思想，非刚性、非重点项目预算压减。</w:t>
      </w:r>
    </w:p>
    <w:p w14:paraId="17109040">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其中：一般公共预算拨款收入</w:t>
      </w:r>
      <w:r>
        <w:rPr>
          <w:rFonts w:ascii="仿宋_GB2312" w:eastAsia="仿宋_GB2312"/>
          <w:color w:val="000000"/>
          <w:sz w:val="32"/>
          <w:szCs w:val="32"/>
          <w:highlight w:val="none"/>
        </w:rPr>
        <w:t>1258.50</w:t>
      </w:r>
      <w:r>
        <w:rPr>
          <w:rFonts w:hint="eastAsia" w:ascii="仿宋_GB2312" w:eastAsia="仿宋_GB2312"/>
          <w:color w:val="000000"/>
          <w:sz w:val="32"/>
          <w:szCs w:val="32"/>
          <w:highlight w:val="none"/>
        </w:rPr>
        <w:t>万元（上年结转</w:t>
      </w:r>
      <w:r>
        <w:rPr>
          <w:rFonts w:hint="eastAsia" w:ascii="仿宋_GB2312" w:eastAsia="仿宋_GB2312"/>
          <w:color w:val="000000"/>
          <w:sz w:val="32"/>
          <w:szCs w:val="32"/>
          <w:highlight w:val="none"/>
          <w:lang w:val="en-US" w:eastAsia="zh-CN"/>
        </w:rPr>
        <w:t>0.00万元</w:t>
      </w:r>
      <w:r>
        <w:rPr>
          <w:rFonts w:hint="eastAsia" w:ascii="仿宋_GB2312" w:eastAsia="仿宋_GB2312"/>
          <w:color w:val="000000"/>
          <w:sz w:val="32"/>
          <w:szCs w:val="32"/>
          <w:highlight w:val="none"/>
        </w:rPr>
        <w:t>），占98.9%；政府性基金收入</w:t>
      </w:r>
      <w:r>
        <w:rPr>
          <w:rFonts w:ascii="仿宋_GB2312" w:eastAsia="仿宋_GB2312"/>
          <w:color w:val="000000"/>
          <w:sz w:val="32"/>
          <w:szCs w:val="32"/>
          <w:highlight w:val="none"/>
        </w:rPr>
        <w:t>14.00</w:t>
      </w:r>
      <w:r>
        <w:rPr>
          <w:rFonts w:hint="eastAsia" w:ascii="仿宋_GB2312" w:eastAsia="仿宋_GB2312"/>
          <w:color w:val="000000"/>
          <w:sz w:val="32"/>
          <w:szCs w:val="32"/>
          <w:highlight w:val="none"/>
        </w:rPr>
        <w:t>万元（上年结转14.00万元），占1.1%。</w:t>
      </w:r>
      <w:r>
        <w:rPr>
          <w:rFonts w:hint="eastAsia" w:ascii="仿宋_GB2312" w:eastAsia="仿宋_GB2312"/>
          <w:color w:val="000000"/>
          <w:sz w:val="32"/>
          <w:szCs w:val="32"/>
          <w:highlight w:val="none"/>
        </w:rPr>
        <w:br w:type="textWrapping"/>
      </w:r>
      <w:r>
        <w:rPr>
          <w:rFonts w:hint="eastAsia" w:ascii="楷体_GB2312" w:hAnsi="楷体_GB2312" w:eastAsia="楷体_GB2312" w:cs="楷体_GB2312"/>
          <w:bCs/>
          <w:color w:val="000000"/>
          <w:sz w:val="32"/>
          <w:szCs w:val="32"/>
          <w:highlight w:val="none"/>
        </w:rPr>
        <w:t>　　（三）关于德清县新市镇中心卫生院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支出预算情况说明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德清县新市镇中心卫生院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支出预算1272.50万元，比上年执行数减少</w:t>
      </w:r>
      <w:r>
        <w:rPr>
          <w:rFonts w:hint="eastAsia" w:ascii="仿宋_GB2312" w:hAnsi="仿宋_GB2312" w:eastAsia="仿宋_GB2312" w:cs="仿宋_GB2312"/>
          <w:color w:val="000000"/>
          <w:sz w:val="32"/>
          <w:szCs w:val="32"/>
          <w:highlight w:val="none"/>
          <w:lang w:val="en-US" w:eastAsia="zh-CN"/>
        </w:rPr>
        <w:t>635.30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33.3</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woUserID w:val="1"/>
        </w:rPr>
        <w:t>主要原因是</w:t>
      </w:r>
      <w:r>
        <w:rPr>
          <w:rFonts w:hint="eastAsia" w:ascii="仿宋_GB2312" w:hAnsi="仿宋_GB2312" w:eastAsia="仿宋_GB2312" w:cs="仿宋_GB2312"/>
          <w:color w:val="000000"/>
          <w:sz w:val="32"/>
          <w:szCs w:val="32"/>
          <w:highlight w:val="none"/>
          <w:woUserID w:val="1"/>
        </w:rPr>
        <w:t>202</w:t>
      </w:r>
      <w:r>
        <w:rPr>
          <w:rFonts w:hint="eastAsia" w:ascii="仿宋_GB2312" w:hAnsi="仿宋_GB2312" w:eastAsia="仿宋_GB2312" w:cs="仿宋_GB2312"/>
          <w:color w:val="000000"/>
          <w:sz w:val="32"/>
          <w:szCs w:val="32"/>
          <w:highlight w:val="none"/>
          <w:lang w:val="en-US" w:eastAsia="zh-CN"/>
          <w:woUserID w:val="1"/>
        </w:rPr>
        <w:t>5</w:t>
      </w:r>
      <w:r>
        <w:rPr>
          <w:rFonts w:hint="eastAsia" w:ascii="仿宋_GB2312" w:hAnsi="仿宋_GB2312" w:eastAsia="仿宋_GB2312" w:cs="仿宋_GB2312"/>
          <w:color w:val="000000"/>
          <w:sz w:val="32"/>
          <w:szCs w:val="32"/>
          <w:highlight w:val="none"/>
          <w:woUserID w:val="1"/>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中医药事业经费、家庭医生签约服务</w:t>
      </w:r>
      <w:r>
        <w:rPr>
          <w:rFonts w:hint="default" w:ascii="仿宋_GB2312" w:hAnsi="Times New Roman" w:eastAsia="仿宋_GB2312" w:cs="仿宋_GB2312"/>
          <w:color w:val="000000"/>
          <w:kern w:val="2"/>
          <w:sz w:val="32"/>
          <w:szCs w:val="32"/>
          <w:lang w:val="en-US" w:eastAsia="zh-CN" w:bidi="ar"/>
          <w:woUserID w:val="1"/>
        </w:rPr>
        <w:t>、基层医疗卫生机构提升经费、</w:t>
      </w:r>
      <w:r>
        <w:rPr>
          <w:rFonts w:hint="default" w:ascii="仿宋_GB2312" w:eastAsia="仿宋_GB2312" w:cs="仿宋_GB2312"/>
          <w:color w:val="000000"/>
          <w:kern w:val="2"/>
          <w:sz w:val="32"/>
          <w:szCs w:val="32"/>
          <w:lang w:eastAsia="zh-CN" w:bidi="ar"/>
          <w:woUserID w:val="1"/>
        </w:rPr>
        <w:t>免疫规划经费(计划免疫接种经费、免疫规划门诊规范化建设经费)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等</w:t>
      </w:r>
      <w:r>
        <w:rPr>
          <w:rFonts w:hint="eastAsia" w:ascii="仿宋_GB2312" w:hAnsi="仿宋_GB2312" w:eastAsia="仿宋_GB2312" w:cs="仿宋_GB2312"/>
          <w:color w:val="000000"/>
          <w:sz w:val="32"/>
          <w:szCs w:val="32"/>
          <w:highlight w:val="none"/>
          <w:woUserID w:val="1"/>
        </w:rPr>
        <w:t>，一部分资金预留在局本级，将在年中进行指标调整后下达；贯彻落实过紧日子思想，非刚性、非重点项目预算压减。</w:t>
      </w:r>
    </w:p>
    <w:p w14:paraId="11DC40A6">
      <w:pPr>
        <w:spacing w:line="520" w:lineRule="exact"/>
        <w:ind w:firstLine="630"/>
        <w:rPr>
          <w:rFonts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1.按支出功能分类，包括卫生健康支出1272.50万元。</w:t>
      </w:r>
    </w:p>
    <w:p w14:paraId="4BB1C13B">
      <w:pPr>
        <w:spacing w:line="520" w:lineRule="exact"/>
        <w:ind w:firstLine="642"/>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2.按支出用途分类，包括人员支出66.5</w:t>
      </w:r>
      <w:r>
        <w:rPr>
          <w:rFonts w:hint="default" w:ascii="仿宋_GB2312" w:eastAsia="仿宋_GB2312"/>
          <w:color w:val="000000"/>
          <w:sz w:val="32"/>
          <w:szCs w:val="32"/>
          <w:highlight w:val="none"/>
          <w:woUserID w:val="1"/>
        </w:rPr>
        <w:t>2</w:t>
      </w:r>
      <w:r>
        <w:rPr>
          <w:rFonts w:hint="eastAsia" w:ascii="仿宋_GB2312" w:eastAsia="仿宋_GB2312"/>
          <w:color w:val="000000"/>
          <w:sz w:val="32"/>
          <w:szCs w:val="32"/>
          <w:highlight w:val="none"/>
        </w:rPr>
        <w:t>万元，占5.2%；项目支出1205.98万元，占94.8%</w:t>
      </w:r>
      <w:r>
        <w:rPr>
          <w:rFonts w:hint="eastAsia" w:ascii="仿宋_GB2312" w:eastAsia="仿宋_GB2312"/>
          <w:color w:val="000000"/>
          <w:sz w:val="32"/>
          <w:szCs w:val="32"/>
          <w:highlight w:val="none"/>
          <w:lang w:eastAsia="zh-CN"/>
        </w:rPr>
        <w:t>。</w:t>
      </w:r>
    </w:p>
    <w:p w14:paraId="7D8FC88A">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年终结转结余0.00万元。</w:t>
      </w:r>
    </w:p>
    <w:p w14:paraId="55EE293D">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（四）关于德清县新市镇中心卫生院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财政拨款收支预算情况的总体说明</w:t>
      </w:r>
    </w:p>
    <w:p w14:paraId="690D33D8">
      <w:pPr>
        <w:spacing w:line="52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德清县新市镇中心卫生院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财政拨款收支总预算1272.50万元。收入包括：一般公共预算1258.50万元、政府性基金14.00万元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支出包括：卫生健康支出1272.50万元。</w:t>
      </w:r>
    </w:p>
    <w:p w14:paraId="39956B85">
      <w:pPr>
        <w:numPr>
          <w:ilvl w:val="0"/>
          <w:numId w:val="1"/>
        </w:numPr>
        <w:spacing w:line="520" w:lineRule="exact"/>
        <w:ind w:firstLine="640"/>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一般公共预算拨款情况说明</w:t>
      </w:r>
    </w:p>
    <w:p w14:paraId="2FED5659">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1.一般公共预算拨款规模变化情况。</w:t>
      </w:r>
    </w:p>
    <w:p w14:paraId="0945F721">
      <w:pPr>
        <w:keepNext w:val="0"/>
        <w:keepLines w:val="0"/>
        <w:widowControl w:val="0"/>
        <w:suppressLineNumbers w:val="0"/>
        <w:spacing w:before="0" w:beforeAutospacing="0" w:after="0" w:afterAutospacing="0" w:line="520" w:lineRule="exact"/>
        <w:ind w:left="0" w:right="0" w:firstLine="642"/>
        <w:jc w:val="both"/>
        <w:rPr>
          <w:rFonts w:ascii="仿宋_GB2312" w:eastAsia="仿宋_GB2312"/>
          <w:color w:val="000000"/>
          <w:sz w:val="32"/>
          <w:szCs w:val="32"/>
          <w:highlight w:val="none"/>
          <w:woUserID w:val="1"/>
        </w:rPr>
      </w:pPr>
      <w:r>
        <w:rPr>
          <w:rFonts w:hint="eastAsia" w:ascii="仿宋_GB2312" w:hAnsi="仿宋_GB2312" w:eastAsia="仿宋_GB2312" w:cs="仿宋_GB2312"/>
          <w:color w:val="000000"/>
          <w:sz w:val="32"/>
          <w:szCs w:val="32"/>
          <w:highlight w:val="none"/>
        </w:rPr>
        <w:t>德清县新市镇中心卫生院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1258.50</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6</w:t>
      </w:r>
      <w:r>
        <w:rPr>
          <w:rFonts w:hint="default" w:ascii="仿宋_GB2312" w:hAnsi="仿宋_GB2312" w:eastAsia="仿宋_GB2312" w:cs="仿宋_GB2312"/>
          <w:color w:val="000000"/>
          <w:sz w:val="32"/>
          <w:szCs w:val="32"/>
          <w:highlight w:val="none"/>
          <w:lang w:eastAsia="zh-CN"/>
          <w:woUserID w:val="1"/>
        </w:rPr>
        <w:t>49.30</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default" w:ascii="仿宋_GB2312" w:hAnsi="仿宋_GB2312" w:eastAsia="仿宋_GB2312" w:cs="仿宋_GB2312"/>
          <w:color w:val="000000"/>
          <w:sz w:val="32"/>
          <w:highlight w:val="none"/>
          <w:woUserID w:val="1"/>
        </w:rPr>
        <w:t>34.0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val="en-US" w:eastAsia="zh-CN"/>
          <w:woUserID w:val="1"/>
        </w:rPr>
        <w:t>主要原因是</w:t>
      </w:r>
      <w:r>
        <w:rPr>
          <w:rFonts w:hint="eastAsia" w:ascii="仿宋_GB2312" w:hAnsi="仿宋_GB2312" w:eastAsia="仿宋_GB2312" w:cs="仿宋_GB2312"/>
          <w:color w:val="000000"/>
          <w:sz w:val="32"/>
          <w:szCs w:val="32"/>
          <w:highlight w:val="none"/>
          <w:woUserID w:val="1"/>
        </w:rPr>
        <w:t>202</w:t>
      </w:r>
      <w:r>
        <w:rPr>
          <w:rFonts w:hint="eastAsia" w:ascii="仿宋_GB2312" w:hAnsi="仿宋_GB2312" w:eastAsia="仿宋_GB2312" w:cs="仿宋_GB2312"/>
          <w:color w:val="000000"/>
          <w:sz w:val="32"/>
          <w:szCs w:val="32"/>
          <w:highlight w:val="none"/>
          <w:lang w:val="en-US" w:eastAsia="zh-CN"/>
          <w:woUserID w:val="1"/>
        </w:rPr>
        <w:t>5</w:t>
      </w:r>
      <w:r>
        <w:rPr>
          <w:rFonts w:hint="eastAsia" w:ascii="仿宋_GB2312" w:hAnsi="仿宋_GB2312" w:eastAsia="仿宋_GB2312" w:cs="仿宋_GB2312"/>
          <w:color w:val="000000"/>
          <w:sz w:val="32"/>
          <w:szCs w:val="32"/>
          <w:highlight w:val="none"/>
          <w:woUserID w:val="1"/>
        </w:rPr>
        <w:t>年年初预算资金未全部下达</w:t>
      </w:r>
      <w:r>
        <w:rPr>
          <w:rFonts w:hint="default" w:ascii="仿宋_GB2312" w:hAnsi="仿宋_GB2312" w:eastAsia="仿宋_GB2312" w:cs="仿宋_GB2312"/>
          <w:color w:val="000000"/>
          <w:sz w:val="32"/>
          <w:szCs w:val="32"/>
          <w:highlight w:val="none"/>
          <w:woUserID w:val="1"/>
        </w:rPr>
        <w:t>，</w:t>
      </w:r>
      <w:r>
        <w:rPr>
          <w:rFonts w:hint="default" w:ascii="仿宋_GB2312" w:hAnsi="Times New Roman" w:eastAsia="仿宋_GB2312" w:cs="仿宋_GB2312"/>
          <w:color w:val="000000"/>
          <w:kern w:val="2"/>
          <w:sz w:val="32"/>
          <w:szCs w:val="32"/>
          <w:lang w:val="en-US" w:eastAsia="zh-CN" w:bidi="ar"/>
          <w:woUserID w:val="1"/>
        </w:rPr>
        <w:t>具体项目包括</w:t>
      </w:r>
      <w:r>
        <w:rPr>
          <w:rFonts w:hint="default" w:ascii="仿宋_GB2312" w:eastAsia="仿宋_GB2312" w:cs="仿宋_GB2312"/>
          <w:color w:val="000000"/>
          <w:kern w:val="2"/>
          <w:sz w:val="32"/>
          <w:szCs w:val="32"/>
          <w:lang w:eastAsia="zh-CN" w:bidi="ar"/>
          <w:woUserID w:val="1"/>
        </w:rPr>
        <w:t>中医药事业经费、家庭医生签约服务</w:t>
      </w:r>
      <w:r>
        <w:rPr>
          <w:rFonts w:hint="default" w:ascii="仿宋_GB2312" w:hAnsi="Times New Roman" w:eastAsia="仿宋_GB2312" w:cs="仿宋_GB2312"/>
          <w:color w:val="000000"/>
          <w:kern w:val="2"/>
          <w:sz w:val="32"/>
          <w:szCs w:val="32"/>
          <w:lang w:val="en-US" w:eastAsia="zh-CN" w:bidi="ar"/>
          <w:woUserID w:val="1"/>
        </w:rPr>
        <w:t>、基层医疗卫生机构提升经费、</w:t>
      </w:r>
      <w:r>
        <w:rPr>
          <w:rFonts w:hint="default" w:ascii="仿宋_GB2312" w:eastAsia="仿宋_GB2312" w:cs="仿宋_GB2312"/>
          <w:color w:val="000000"/>
          <w:kern w:val="2"/>
          <w:sz w:val="32"/>
          <w:szCs w:val="32"/>
          <w:lang w:eastAsia="zh-CN" w:bidi="ar"/>
          <w:woUserID w:val="1"/>
        </w:rPr>
        <w:t>免疫规划经费(计划免疫接种经费、免疫规划门诊规范化建设经费)</w:t>
      </w:r>
      <w:r>
        <w:rPr>
          <w:rFonts w:hint="default" w:ascii="仿宋_GB2312" w:hAnsi="Times New Roman" w:eastAsia="仿宋_GB2312" w:cs="仿宋_GB2312"/>
          <w:color w:val="000000"/>
          <w:kern w:val="2"/>
          <w:sz w:val="32"/>
          <w:szCs w:val="32"/>
          <w:lang w:val="en-US" w:eastAsia="zh-CN" w:bidi="ar"/>
          <w:woUserID w:val="1"/>
        </w:rPr>
        <w:t>、艾滋病防治(综合防治示范区)、结核病防治经费</w:t>
      </w:r>
      <w:r>
        <w:rPr>
          <w:rFonts w:hint="default" w:ascii="仿宋_GB2312" w:eastAsia="仿宋_GB2312" w:cs="仿宋_GB2312"/>
          <w:color w:val="000000"/>
          <w:kern w:val="2"/>
          <w:sz w:val="32"/>
          <w:szCs w:val="32"/>
          <w:lang w:eastAsia="zh-CN" w:bidi="ar"/>
          <w:woUserID w:val="1"/>
        </w:rPr>
        <w:t>等</w:t>
      </w:r>
      <w:r>
        <w:rPr>
          <w:rFonts w:hint="eastAsia" w:ascii="仿宋_GB2312" w:hAnsi="仿宋_GB2312" w:eastAsia="仿宋_GB2312" w:cs="仿宋_GB2312"/>
          <w:color w:val="000000"/>
          <w:sz w:val="32"/>
          <w:szCs w:val="32"/>
          <w:highlight w:val="none"/>
          <w:woUserID w:val="1"/>
        </w:rPr>
        <w:t>，一部分资金预留在局本级，将在年中进行指标调整后下达；贯彻落实过紧日子思想，非刚性、非重点项目预算压减。</w:t>
      </w:r>
    </w:p>
    <w:p w14:paraId="4EA1B457">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2.一般公共预算拨款结构情况。</w:t>
      </w:r>
    </w:p>
    <w:p w14:paraId="14403806">
      <w:pPr>
        <w:spacing w:line="520" w:lineRule="exact"/>
        <w:ind w:firstLine="640" w:firstLineChars="200"/>
        <w:rPr>
          <w:rFonts w:hint="eastAsia" w:ascii="仿宋_GB2312" w:hAnsi="仿宋_GB2312" w:eastAsia="仿宋_GB2312" w:cs="仿宋_GB2312"/>
          <w:b/>
          <w:color w:val="000000"/>
          <w:sz w:val="32"/>
          <w:szCs w:val="32"/>
          <w:highlight w:val="none"/>
          <w:lang w:eastAsia="zh-CN"/>
        </w:rPr>
      </w:pPr>
      <w:r>
        <w:rPr>
          <w:rFonts w:hint="eastAsia" w:ascii="仿宋_GB2312" w:hAnsi="仿宋_GB2312" w:eastAsia="仿宋_GB2312" w:cs="仿宋_GB2312"/>
          <w:color w:val="000000"/>
          <w:sz w:val="32"/>
          <w:szCs w:val="32"/>
          <w:highlight w:val="none"/>
        </w:rPr>
        <w:t>卫生健康支出1258.50万元，占100.0%</w:t>
      </w:r>
      <w:r>
        <w:rPr>
          <w:rFonts w:hint="eastAsia" w:ascii="仿宋_GB2312" w:hAnsi="仿宋_GB2312" w:eastAsia="仿宋_GB2312" w:cs="仿宋_GB2312"/>
          <w:color w:val="000000"/>
          <w:sz w:val="32"/>
          <w:szCs w:val="32"/>
          <w:highlight w:val="none"/>
          <w:lang w:eastAsia="zh-CN"/>
        </w:rPr>
        <w:t>。</w:t>
      </w:r>
    </w:p>
    <w:p w14:paraId="5D402A5D">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3.一般公共预算拨款具体使用情况。</w:t>
      </w:r>
    </w:p>
    <w:p w14:paraId="5C59C4F4">
      <w:pPr>
        <w:spacing w:line="52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rPr>
        <w:t>（1）</w:t>
      </w:r>
      <w:r>
        <w:rPr>
          <w:rFonts w:hint="default" w:ascii="仿宋_GB2312" w:hAnsi="仿宋_GB2312" w:eastAsia="仿宋_GB2312" w:cs="仿宋_GB2312"/>
          <w:color w:val="000000"/>
          <w:sz w:val="32"/>
          <w:szCs w:val="32"/>
          <w:highlight w:val="none"/>
        </w:rPr>
        <w:t>卫生健康支出</w:t>
      </w:r>
      <w:r>
        <w:rPr>
          <w:rFonts w:hint="eastAsia" w:ascii="仿宋_GB2312" w:hAnsi="仿宋_GB2312" w:eastAsia="仿宋_GB2312" w:cs="仿宋_GB2312"/>
          <w:color w:val="000000"/>
          <w:sz w:val="32"/>
          <w:szCs w:val="32"/>
          <w:highlight w:val="none"/>
        </w:rPr>
        <w:t>（类）</w:t>
      </w:r>
      <w:r>
        <w:rPr>
          <w:rFonts w:hint="default" w:ascii="仿宋_GB2312" w:hAnsi="仿宋_GB2312" w:eastAsia="仿宋_GB2312" w:cs="仿宋_GB2312"/>
          <w:color w:val="000000"/>
          <w:sz w:val="32"/>
          <w:szCs w:val="32"/>
          <w:highlight w:val="none"/>
        </w:rPr>
        <w:t>基层医疗卫生机构</w:t>
      </w:r>
      <w:r>
        <w:rPr>
          <w:rFonts w:hint="eastAsia" w:ascii="仿宋_GB2312" w:hAnsi="仿宋_GB2312" w:eastAsia="仿宋_GB2312" w:cs="仿宋_GB2312"/>
          <w:color w:val="000000"/>
          <w:sz w:val="32"/>
          <w:szCs w:val="32"/>
          <w:highlight w:val="none"/>
        </w:rPr>
        <w:t>（款）</w:t>
      </w:r>
      <w:r>
        <w:rPr>
          <w:rFonts w:hint="default" w:ascii="仿宋_GB2312" w:hAnsi="仿宋_GB2312" w:eastAsia="仿宋_GB2312" w:cs="仿宋_GB2312"/>
          <w:color w:val="000000"/>
          <w:sz w:val="32"/>
          <w:szCs w:val="32"/>
          <w:highlight w:val="none"/>
        </w:rPr>
        <w:t>乡镇卫生院</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571.4</w:t>
      </w:r>
      <w:r>
        <w:rPr>
          <w:rFonts w:hint="default" w:ascii="仿宋_GB2312" w:hAnsi="仿宋_GB2312" w:eastAsia="仿宋_GB2312" w:cs="仿宋_GB2312"/>
          <w:color w:val="000000"/>
          <w:sz w:val="32"/>
          <w:szCs w:val="32"/>
          <w:highlight w:val="none"/>
          <w:lang w:eastAsia="zh-CN"/>
          <w:woUserID w:val="1"/>
        </w:rPr>
        <w:t>4</w:t>
      </w:r>
      <w:r>
        <w:rPr>
          <w:rFonts w:hint="eastAsia" w:ascii="仿宋_GB2312" w:hAnsi="仿宋_GB2312" w:eastAsia="仿宋_GB2312" w:cs="仿宋_GB2312"/>
          <w:color w:val="000000"/>
          <w:sz w:val="32"/>
          <w:szCs w:val="32"/>
          <w:highlight w:val="none"/>
        </w:rPr>
        <w:t>万元，主要用于</w:t>
      </w:r>
      <w:r>
        <w:rPr>
          <w:rFonts w:hint="eastAsia" w:ascii="仿宋_GB2312" w:eastAsia="仿宋_GB2312"/>
          <w:color w:val="auto"/>
          <w:kern w:val="0"/>
          <w:sz w:val="32"/>
          <w:szCs w:val="32"/>
          <w:highlight w:val="none"/>
        </w:rPr>
        <w:t>医共体运行经费</w:t>
      </w:r>
      <w:r>
        <w:rPr>
          <w:rFonts w:hint="eastAsia" w:ascii="仿宋_GB2312" w:eastAsia="仿宋_GB2312"/>
          <w:color w:val="auto"/>
          <w:kern w:val="0"/>
          <w:sz w:val="32"/>
          <w:szCs w:val="32"/>
          <w:highlight w:val="none"/>
          <w:lang w:eastAsia="zh-CN"/>
        </w:rPr>
        <w:t>、</w:t>
      </w:r>
      <w:r>
        <w:rPr>
          <w:rFonts w:hint="eastAsia" w:ascii="仿宋_GB2312" w:eastAsia="仿宋_GB2312"/>
          <w:color w:val="auto"/>
          <w:kern w:val="0"/>
          <w:sz w:val="32"/>
          <w:szCs w:val="32"/>
          <w:highlight w:val="none"/>
        </w:rPr>
        <w:t>为民办实事项目经费（免费用药及免费疫苗）</w:t>
      </w:r>
      <w:r>
        <w:rPr>
          <w:rFonts w:hint="default" w:ascii="仿宋_GB2312" w:eastAsia="仿宋_GB2312"/>
          <w:color w:val="auto"/>
          <w:kern w:val="0"/>
          <w:sz w:val="32"/>
          <w:szCs w:val="32"/>
          <w:highlight w:val="none"/>
        </w:rPr>
        <w:t>、</w:t>
      </w:r>
      <w:r>
        <w:rPr>
          <w:rFonts w:hint="eastAsia" w:ascii="仿宋_GB2312" w:eastAsia="仿宋_GB2312"/>
          <w:color w:val="auto"/>
          <w:kern w:val="0"/>
          <w:sz w:val="32"/>
          <w:szCs w:val="32"/>
          <w:highlight w:val="none"/>
        </w:rPr>
        <w:t>卫生健康证免费办理经费</w:t>
      </w:r>
      <w:r>
        <w:rPr>
          <w:rFonts w:hint="eastAsia" w:ascii="仿宋_GB2312" w:eastAsia="仿宋_GB2312"/>
          <w:color w:val="auto"/>
          <w:kern w:val="0"/>
          <w:sz w:val="32"/>
          <w:szCs w:val="32"/>
          <w:highlight w:val="none"/>
          <w:lang w:eastAsia="zh-CN"/>
        </w:rPr>
        <w:t>。</w:t>
      </w:r>
    </w:p>
    <w:p w14:paraId="12FA9078">
      <w:pPr>
        <w:spacing w:line="520" w:lineRule="exact"/>
        <w:ind w:firstLine="640"/>
        <w:rPr>
          <w:rFonts w:hint="eastAsia"/>
          <w:color w:val="auto"/>
          <w:highlight w:val="none"/>
        </w:rPr>
      </w:pPr>
      <w:r>
        <w:rPr>
          <w:rFonts w:hint="eastAsia" w:ascii="仿宋_GB2312" w:hAnsi="仿宋_GB2312" w:eastAsia="仿宋_GB2312" w:cs="仿宋_GB2312"/>
          <w:color w:val="000000"/>
          <w:sz w:val="32"/>
          <w:szCs w:val="32"/>
          <w:highlight w:val="none"/>
        </w:rPr>
        <w:t>（2）</w:t>
      </w:r>
      <w:r>
        <w:rPr>
          <w:rFonts w:hint="default" w:ascii="仿宋_GB2312" w:hAnsi="仿宋_GB2312" w:eastAsia="仿宋_GB2312" w:cs="仿宋_GB2312"/>
          <w:color w:val="000000"/>
          <w:sz w:val="32"/>
          <w:szCs w:val="32"/>
          <w:highlight w:val="none"/>
        </w:rPr>
        <w:t>卫生健康支出</w:t>
      </w:r>
      <w:r>
        <w:rPr>
          <w:rFonts w:hint="eastAsia" w:ascii="仿宋_GB2312" w:hAnsi="仿宋_GB2312" w:eastAsia="仿宋_GB2312" w:cs="仿宋_GB2312"/>
          <w:color w:val="000000"/>
          <w:sz w:val="32"/>
          <w:szCs w:val="32"/>
          <w:highlight w:val="none"/>
        </w:rPr>
        <w:t>（类）</w:t>
      </w:r>
      <w:r>
        <w:rPr>
          <w:rFonts w:hint="default" w:ascii="仿宋_GB2312" w:hAnsi="仿宋_GB2312" w:eastAsia="仿宋_GB2312" w:cs="仿宋_GB2312"/>
          <w:color w:val="000000"/>
          <w:sz w:val="32"/>
          <w:szCs w:val="32"/>
          <w:highlight w:val="none"/>
        </w:rPr>
        <w:t>公共卫生</w:t>
      </w:r>
      <w:r>
        <w:rPr>
          <w:rFonts w:hint="eastAsia" w:ascii="仿宋_GB2312" w:hAnsi="仿宋_GB2312" w:eastAsia="仿宋_GB2312" w:cs="仿宋_GB2312"/>
          <w:color w:val="000000"/>
          <w:sz w:val="32"/>
          <w:szCs w:val="32"/>
          <w:highlight w:val="none"/>
        </w:rPr>
        <w:t>（款）</w:t>
      </w:r>
      <w:r>
        <w:rPr>
          <w:rFonts w:hint="default" w:ascii="仿宋_GB2312" w:hAnsi="仿宋_GB2312" w:eastAsia="仿宋_GB2312" w:cs="仿宋_GB2312"/>
          <w:color w:val="000000"/>
          <w:sz w:val="32"/>
          <w:szCs w:val="32"/>
          <w:highlight w:val="none"/>
        </w:rPr>
        <w:t>基本公共卫生服务</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594.38</w:t>
      </w:r>
      <w:r>
        <w:rPr>
          <w:rFonts w:hint="eastAsia" w:ascii="仿宋_GB2312" w:hAnsi="仿宋_GB2312" w:eastAsia="仿宋_GB2312" w:cs="仿宋_GB2312"/>
          <w:color w:val="000000"/>
          <w:sz w:val="32"/>
          <w:szCs w:val="32"/>
          <w:highlight w:val="none"/>
        </w:rPr>
        <w:t>万元，主要用于</w:t>
      </w:r>
      <w:r>
        <w:rPr>
          <w:rFonts w:hint="default" w:ascii="仿宋_GB2312" w:hAnsi="仿宋_GB2312" w:eastAsia="仿宋_GB2312" w:cs="仿宋_GB2312"/>
          <w:color w:val="000000"/>
          <w:sz w:val="32"/>
          <w:szCs w:val="32"/>
          <w:highlight w:val="none"/>
        </w:rPr>
        <w:t>基本公共卫生服务经费</w:t>
      </w:r>
      <w:r>
        <w:rPr>
          <w:rFonts w:hint="eastAsia" w:ascii="仿宋_GB2312" w:hAnsi="仿宋_GB2312" w:eastAsia="仿宋_GB2312" w:cs="仿宋_GB2312"/>
          <w:color w:val="000000"/>
          <w:sz w:val="32"/>
          <w:szCs w:val="32"/>
          <w:highlight w:val="none"/>
          <w:lang w:eastAsia="zh-CN"/>
        </w:rPr>
        <w:t>、其他基本公卫(老年健康服务专项行动)、其他基本公卫(老年健康与医养结合服务项目)、其他基本公卫（失能老年人健康服务）、其他基本公卫(适龄儿童窝沟封闭)。</w:t>
      </w:r>
    </w:p>
    <w:p w14:paraId="1BFA75FD">
      <w:pPr>
        <w:spacing w:line="520" w:lineRule="exact"/>
        <w:ind w:firstLine="64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woUserID w:val="1"/>
        </w:rPr>
        <w:t>3</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卫生健康支出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val="en-US" w:eastAsia="zh-CN"/>
        </w:rPr>
        <w:t>行政事业单位医疗</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val="en-US" w:eastAsia="zh-CN"/>
        </w:rPr>
        <w:t>公务员医疗补助</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26.30</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sz w:val="32"/>
          <w:szCs w:val="32"/>
        </w:rPr>
        <w:t>公务员医疗缴费补助</w:t>
      </w:r>
      <w:r>
        <w:rPr>
          <w:rFonts w:hint="eastAsia" w:ascii="仿宋_GB2312" w:hAnsi="仿宋_GB2312" w:eastAsia="仿宋_GB2312" w:cs="仿宋_GB2312"/>
          <w:color w:val="000000"/>
          <w:sz w:val="32"/>
          <w:szCs w:val="32"/>
          <w:highlight w:val="none"/>
          <w:lang w:val="en-US" w:eastAsia="zh-CN"/>
        </w:rPr>
        <w:t>。</w:t>
      </w:r>
    </w:p>
    <w:p w14:paraId="0463C2B8">
      <w:pPr>
        <w:pStyle w:val="2"/>
        <w:rPr>
          <w:rFonts w:hint="eastAsia"/>
          <w:highlight w:val="none"/>
        </w:rPr>
      </w:pPr>
    </w:p>
    <w:p w14:paraId="557D01DE">
      <w:pPr>
        <w:spacing w:line="520" w:lineRule="exact"/>
        <w:ind w:firstLine="64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woUserID w:val="1"/>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卫生健康支出</w:t>
      </w:r>
      <w:r>
        <w:rPr>
          <w:rFonts w:hint="eastAsia" w:ascii="仿宋_GB2312" w:hAnsi="仿宋_GB2312" w:eastAsia="仿宋_GB2312" w:cs="仿宋_GB2312"/>
          <w:color w:val="000000"/>
          <w:sz w:val="32"/>
          <w:szCs w:val="32"/>
          <w:highlight w:val="none"/>
        </w:rPr>
        <w:t>（类）</w:t>
      </w:r>
      <w:r>
        <w:rPr>
          <w:rFonts w:hint="default" w:ascii="仿宋_GB2312" w:hAnsi="仿宋_GB2312" w:eastAsia="仿宋_GB2312" w:cs="仿宋_GB2312"/>
          <w:color w:val="000000"/>
          <w:sz w:val="32"/>
          <w:szCs w:val="32"/>
          <w:highlight w:val="none"/>
        </w:rPr>
        <w:t>其他卫生健康支出</w:t>
      </w:r>
      <w:r>
        <w:rPr>
          <w:rFonts w:hint="eastAsia" w:ascii="仿宋_GB2312" w:hAnsi="仿宋_GB2312" w:eastAsia="仿宋_GB2312" w:cs="仿宋_GB2312"/>
          <w:color w:val="000000"/>
          <w:sz w:val="32"/>
          <w:szCs w:val="32"/>
          <w:highlight w:val="none"/>
        </w:rPr>
        <w:t>（款）</w:t>
      </w:r>
      <w:r>
        <w:rPr>
          <w:rFonts w:hint="default" w:ascii="仿宋_GB2312" w:hAnsi="仿宋_GB2312" w:eastAsia="仿宋_GB2312" w:cs="仿宋_GB2312"/>
          <w:color w:val="000000"/>
          <w:sz w:val="32"/>
          <w:szCs w:val="32"/>
          <w:highlight w:val="none"/>
        </w:rPr>
        <w:t>其他卫生健康支出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66.38</w:t>
      </w:r>
      <w:r>
        <w:rPr>
          <w:rFonts w:hint="eastAsia" w:ascii="仿宋_GB2312" w:hAnsi="仿宋_GB2312" w:eastAsia="仿宋_GB2312" w:cs="仿宋_GB2312"/>
          <w:color w:val="000000"/>
          <w:sz w:val="32"/>
          <w:szCs w:val="32"/>
          <w:highlight w:val="none"/>
        </w:rPr>
        <w:t>万元，主要用于农村社区医生定向培养补助经费</w:t>
      </w:r>
      <w:r>
        <w:rPr>
          <w:rFonts w:hint="eastAsia" w:ascii="仿宋_GB2312" w:hAnsi="仿宋_GB2312" w:eastAsia="仿宋_GB2312" w:cs="仿宋_GB2312"/>
          <w:color w:val="000000"/>
          <w:sz w:val="32"/>
          <w:szCs w:val="32"/>
          <w:highlight w:val="none"/>
          <w:lang w:eastAsia="zh-CN"/>
        </w:rPr>
        <w:t>、住院医师规范化培训、医疗固废处置管理、校园医技补助。</w:t>
      </w:r>
    </w:p>
    <w:p w14:paraId="6F976F82">
      <w:pPr>
        <w:spacing w:line="520" w:lineRule="exact"/>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（六）关于德清县新市镇中心卫生院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一般公共预算基本支出情况说明</w:t>
      </w:r>
    </w:p>
    <w:p w14:paraId="4D594439">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highlight w:val="none"/>
        </w:rPr>
        <w:t>德清县新市镇中心卫生院</w:t>
      </w:r>
      <w:r>
        <w:rPr>
          <w:rFonts w:hint="eastAsia" w:ascii="仿宋_GB2312" w:eastAsia="仿宋_GB2312"/>
          <w:color w:val="000000"/>
          <w:sz w:val="32"/>
          <w:szCs w:val="32"/>
          <w:highlight w:val="none"/>
          <w:lang w:eastAsia="zh-CN"/>
        </w:rPr>
        <w:t>2025年</w:t>
      </w:r>
      <w:r>
        <w:rPr>
          <w:rFonts w:hint="eastAsia" w:ascii="仿宋_GB2312" w:eastAsia="仿宋_GB2312"/>
          <w:color w:val="000000"/>
          <w:sz w:val="32"/>
          <w:szCs w:val="32"/>
          <w:highlight w:val="none"/>
        </w:rPr>
        <w:t>一般公共预算基本支出66.5</w:t>
      </w:r>
      <w:r>
        <w:rPr>
          <w:rFonts w:hint="default" w:ascii="仿宋_GB2312" w:eastAsia="仿宋_GB2312"/>
          <w:color w:val="000000"/>
          <w:sz w:val="32"/>
          <w:szCs w:val="32"/>
          <w:highlight w:val="none"/>
          <w:woUserID w:val="1"/>
        </w:rPr>
        <w:t>2</w:t>
      </w:r>
      <w:r>
        <w:rPr>
          <w:rFonts w:hint="eastAsia" w:ascii="仿宋_GB2312" w:eastAsia="仿宋_GB2312"/>
          <w:color w:val="000000"/>
          <w:sz w:val="32"/>
          <w:szCs w:val="32"/>
          <w:highlight w:val="none"/>
        </w:rPr>
        <w:t>万元，其中：</w:t>
      </w:r>
    </w:p>
    <w:p w14:paraId="420934E3">
      <w:pPr>
        <w:spacing w:line="520" w:lineRule="exact"/>
        <w:ind w:firstLine="642"/>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人员</w:t>
      </w:r>
      <w:r>
        <w:rPr>
          <w:rFonts w:hint="eastAsia" w:ascii="仿宋_GB2312" w:eastAsia="仿宋_GB2312"/>
          <w:color w:val="000000"/>
          <w:sz w:val="32"/>
          <w:szCs w:val="32"/>
          <w:highlight w:val="none"/>
          <w:lang w:val="en-US" w:eastAsia="zh-CN"/>
        </w:rPr>
        <w:t>支出</w:t>
      </w:r>
      <w:r>
        <w:rPr>
          <w:rFonts w:hint="eastAsia" w:ascii="仿宋_GB2312" w:eastAsia="仿宋_GB2312"/>
          <w:color w:val="000000"/>
          <w:sz w:val="32"/>
          <w:szCs w:val="32"/>
          <w:highlight w:val="none"/>
        </w:rPr>
        <w:t>66.5</w:t>
      </w:r>
      <w:r>
        <w:rPr>
          <w:rFonts w:hint="default" w:ascii="仿宋_GB2312" w:eastAsia="仿宋_GB2312"/>
          <w:color w:val="000000"/>
          <w:sz w:val="32"/>
          <w:szCs w:val="32"/>
          <w:highlight w:val="none"/>
          <w:woUserID w:val="1"/>
        </w:rPr>
        <w:t>2</w:t>
      </w:r>
      <w:r>
        <w:rPr>
          <w:rFonts w:hint="eastAsia" w:ascii="仿宋_GB2312" w:eastAsia="仿宋_GB2312"/>
          <w:color w:val="000000"/>
          <w:sz w:val="32"/>
          <w:szCs w:val="32"/>
          <w:highlight w:val="none"/>
        </w:rPr>
        <w:t>万元，主要包括：绩效工资、公务员医疗补助缴费</w:t>
      </w:r>
      <w:r>
        <w:rPr>
          <w:rFonts w:hint="eastAsia" w:ascii="仿宋_GB2312" w:eastAsia="仿宋_GB2312"/>
          <w:color w:val="000000"/>
          <w:sz w:val="32"/>
          <w:szCs w:val="32"/>
          <w:highlight w:val="none"/>
          <w:lang w:val="en-US" w:eastAsia="zh-CN"/>
        </w:rPr>
        <w:t>。</w:t>
      </w:r>
    </w:p>
    <w:p w14:paraId="13317AFE">
      <w:pPr>
        <w:spacing w:line="520" w:lineRule="exact"/>
        <w:ind w:firstLine="642"/>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（七）关于德清县新市镇中心卫生院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政府性基金预算支出情况说明</w:t>
      </w:r>
    </w:p>
    <w:p w14:paraId="5E8E347B">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1.政府性基金预算拨款规模变化情况。</w:t>
      </w:r>
    </w:p>
    <w:p w14:paraId="4CF5CCB8">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德清县新市镇中心卫生院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政府性基金预算拨款14.00万元，比</w:t>
      </w:r>
      <w:r>
        <w:rPr>
          <w:rFonts w:hint="eastAsia" w:ascii="仿宋_GB2312" w:hAnsi="仿宋_GB2312" w:eastAsia="仿宋_GB2312" w:cs="仿宋_GB2312"/>
          <w:color w:val="000000"/>
          <w:sz w:val="32"/>
          <w:szCs w:val="32"/>
          <w:highlight w:val="none"/>
          <w:lang w:val="en-US" w:eastAsia="zh-CN"/>
        </w:rPr>
        <w:t>上</w:t>
      </w:r>
      <w:r>
        <w:rPr>
          <w:rFonts w:hint="eastAsia" w:ascii="仿宋_GB2312" w:hAnsi="仿宋_GB2312" w:eastAsia="仿宋_GB2312" w:cs="仿宋_GB2312"/>
          <w:color w:val="000000"/>
          <w:sz w:val="32"/>
          <w:szCs w:val="32"/>
          <w:highlight w:val="none"/>
        </w:rPr>
        <w:t>年执行数增加</w:t>
      </w:r>
      <w:r>
        <w:rPr>
          <w:rFonts w:hint="eastAsia" w:ascii="仿宋_GB2312" w:hAnsi="仿宋_GB2312" w:eastAsia="仿宋_GB2312" w:cs="仿宋_GB2312"/>
          <w:color w:val="000000"/>
          <w:sz w:val="32"/>
          <w:highlight w:val="none"/>
          <w:lang w:val="en-US" w:eastAsia="zh-CN"/>
        </w:rPr>
        <w:t>14.00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100.0</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val="en-US" w:eastAsia="zh-CN"/>
        </w:rPr>
        <w:t>用于医疗设备更新支出</w:t>
      </w:r>
      <w:r>
        <w:rPr>
          <w:rFonts w:hint="eastAsia" w:ascii="仿宋_GB2312" w:hAnsi="仿宋_GB2312" w:eastAsia="仿宋_GB2312" w:cs="仿宋_GB2312"/>
          <w:color w:val="000000"/>
          <w:sz w:val="32"/>
          <w:szCs w:val="32"/>
          <w:highlight w:val="none"/>
        </w:rPr>
        <w:t>。</w:t>
      </w:r>
    </w:p>
    <w:p w14:paraId="1E6F0F71">
      <w:pPr>
        <w:spacing w:line="520" w:lineRule="exact"/>
        <w:ind w:firstLine="642"/>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2.政府性基金预算拨款结构情况。</w:t>
      </w:r>
    </w:p>
    <w:p w14:paraId="71A86EBB">
      <w:pPr>
        <w:spacing w:line="520" w:lineRule="exact"/>
        <w:ind w:firstLine="642"/>
        <w:rPr>
          <w:rFonts w:hint="default" w:ascii="仿宋_GB2312" w:hAnsi="仿宋_GB2312" w:eastAsia="仿宋_GB2312" w:cs="仿宋_GB2312"/>
          <w:color w:val="000000"/>
          <w:sz w:val="32"/>
          <w:szCs w:val="32"/>
          <w:highlight w:val="none"/>
          <w:lang w:eastAsia="zh-CN"/>
        </w:rPr>
      </w:pPr>
      <w:r>
        <w:rPr>
          <w:rFonts w:hint="default" w:ascii="仿宋_GB2312" w:hAnsi="仿宋_GB2312" w:eastAsia="仿宋_GB2312" w:cs="仿宋_GB2312"/>
          <w:color w:val="000000"/>
          <w:sz w:val="32"/>
          <w:szCs w:val="32"/>
          <w:highlight w:val="none"/>
          <w:lang w:eastAsia="zh-CN"/>
        </w:rPr>
        <w:t>卫生健康支出14</w:t>
      </w:r>
      <w:r>
        <w:rPr>
          <w:rFonts w:hint="eastAsia" w:ascii="仿宋_GB2312" w:hAnsi="仿宋_GB2312" w:eastAsia="仿宋_GB2312" w:cs="仿宋_GB2312"/>
          <w:color w:val="000000"/>
          <w:sz w:val="32"/>
          <w:szCs w:val="32"/>
          <w:highlight w:val="none"/>
          <w:lang w:val="en-US" w:eastAsia="zh-CN"/>
        </w:rPr>
        <w:t>.00</w:t>
      </w:r>
      <w:r>
        <w:rPr>
          <w:rFonts w:hint="default" w:ascii="仿宋_GB2312" w:hAnsi="仿宋_GB2312" w:eastAsia="仿宋_GB2312" w:cs="仿宋_GB2312"/>
          <w:color w:val="000000"/>
          <w:sz w:val="32"/>
          <w:szCs w:val="32"/>
          <w:highlight w:val="none"/>
          <w:lang w:eastAsia="zh-CN"/>
        </w:rPr>
        <w:t>万元，占100</w:t>
      </w:r>
      <w:r>
        <w:rPr>
          <w:rFonts w:hint="eastAsia" w:ascii="仿宋_GB2312" w:hAnsi="仿宋_GB2312" w:eastAsia="仿宋_GB2312" w:cs="仿宋_GB2312"/>
          <w:color w:val="000000"/>
          <w:sz w:val="32"/>
          <w:szCs w:val="32"/>
          <w:highlight w:val="none"/>
          <w:lang w:val="en-US" w:eastAsia="zh-CN"/>
        </w:rPr>
        <w:t>.0</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w:t>
      </w:r>
    </w:p>
    <w:p w14:paraId="032C76A4">
      <w:pPr>
        <w:keepNext w:val="0"/>
        <w:keepLines w:val="0"/>
        <w:pageBreakBefore w:val="0"/>
        <w:widowControl w:val="0"/>
        <w:kinsoku/>
        <w:wordWrap/>
        <w:overflowPunct/>
        <w:topLinePunct w:val="0"/>
        <w:autoSpaceDE/>
        <w:autoSpaceDN/>
        <w:bidi w:val="0"/>
        <w:adjustRightInd/>
        <w:snapToGrid/>
        <w:spacing w:line="520" w:lineRule="exact"/>
        <w:ind w:firstLine="360" w:firstLineChars="112"/>
        <w:textAlignment w:val="auto"/>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3.政府性基金预算拨款具体使用情况。</w:t>
      </w:r>
    </w:p>
    <w:p w14:paraId="03AB052D">
      <w:pPr>
        <w:spacing w:line="520" w:lineRule="exact"/>
        <w:ind w:firstLine="640" w:firstLineChars="200"/>
        <w:rPr>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超长期特别国债安排的支出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其他卫生健康支出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14.00</w:t>
      </w:r>
      <w:r>
        <w:rPr>
          <w:rFonts w:hint="eastAsia" w:ascii="仿宋_GB2312" w:hAnsi="仿宋_GB2312" w:eastAsia="仿宋_GB2312" w:cs="仿宋_GB2312"/>
          <w:color w:val="auto"/>
          <w:sz w:val="32"/>
          <w:szCs w:val="32"/>
          <w:highlight w:val="none"/>
        </w:rPr>
        <w:t>万元，主要用于推动大规模设备更新和消费品以旧换新领域</w:t>
      </w:r>
      <w:r>
        <w:rPr>
          <w:rFonts w:hint="eastAsia" w:ascii="仿宋_GB2312" w:hAnsi="仿宋_GB2312" w:eastAsia="仿宋_GB2312" w:cs="仿宋_GB2312"/>
          <w:color w:val="auto"/>
          <w:sz w:val="32"/>
          <w:szCs w:val="32"/>
          <w:highlight w:val="none"/>
          <w:lang w:eastAsia="zh-CN"/>
        </w:rPr>
        <w:t>。</w:t>
      </w:r>
    </w:p>
    <w:p w14:paraId="532FC934">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59E92F5F">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lang w:val="en-US" w:eastAsia="zh-CN"/>
        </w:rPr>
        <w:t>没有使用</w:t>
      </w:r>
      <w:r>
        <w:rPr>
          <w:rFonts w:hint="eastAsia" w:ascii="仿宋_GB2312" w:hAnsi="仿宋_GB2312" w:eastAsia="仿宋_GB2312" w:cs="仿宋_GB2312"/>
          <w:color w:val="000000"/>
          <w:sz w:val="32"/>
          <w:szCs w:val="32"/>
          <w:highlight w:val="none"/>
        </w:rPr>
        <w:t>国有资本经营预算拨款安排的支出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与上年持平</w:t>
      </w:r>
      <w:r>
        <w:rPr>
          <w:rFonts w:hint="eastAsia" w:ascii="仿宋_GB2312" w:hAnsi="仿宋_GB2312" w:eastAsia="仿宋_GB2312" w:cs="仿宋_GB2312"/>
          <w:color w:val="000000"/>
          <w:sz w:val="32"/>
          <w:szCs w:val="32"/>
          <w:highlight w:val="none"/>
          <w:lang w:eastAsia="zh-CN"/>
        </w:rPr>
        <w:t>。</w:t>
      </w:r>
    </w:p>
    <w:p w14:paraId="0FC6BC81">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（九）关于德清县新市镇中心卫生院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sz w:val="32"/>
          <w:szCs w:val="32"/>
          <w:highlight w:val="none"/>
        </w:rPr>
        <w:t>一般公共预算</w:t>
      </w:r>
      <w:r>
        <w:rPr>
          <w:rFonts w:hint="eastAsia" w:ascii="楷体_GB2312" w:hAnsi="楷体_GB2312" w:eastAsia="楷体_GB2312" w:cs="楷体_GB2312"/>
          <w:bCs/>
          <w:color w:val="000000"/>
          <w:sz w:val="32"/>
          <w:szCs w:val="32"/>
          <w:highlight w:val="none"/>
        </w:rPr>
        <w:t>“三公”经费预算情况说明</w:t>
      </w:r>
    </w:p>
    <w:p w14:paraId="00024D49">
      <w:pPr>
        <w:spacing w:line="520" w:lineRule="exact"/>
        <w:ind w:firstLine="640" w:firstLineChars="200"/>
        <w:rPr>
          <w:rFonts w:ascii="仿宋_GB2312" w:hAnsi="仿宋_GB2312" w:eastAsia="仿宋_GB2312"/>
          <w:sz w:val="32"/>
          <w:highlight w:val="none"/>
        </w:rPr>
      </w:pPr>
      <w:r>
        <w:rPr>
          <w:rFonts w:hint="eastAsia" w:ascii="仿宋_GB2312" w:hAnsi="仿宋_GB2312" w:eastAsia="仿宋_GB2312"/>
          <w:sz w:val="32"/>
          <w:highlight w:val="none"/>
        </w:rPr>
        <w:t>德清县新市镇中心卫生院</w:t>
      </w:r>
      <w:r>
        <w:rPr>
          <w:rFonts w:hint="eastAsia" w:ascii="仿宋_GB2312" w:hAnsi="仿宋_GB2312" w:eastAsia="仿宋_GB2312"/>
          <w:sz w:val="32"/>
          <w:highlight w:val="none"/>
          <w:lang w:eastAsia="zh-CN"/>
        </w:rPr>
        <w:t>2025年</w:t>
      </w:r>
      <w:r>
        <w:rPr>
          <w:rFonts w:hint="eastAsia" w:ascii="仿宋_GB2312" w:hAnsi="仿宋_GB2312" w:eastAsia="仿宋_GB2312"/>
          <w:sz w:val="32"/>
          <w:highlight w:val="none"/>
        </w:rPr>
        <w:t>“三公”经费预算数为0.00万元，</w:t>
      </w:r>
      <w:r>
        <w:rPr>
          <w:rFonts w:hint="eastAsia" w:ascii="仿宋_GB2312" w:hAnsi="仿宋_GB2312" w:eastAsia="仿宋_GB2312"/>
          <w:sz w:val="32"/>
          <w:highlight w:val="none"/>
          <w:shd w:val="clear" w:color="auto" w:fill="FFFFFF"/>
          <w:lang w:val="en-US" w:eastAsia="zh-CN"/>
        </w:rPr>
        <w:t>与上年预算数持平</w:t>
      </w:r>
      <w:r>
        <w:rPr>
          <w:rFonts w:hint="eastAsia" w:ascii="仿宋_GB2312" w:hAnsi="仿宋_GB2312" w:eastAsia="仿宋_GB2312"/>
          <w:sz w:val="32"/>
          <w:highlight w:val="none"/>
        </w:rPr>
        <w:t>，具体如下：</w:t>
      </w:r>
    </w:p>
    <w:p w14:paraId="2CFB38EC">
      <w:pPr>
        <w:pStyle w:val="15"/>
        <w:spacing w:line="276"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因公出国（境）费用：</w:t>
      </w:r>
      <w:r>
        <w:rPr>
          <w:rFonts w:hint="eastAsia" w:ascii="仿宋_GB2312" w:hAnsi="仿宋_GB2312" w:eastAsia="仿宋_GB2312" w:cs="仿宋_GB2312"/>
          <w:sz w:val="32"/>
          <w:szCs w:val="32"/>
        </w:rPr>
        <w:t>根据因公出国计划和实际工作需要，2025年安排因公出国（境）费用预算0.00万元，与上年预算数持平。</w:t>
      </w:r>
      <w:r>
        <w:rPr>
          <w:rFonts w:ascii="仿宋_GB2312" w:hAnsi="仿宋_GB2312" w:eastAsia="仿宋_GB2312" w:cs="仿宋_GB2312"/>
          <w:kern w:val="0"/>
          <w:sz w:val="32"/>
          <w:szCs w:val="32"/>
        </w:rPr>
        <w:t>持平的主要原因是</w:t>
      </w:r>
      <w:r>
        <w:rPr>
          <w:rFonts w:hint="eastAsia" w:ascii="仿宋" w:hAnsi="仿宋" w:eastAsia="仿宋"/>
          <w:color w:val="000000"/>
          <w:sz w:val="32"/>
          <w:szCs w:val="32"/>
          <w:lang w:val="zh-CN"/>
        </w:rPr>
        <w:t>由相关部门从严审批控制</w:t>
      </w:r>
      <w:r>
        <w:rPr>
          <w:rFonts w:hint="eastAsia" w:ascii="仿宋" w:hAnsi="仿宋" w:eastAsia="仿宋"/>
          <w:color w:val="000000"/>
          <w:sz w:val="32"/>
          <w:szCs w:val="32"/>
        </w:rPr>
        <w:t>，年初未列部门预算</w:t>
      </w:r>
      <w:r>
        <w:rPr>
          <w:rFonts w:hint="eastAsia" w:ascii="仿宋_GB2312" w:hAnsi="仿宋_GB2312" w:eastAsia="仿宋_GB2312" w:cs="仿宋_GB2312"/>
          <w:sz w:val="32"/>
          <w:szCs w:val="32"/>
        </w:rPr>
        <w:t>。</w:t>
      </w:r>
    </w:p>
    <w:p w14:paraId="4BCFD001">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2.公务接待费：202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年安排公务接待费预算</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val="en-US" w:eastAsia="zh-CN"/>
        </w:rPr>
        <w:t>预算数</w:t>
      </w:r>
      <w:r>
        <w:rPr>
          <w:rFonts w:hint="eastAsia" w:ascii="仿宋_GB2312" w:hAnsi="仿宋_GB2312" w:eastAsia="仿宋_GB2312" w:cs="仿宋_GB2312"/>
          <w:sz w:val="32"/>
          <w:szCs w:val="32"/>
          <w:highlight w:val="none"/>
          <w:lang w:eastAsia="zh-CN"/>
        </w:rPr>
        <w:t>持平，</w:t>
      </w:r>
      <w:r>
        <w:rPr>
          <w:rFonts w:hint="eastAsia" w:ascii="仿宋_GB2312" w:hAnsi="仿宋_GB2312" w:eastAsia="仿宋_GB2312" w:cs="仿宋_GB2312"/>
          <w:sz w:val="32"/>
          <w:szCs w:val="32"/>
          <w:highlight w:val="none"/>
        </w:rPr>
        <w:t>持平的主要原因是预算未安排公务接待费。</w:t>
      </w:r>
    </w:p>
    <w:p w14:paraId="0FD0A0B9">
      <w:pPr>
        <w:pStyle w:val="15"/>
        <w:spacing w:line="520" w:lineRule="exact"/>
        <w:ind w:firstLine="640" w:firstLineChars="200"/>
        <w:rPr>
          <w:rFonts w:ascii="仿宋_GB2312" w:hAnsi="仿宋_GB2312" w:eastAsia="仿宋_GB2312" w:cs="仿宋_GB2312"/>
          <w:kern w:val="0"/>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rPr>
        <w:t>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4CA9B39A">
      <w:pPr>
        <w:spacing w:line="520" w:lineRule="exact"/>
        <w:ind w:firstLine="627" w:firstLineChars="196"/>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（十）其他重要事项的情况说明</w:t>
      </w:r>
    </w:p>
    <w:p w14:paraId="2C6409FD">
      <w:pPr>
        <w:pStyle w:val="15"/>
        <w:spacing w:line="520" w:lineRule="exact"/>
        <w:ind w:firstLine="64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1.政府采购情况。</w:t>
      </w:r>
    </w:p>
    <w:p w14:paraId="1AFCA492">
      <w:pPr>
        <w:pStyle w:val="15"/>
        <w:spacing w:line="5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德清县新市镇中心卫生院</w:t>
      </w:r>
      <w:r>
        <w:rPr>
          <w:rFonts w:hint="eastAsia" w:ascii="仿宋_GB2312" w:eastAsia="仿宋_GB2312"/>
          <w:color w:val="000000"/>
          <w:sz w:val="32"/>
          <w:szCs w:val="32"/>
          <w:highlight w:val="none"/>
        </w:rPr>
        <w:t>各单位政府采购预算总额</w:t>
      </w:r>
      <w:r>
        <w:rPr>
          <w:rFonts w:ascii="仿宋_GB2312" w:eastAsia="仿宋_GB2312"/>
          <w:color w:val="000000"/>
          <w:sz w:val="32"/>
          <w:szCs w:val="32"/>
          <w:highlight w:val="none"/>
        </w:rPr>
        <w:t>34.64</w:t>
      </w:r>
      <w:r>
        <w:rPr>
          <w:rFonts w:hint="eastAsia" w:ascii="仿宋_GB2312" w:eastAsia="仿宋_GB2312"/>
          <w:color w:val="000000"/>
          <w:sz w:val="32"/>
          <w:szCs w:val="32"/>
          <w:highlight w:val="none"/>
        </w:rPr>
        <w:t>万元，其中：政府采购货物预算14.00万元、政府采购工程预算0.00万元、政府采购服务预算</w:t>
      </w:r>
      <w:r>
        <w:rPr>
          <w:rFonts w:ascii="仿宋_GB2312" w:eastAsia="仿宋_GB2312"/>
          <w:color w:val="000000"/>
          <w:sz w:val="32"/>
          <w:szCs w:val="32"/>
          <w:highlight w:val="none"/>
        </w:rPr>
        <w:t>20.64</w:t>
      </w:r>
      <w:r>
        <w:rPr>
          <w:rFonts w:hint="eastAsia" w:ascii="仿宋_GB2312" w:eastAsia="仿宋_GB2312"/>
          <w:color w:val="000000"/>
          <w:sz w:val="32"/>
          <w:szCs w:val="32"/>
          <w:highlight w:val="none"/>
        </w:rPr>
        <w:t>万元。</w:t>
      </w:r>
    </w:p>
    <w:p w14:paraId="6217A720">
      <w:pPr>
        <w:pStyle w:val="15"/>
        <w:spacing w:line="520" w:lineRule="exact"/>
        <w:ind w:firstLine="642"/>
        <w:rPr>
          <w:rFonts w:ascii="仿宋_GB2312" w:eastAsia="仿宋_GB2312"/>
          <w:sz w:val="32"/>
          <w:szCs w:val="32"/>
          <w:highlight w:val="none"/>
        </w:rPr>
      </w:pPr>
      <w:r>
        <w:rPr>
          <w:rFonts w:hint="eastAsia" w:ascii="仿宋_GB2312" w:eastAsia="仿宋_GB2312"/>
          <w:b/>
          <w:bCs/>
          <w:sz w:val="32"/>
          <w:szCs w:val="32"/>
          <w:highlight w:val="none"/>
          <w:lang w:val="en-US" w:eastAsia="zh-CN"/>
        </w:rPr>
        <w:t>2</w:t>
      </w:r>
      <w:r>
        <w:rPr>
          <w:rFonts w:hint="eastAsia" w:ascii="仿宋_GB2312" w:eastAsia="仿宋_GB2312"/>
          <w:b/>
          <w:bCs/>
          <w:sz w:val="32"/>
          <w:szCs w:val="32"/>
          <w:highlight w:val="none"/>
        </w:rPr>
        <w:t>.国有资产占有使用情况。</w:t>
      </w:r>
    </w:p>
    <w:p w14:paraId="66D7B6F3">
      <w:pPr>
        <w:spacing w:line="52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highlight w:val="none"/>
        </w:rPr>
        <w:t>截至202</w:t>
      </w:r>
      <w:r>
        <w:rPr>
          <w:rFonts w:hint="eastAsia" w:ascii="仿宋_GB2312" w:hAnsi="仿宋_GB2312" w:eastAsia="仿宋_GB2312" w:cs="仿宋_GB2312"/>
          <w:spacing w:val="6"/>
          <w:sz w:val="32"/>
          <w:szCs w:val="32"/>
          <w:highlight w:val="none"/>
          <w:lang w:val="en-US" w:eastAsia="zh-CN"/>
        </w:rPr>
        <w:t>4</w:t>
      </w:r>
      <w:r>
        <w:rPr>
          <w:rFonts w:hint="eastAsia" w:ascii="仿宋_GB2312" w:hAnsi="仿宋_GB2312" w:eastAsia="仿宋_GB2312" w:cs="仿宋_GB2312"/>
          <w:spacing w:val="6"/>
          <w:sz w:val="32"/>
          <w:szCs w:val="32"/>
          <w:highlight w:val="none"/>
        </w:rPr>
        <w:t>年12月31日，所属各预算单位共有车辆</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辆，其中，应急保障用车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辆、老干部服务用车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辆、行政执法专用车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default" w:ascii="仿宋_GB2312" w:hAnsi="仿宋_GB2312" w:eastAsia="仿宋_GB2312" w:cs="仿宋_GB2312"/>
          <w:sz w:val="32"/>
          <w:szCs w:val="32"/>
          <w:highlight w:val="none"/>
          <w:woUserID w:val="1"/>
        </w:rPr>
        <w:t>1</w:t>
      </w:r>
      <w:r>
        <w:rPr>
          <w:rFonts w:hint="eastAsia" w:ascii="仿宋_GB2312" w:hAnsi="仿宋_GB2312" w:eastAsia="仿宋_GB2312" w:cs="仿宋_GB2312"/>
          <w:sz w:val="32"/>
          <w:szCs w:val="32"/>
          <w:highlight w:val="none"/>
        </w:rPr>
        <w:t>辆。单位价值100万元以上设备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台（套）。 </w:t>
      </w:r>
    </w:p>
    <w:p w14:paraId="064C36AF">
      <w:pPr>
        <w:spacing w:line="52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2025年</w:t>
      </w:r>
      <w:r>
        <w:rPr>
          <w:rFonts w:ascii="仿宋_GB2312" w:hAnsi="仿宋_GB2312" w:eastAsia="仿宋_GB2312" w:cs="仿宋_GB2312"/>
          <w:sz w:val="32"/>
          <w:szCs w:val="32"/>
          <w:highlight w:val="none"/>
        </w:rPr>
        <w:t>部门预算未安排购置车辆、单位价值100万元以上设备</w:t>
      </w:r>
      <w:r>
        <w:rPr>
          <w:rFonts w:hint="eastAsia" w:ascii="仿宋_GB2312" w:hAnsi="仿宋_GB2312" w:eastAsia="仿宋_GB2312" w:cs="仿宋_GB2312"/>
          <w:sz w:val="32"/>
          <w:szCs w:val="32"/>
          <w:highlight w:val="none"/>
        </w:rPr>
        <w:t>。</w:t>
      </w:r>
    </w:p>
    <w:p w14:paraId="7580E2C1">
      <w:pPr>
        <w:pStyle w:val="15"/>
        <w:spacing w:line="520" w:lineRule="exact"/>
        <w:rPr>
          <w:rFonts w:ascii="仿宋_GB2312" w:eastAsia="仿宋_GB2312"/>
          <w:b/>
          <w:bCs/>
          <w:sz w:val="32"/>
          <w:szCs w:val="32"/>
          <w:highlight w:val="none"/>
        </w:rPr>
      </w:pPr>
      <w:r>
        <w:rPr>
          <w:rFonts w:hint="eastAsia" w:ascii="仿宋_GB2312" w:eastAsia="仿宋_GB2312"/>
          <w:b/>
          <w:bCs/>
          <w:sz w:val="32"/>
          <w:szCs w:val="32"/>
          <w:highlight w:val="none"/>
        </w:rPr>
        <w:t xml:space="preserve">    4.预算绩效情况说明。</w:t>
      </w:r>
    </w:p>
    <w:p w14:paraId="6D603ECF">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2025年</w:t>
      </w:r>
      <w:r>
        <w:rPr>
          <w:rFonts w:ascii="仿宋_GB2312" w:hAnsi="仿宋_GB2312" w:eastAsia="仿宋_GB2312" w:cs="仿宋_GB2312"/>
          <w:sz w:val="32"/>
          <w:szCs w:val="32"/>
          <w:highlight w:val="none"/>
        </w:rPr>
        <w:t>德清县新市镇中心卫生院其他运转类项目和特定目标类项目均实行绩效目标管理，共计6个一级项目，涉及当年资金1205.98万元。同时，将按照相关制度规定开展绩效自评。一级项目绩效目标表，详见“</w:t>
      </w:r>
      <w:r>
        <w:rPr>
          <w:rFonts w:hint="eastAsia" w:ascii="仿宋_GB2312" w:hAnsi="仿宋_GB2312" w:eastAsia="仿宋_GB2312" w:cs="仿宋_GB2312"/>
          <w:sz w:val="32"/>
          <w:szCs w:val="32"/>
          <w:highlight w:val="none"/>
          <w:lang w:val="en-US" w:eastAsia="zh-CN"/>
        </w:rPr>
        <w:t>部门</w:t>
      </w:r>
      <w:bookmarkStart w:id="0" w:name="_GoBack"/>
      <w:bookmarkEnd w:id="0"/>
      <w:r>
        <w:rPr>
          <w:rFonts w:ascii="仿宋_GB2312" w:hAnsi="仿宋_GB2312" w:eastAsia="仿宋_GB2312" w:cs="仿宋_GB2312"/>
          <w:sz w:val="32"/>
          <w:szCs w:val="32"/>
          <w:highlight w:val="none"/>
        </w:rPr>
        <w:t>项目支出绩效表”</w:t>
      </w:r>
      <w:r>
        <w:rPr>
          <w:rFonts w:hint="eastAsia" w:ascii="仿宋_GB2312" w:hAnsi="仿宋_GB2312" w:eastAsia="仿宋_GB2312" w:cs="仿宋_GB2312"/>
          <w:sz w:val="32"/>
          <w:szCs w:val="32"/>
          <w:highlight w:val="none"/>
        </w:rPr>
        <w:t>。</w:t>
      </w:r>
    </w:p>
    <w:p w14:paraId="5CBC8270">
      <w:pPr>
        <w:pStyle w:val="15"/>
        <w:spacing w:line="520" w:lineRule="exact"/>
        <w:ind w:firstLine="640" w:firstLineChars="200"/>
        <w:rPr>
          <w:rFonts w:ascii="黑体" w:hAnsi="黑体" w:eastAsia="黑体" w:cs="黑体"/>
          <w:bCs/>
          <w:kern w:val="2"/>
          <w:sz w:val="32"/>
          <w:szCs w:val="32"/>
          <w:highlight w:val="none"/>
        </w:rPr>
      </w:pPr>
      <w:r>
        <w:rPr>
          <w:rFonts w:hint="eastAsia" w:ascii="黑体" w:hAnsi="黑体" w:eastAsia="黑体" w:cs="黑体"/>
          <w:bCs/>
          <w:kern w:val="2"/>
          <w:sz w:val="32"/>
          <w:szCs w:val="32"/>
          <w:highlight w:val="none"/>
        </w:rPr>
        <w:t>三、名词解释</w:t>
      </w:r>
    </w:p>
    <w:p w14:paraId="2A7E4E7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3A391B8F">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1"/>
        </w:rPr>
        <w:t>2</w:t>
      </w:r>
      <w:r>
        <w:rPr>
          <w:rFonts w:hint="eastAsia" w:ascii="仿宋_GB2312" w:hAnsi="仿宋_GB2312" w:eastAsia="仿宋_GB2312" w:cs="仿宋_GB2312"/>
          <w:sz w:val="32"/>
          <w:szCs w:val="32"/>
        </w:rPr>
        <w:t>.上年结转：指以前年度尚未完成、结转到本年仍按原规定用途继续使用的资金。</w:t>
      </w:r>
    </w:p>
    <w:p w14:paraId="5B49EC3F">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1"/>
        </w:rPr>
        <w:t>3</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14:paraId="0A59A69D">
      <w:pPr>
        <w:spacing w:line="52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woUserID w:val="1"/>
        </w:rPr>
        <w:t>4</w:t>
      </w:r>
      <w:r>
        <w:rPr>
          <w:rFonts w:hint="eastAsia" w:ascii="仿宋_GB2312" w:hAnsi="仿宋_GB2312" w:eastAsia="仿宋_GB2312" w:cs="仿宋_GB2312"/>
          <w:sz w:val="32"/>
          <w:szCs w:val="32"/>
        </w:rPr>
        <w:t>.项目支出：是预算单位为完成其特定的行政工作任务或事业发展目标所发生的支出。</w:t>
      </w:r>
    </w:p>
    <w:p w14:paraId="295C4BC7">
      <w:pPr>
        <w:spacing w:line="520" w:lineRule="exact"/>
        <w:ind w:firstLine="640" w:firstLineChars="200"/>
        <w:rPr>
          <w:rFonts w:ascii="仿宋_GB2312" w:eastAsia="仿宋_GB2312"/>
          <w:sz w:val="32"/>
        </w:rPr>
      </w:pPr>
      <w:r>
        <w:rPr>
          <w:rFonts w:hint="default" w:ascii="仿宋_GB2312" w:hAnsi="仿宋_GB2312" w:eastAsia="仿宋_GB2312" w:cs="仿宋_GB2312"/>
          <w:sz w:val="32"/>
          <w:szCs w:val="32"/>
          <w:woUserID w:val="1"/>
        </w:rPr>
        <w:t>5</w:t>
      </w:r>
      <w:r>
        <w:rPr>
          <w:rFonts w:hint="eastAsia" w:ascii="仿宋_GB2312" w:hAnsi="仿宋_GB2312" w:eastAsia="仿宋_GB2312" w:cs="仿宋_GB2312"/>
          <w:sz w:val="32"/>
          <w:szCs w:val="32"/>
        </w:rPr>
        <w:t>.</w:t>
      </w:r>
      <w:r>
        <w:rPr>
          <w:rFonts w:hint="eastAsia" w:ascii="仿宋_GB2312" w:eastAsia="仿宋_GB2312"/>
          <w:sz w:val="32"/>
        </w:rPr>
        <w:t>卫生健康支出（类）基层医疗卫生机构（款）乡镇卫生院（项）：指反映用于乡镇卫生院的支出。</w:t>
      </w:r>
    </w:p>
    <w:p w14:paraId="4F2C1AE2">
      <w:pPr>
        <w:spacing w:line="520" w:lineRule="exact"/>
        <w:ind w:firstLine="640" w:firstLineChars="200"/>
        <w:rPr>
          <w:rFonts w:ascii="仿宋_GB2312" w:eastAsia="仿宋_GB2312"/>
          <w:sz w:val="32"/>
        </w:rPr>
      </w:pPr>
      <w:r>
        <w:rPr>
          <w:rFonts w:hint="default" w:ascii="仿宋_GB2312" w:hAnsi="仿宋_GB2312" w:eastAsia="仿宋_GB2312" w:cs="仿宋_GB2312"/>
          <w:sz w:val="32"/>
          <w:szCs w:val="32"/>
          <w:woUserID w:val="1"/>
        </w:rPr>
        <w:t>6</w:t>
      </w:r>
      <w:r>
        <w:rPr>
          <w:rFonts w:hint="eastAsia" w:ascii="仿宋_GB2312" w:hAnsi="仿宋_GB2312" w:eastAsia="仿宋_GB2312" w:cs="仿宋_GB2312"/>
          <w:sz w:val="32"/>
          <w:szCs w:val="32"/>
        </w:rPr>
        <w:t>.</w:t>
      </w:r>
      <w:r>
        <w:rPr>
          <w:rFonts w:hint="eastAsia" w:ascii="仿宋_GB2312" w:eastAsia="仿宋_GB2312"/>
          <w:sz w:val="32"/>
        </w:rPr>
        <w:t>卫生健康支出（类）公共卫生（款）基本公共卫生服务（项）：指反映基本公共卫生服务的支出。</w:t>
      </w:r>
    </w:p>
    <w:p w14:paraId="7740CB82">
      <w:pPr>
        <w:spacing w:line="520" w:lineRule="exact"/>
        <w:ind w:firstLine="640" w:firstLineChars="200"/>
        <w:rPr>
          <w:rFonts w:hint="default" w:cs="仿宋_GB2312"/>
          <w:color w:val="auto"/>
          <w:kern w:val="2"/>
          <w:sz w:val="32"/>
          <w:szCs w:val="32"/>
        </w:rPr>
      </w:pPr>
      <w:r>
        <w:rPr>
          <w:rFonts w:cs="仿宋_GB2312"/>
          <w:color w:val="auto"/>
          <w:kern w:val="2"/>
          <w:sz w:val="32"/>
          <w:szCs w:val="32"/>
          <w:woUserID w:val="1"/>
        </w:rPr>
        <w:t>7</w:t>
      </w:r>
      <w:r>
        <w:rPr>
          <w:rFonts w:cs="仿宋_GB2312"/>
          <w:color w:val="auto"/>
          <w:kern w:val="2"/>
          <w:sz w:val="32"/>
          <w:szCs w:val="32"/>
        </w:rPr>
        <w:t>.</w:t>
      </w:r>
      <w:r>
        <w:rPr>
          <w:rFonts w:hint="default"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超长期特别国债安排的支出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其他卫生健康支出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w:t>
      </w:r>
      <w:r>
        <w:rPr>
          <w:rFonts w:hint="eastAsia" w:ascii="仿宋_GB2312" w:hAnsi="仿宋_GB2312" w:eastAsia="仿宋_GB2312" w:cs="仿宋_GB2312"/>
          <w:color w:val="auto"/>
          <w:sz w:val="32"/>
          <w:szCs w:val="32"/>
          <w:highlight w:val="none"/>
        </w:rPr>
        <w:t>推动大规模设备更新和消费品以旧换新领域</w:t>
      </w:r>
      <w:r>
        <w:rPr>
          <w:rFonts w:hint="eastAsia" w:ascii="仿宋_GB2312" w:hAnsi="仿宋_GB2312" w:eastAsia="仿宋_GB2312" w:cs="仿宋_GB2312"/>
          <w:color w:val="auto"/>
          <w:sz w:val="32"/>
          <w:szCs w:val="32"/>
          <w:highlight w:val="none"/>
          <w:lang w:eastAsia="zh-CN"/>
        </w:rPr>
        <w:t>。</w:t>
      </w:r>
    </w:p>
    <w:p w14:paraId="52D1F43E">
      <w:pPr>
        <w:spacing w:line="276"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woUserID w:val="1"/>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卫生健康支出（类）行政事业单位医疗（款）公务员医疗补助（项）：主要用于公务员医疗缴费补助。</w:t>
      </w:r>
    </w:p>
    <w:p w14:paraId="34CA038B">
      <w:pPr>
        <w:pStyle w:val="2"/>
        <w:ind w:firstLine="640" w:firstLineChars="200"/>
        <w:rPr>
          <w:rFonts w:hint="eastAsia" w:cs="仿宋_GB2312"/>
          <w:sz w:val="32"/>
          <w:szCs w:val="32"/>
          <w:lang w:eastAsia="zh-CN"/>
        </w:rPr>
        <w:sectPr>
          <w:headerReference r:id="rId3" w:type="default"/>
          <w:footerReference r:id="rId4" w:type="default"/>
          <w:pgSz w:w="11906" w:h="16838"/>
          <w:pgMar w:top="1440" w:right="1800" w:bottom="1440" w:left="1800" w:header="851" w:footer="992" w:gutter="0"/>
          <w:pgNumType w:start="6"/>
          <w:cols w:space="425" w:num="1"/>
          <w:docGrid w:type="lines" w:linePitch="312" w:charSpace="0"/>
        </w:sectPr>
      </w:pPr>
      <w:r>
        <w:rPr>
          <w:rFonts w:cs="仿宋_GB2312"/>
          <w:sz w:val="32"/>
          <w:szCs w:val="32"/>
          <w:woUserID w:val="1"/>
        </w:rPr>
        <w:t>9</w:t>
      </w:r>
      <w:r>
        <w:rPr>
          <w:rFonts w:cs="仿宋_GB2312"/>
          <w:sz w:val="32"/>
          <w:szCs w:val="32"/>
        </w:rPr>
        <w:t>.卫生健康支出（类）其他卫生健康支出（款）其他卫生健康支出（项）：指反映用于其他卫生健康的支出</w:t>
      </w:r>
      <w:r>
        <w:rPr>
          <w:rFonts w:hint="eastAsia" w:cs="仿宋_GB2312"/>
          <w:sz w:val="32"/>
          <w:szCs w:val="32"/>
          <w:lang w:eastAsia="zh-CN"/>
        </w:rPr>
        <w:t>。</w:t>
      </w:r>
    </w:p>
    <w:p w14:paraId="51DABF61">
      <w:pPr>
        <w:pStyle w:val="2"/>
        <w:ind w:firstLine="480" w:firstLineChars="200"/>
        <w:rPr>
          <w:rFonts w:hint="eastAsia"/>
          <w:lang w:eastAsia="zh-CN"/>
        </w:rPr>
        <w:sectPr>
          <w:pgSz w:w="16838" w:h="11906" w:orient="landscape"/>
          <w:pgMar w:top="1800" w:right="1440" w:bottom="1800" w:left="1440" w:header="851" w:footer="992" w:gutter="0"/>
          <w:pgNumType w:start="6"/>
          <w:cols w:space="425" w:num="1"/>
          <w:docGrid w:type="lines" w:linePitch="312" w:charSpace="0"/>
        </w:sectPr>
      </w:pPr>
      <w:r>
        <w:drawing>
          <wp:inline distT="0" distB="0" distL="114300" distR="114300">
            <wp:extent cx="7324725" cy="523875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tretch>
                      <a:fillRect/>
                    </a:stretch>
                  </pic:blipFill>
                  <pic:spPr>
                    <a:xfrm>
                      <a:off x="0" y="0"/>
                      <a:ext cx="7324725" cy="5238750"/>
                    </a:xfrm>
                    <a:prstGeom prst="rect">
                      <a:avLst/>
                    </a:prstGeom>
                    <a:noFill/>
                    <a:ln>
                      <a:noFill/>
                    </a:ln>
                  </pic:spPr>
                </pic:pic>
              </a:graphicData>
            </a:graphic>
          </wp:inline>
        </w:drawing>
      </w:r>
    </w:p>
    <w:p w14:paraId="1A7B715B">
      <w:pPr>
        <w:pStyle w:val="2"/>
        <w:rPr>
          <w:highlight w:val="none"/>
        </w:rPr>
      </w:pPr>
      <w:r>
        <w:drawing>
          <wp:inline distT="0" distB="0" distL="114300" distR="114300">
            <wp:extent cx="8862695" cy="2865120"/>
            <wp:effectExtent l="0" t="0" r="14605" b="1143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a:stretch>
                      <a:fillRect/>
                    </a:stretch>
                  </pic:blipFill>
                  <pic:spPr>
                    <a:xfrm>
                      <a:off x="0" y="0"/>
                      <a:ext cx="8862695" cy="2865120"/>
                    </a:xfrm>
                    <a:prstGeom prst="rect">
                      <a:avLst/>
                    </a:prstGeom>
                    <a:noFill/>
                    <a:ln>
                      <a:noFill/>
                    </a:ln>
                  </pic:spPr>
                </pic:pic>
              </a:graphicData>
            </a:graphic>
          </wp:inline>
        </w:drawing>
      </w:r>
    </w:p>
    <w:p w14:paraId="2C134306">
      <w:pPr>
        <w:pStyle w:val="2"/>
      </w:pPr>
    </w:p>
    <w:p w14:paraId="0BBF3855">
      <w:pPr>
        <w:pStyle w:val="2"/>
      </w:pPr>
    </w:p>
    <w:p w14:paraId="5B42A5DC">
      <w:pPr>
        <w:pStyle w:val="2"/>
      </w:pPr>
    </w:p>
    <w:p w14:paraId="460F8F24">
      <w:pPr>
        <w:pStyle w:val="2"/>
      </w:pPr>
    </w:p>
    <w:p w14:paraId="6E829287">
      <w:pPr>
        <w:pStyle w:val="2"/>
      </w:pPr>
    </w:p>
    <w:p w14:paraId="62355135">
      <w:pPr>
        <w:pStyle w:val="2"/>
      </w:pPr>
    </w:p>
    <w:p w14:paraId="3B2D67C4">
      <w:pPr>
        <w:pStyle w:val="2"/>
      </w:pPr>
    </w:p>
    <w:p w14:paraId="450FBC3D">
      <w:pPr>
        <w:pStyle w:val="2"/>
      </w:pPr>
    </w:p>
    <w:p w14:paraId="52480FF9">
      <w:pPr>
        <w:pStyle w:val="2"/>
      </w:pPr>
    </w:p>
    <w:p w14:paraId="0523E976">
      <w:pPr>
        <w:pStyle w:val="2"/>
      </w:pPr>
    </w:p>
    <w:p w14:paraId="329ADDBA">
      <w:pPr>
        <w:pStyle w:val="2"/>
      </w:pPr>
    </w:p>
    <w:p w14:paraId="082CBD3A">
      <w:pPr>
        <w:pStyle w:val="2"/>
        <w:rPr>
          <w:woUserID w:val="1"/>
        </w:rPr>
      </w:pPr>
    </w:p>
    <w:tbl>
      <w:tblPr>
        <w:tblStyle w:val="7"/>
        <w:tblW w:w="13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40"/>
        <w:gridCol w:w="3480"/>
        <w:gridCol w:w="1234"/>
        <w:gridCol w:w="1025"/>
        <w:gridCol w:w="551"/>
        <w:gridCol w:w="1560"/>
        <w:gridCol w:w="840"/>
        <w:gridCol w:w="840"/>
        <w:gridCol w:w="880"/>
      </w:tblGrid>
      <w:tr w14:paraId="451D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nil"/>
              <w:left w:val="nil"/>
              <w:bottom w:val="nil"/>
              <w:right w:val="nil"/>
            </w:tcBorders>
            <w:shd w:val="clear" w:color="auto" w:fill="auto"/>
            <w:tcMar>
              <w:top w:w="15" w:type="dxa"/>
              <w:left w:w="15" w:type="dxa"/>
              <w:right w:w="15" w:type="dxa"/>
            </w:tcMar>
            <w:vAlign w:val="center"/>
          </w:tcPr>
          <w:p w14:paraId="3854086F">
            <w:pPr>
              <w:jc w:val="center"/>
              <w:rPr>
                <w:rFonts w:hint="eastAsia" w:ascii="宋体" w:hAnsi="宋体" w:eastAsia="宋体" w:cs="宋体"/>
                <w:i w:val="0"/>
                <w:color w:val="000000"/>
                <w:sz w:val="20"/>
                <w:szCs w:val="20"/>
                <w:u w:val="none"/>
                <w:woUserID w:val="1"/>
              </w:rPr>
            </w:pPr>
          </w:p>
        </w:tc>
        <w:tc>
          <w:tcPr>
            <w:tcW w:w="3480" w:type="dxa"/>
            <w:tcBorders>
              <w:top w:val="nil"/>
              <w:left w:val="nil"/>
              <w:bottom w:val="nil"/>
              <w:right w:val="nil"/>
            </w:tcBorders>
            <w:shd w:val="clear" w:color="auto" w:fill="auto"/>
            <w:tcMar>
              <w:top w:w="15" w:type="dxa"/>
              <w:left w:w="15" w:type="dxa"/>
              <w:right w:w="15" w:type="dxa"/>
            </w:tcMar>
            <w:vAlign w:val="center"/>
          </w:tcPr>
          <w:p w14:paraId="0A32738C">
            <w:pPr>
              <w:rPr>
                <w:rFonts w:hint="eastAsia" w:ascii="宋体" w:hAnsi="宋体" w:eastAsia="宋体" w:cs="宋体"/>
                <w:i w:val="0"/>
                <w:color w:val="000000"/>
                <w:sz w:val="20"/>
                <w:szCs w:val="20"/>
                <w:u w:val="none"/>
                <w:woUserID w:val="1"/>
              </w:rPr>
            </w:pPr>
          </w:p>
        </w:tc>
        <w:tc>
          <w:tcPr>
            <w:tcW w:w="1234" w:type="dxa"/>
            <w:tcBorders>
              <w:top w:val="nil"/>
              <w:left w:val="nil"/>
              <w:bottom w:val="nil"/>
              <w:right w:val="nil"/>
            </w:tcBorders>
            <w:shd w:val="clear" w:color="auto" w:fill="auto"/>
            <w:tcMar>
              <w:top w:w="15" w:type="dxa"/>
              <w:left w:w="15" w:type="dxa"/>
              <w:right w:w="15" w:type="dxa"/>
            </w:tcMar>
            <w:vAlign w:val="center"/>
          </w:tcPr>
          <w:p w14:paraId="5BC5852E">
            <w:pPr>
              <w:rPr>
                <w:rFonts w:hint="eastAsia" w:ascii="宋体" w:hAnsi="宋体" w:eastAsia="宋体" w:cs="宋体"/>
                <w:i w:val="0"/>
                <w:color w:val="000000"/>
                <w:sz w:val="20"/>
                <w:szCs w:val="20"/>
                <w:u w:val="none"/>
                <w:woUserID w:val="1"/>
              </w:rPr>
            </w:pPr>
          </w:p>
        </w:tc>
        <w:tc>
          <w:tcPr>
            <w:tcW w:w="1025" w:type="dxa"/>
            <w:tcBorders>
              <w:top w:val="nil"/>
              <w:left w:val="nil"/>
              <w:bottom w:val="nil"/>
              <w:right w:val="nil"/>
            </w:tcBorders>
            <w:shd w:val="clear" w:color="auto" w:fill="auto"/>
            <w:tcMar>
              <w:top w:w="15" w:type="dxa"/>
              <w:left w:w="15" w:type="dxa"/>
              <w:right w:w="15" w:type="dxa"/>
            </w:tcMar>
            <w:vAlign w:val="center"/>
          </w:tcPr>
          <w:p w14:paraId="3656B7A0">
            <w:pPr>
              <w:rPr>
                <w:rFonts w:hint="eastAsia" w:ascii="宋体" w:hAnsi="宋体" w:eastAsia="宋体" w:cs="宋体"/>
                <w:i w:val="0"/>
                <w:color w:val="000000"/>
                <w:sz w:val="20"/>
                <w:szCs w:val="20"/>
                <w:u w:val="none"/>
                <w:woUserID w:val="1"/>
              </w:rPr>
            </w:pPr>
          </w:p>
        </w:tc>
        <w:tc>
          <w:tcPr>
            <w:tcW w:w="551" w:type="dxa"/>
            <w:tcBorders>
              <w:top w:val="nil"/>
              <w:left w:val="nil"/>
              <w:bottom w:val="nil"/>
              <w:right w:val="nil"/>
            </w:tcBorders>
            <w:shd w:val="clear" w:color="auto" w:fill="auto"/>
            <w:tcMar>
              <w:top w:w="15" w:type="dxa"/>
              <w:left w:w="15" w:type="dxa"/>
              <w:right w:w="15" w:type="dxa"/>
            </w:tcMar>
            <w:vAlign w:val="center"/>
          </w:tcPr>
          <w:p w14:paraId="3A80157E">
            <w:pPr>
              <w:rPr>
                <w:rFonts w:hint="eastAsia" w:ascii="宋体" w:hAnsi="宋体" w:eastAsia="宋体" w:cs="宋体"/>
                <w:i w:val="0"/>
                <w:color w:val="000000"/>
                <w:sz w:val="20"/>
                <w:szCs w:val="20"/>
                <w:u w:val="none"/>
                <w:woUserID w:val="1"/>
              </w:rPr>
            </w:pPr>
          </w:p>
        </w:tc>
        <w:tc>
          <w:tcPr>
            <w:tcW w:w="1560" w:type="dxa"/>
            <w:tcBorders>
              <w:top w:val="nil"/>
              <w:left w:val="nil"/>
              <w:bottom w:val="nil"/>
              <w:right w:val="nil"/>
            </w:tcBorders>
            <w:shd w:val="clear" w:color="auto" w:fill="auto"/>
            <w:noWrap/>
            <w:tcMar>
              <w:top w:w="15" w:type="dxa"/>
              <w:left w:w="15" w:type="dxa"/>
              <w:right w:w="15" w:type="dxa"/>
            </w:tcMar>
            <w:vAlign w:val="bottom"/>
          </w:tcPr>
          <w:p w14:paraId="251FE370">
            <w:pPr>
              <w:rPr>
                <w:rFonts w:hint="eastAsia" w:ascii="Calibri" w:hAnsi="Calibri" w:cs="Calibri"/>
                <w:i w:val="0"/>
                <w:color w:val="000000"/>
                <w:sz w:val="22"/>
                <w:szCs w:val="22"/>
                <w:u w:val="none"/>
                <w:woUserID w:val="1"/>
              </w:rPr>
            </w:pPr>
          </w:p>
        </w:tc>
        <w:tc>
          <w:tcPr>
            <w:tcW w:w="840" w:type="dxa"/>
            <w:tcBorders>
              <w:top w:val="nil"/>
              <w:left w:val="nil"/>
              <w:bottom w:val="nil"/>
              <w:right w:val="nil"/>
            </w:tcBorders>
            <w:shd w:val="clear" w:color="auto" w:fill="auto"/>
            <w:noWrap/>
            <w:tcMar>
              <w:top w:w="15" w:type="dxa"/>
              <w:left w:w="15" w:type="dxa"/>
              <w:right w:w="15" w:type="dxa"/>
            </w:tcMar>
            <w:vAlign w:val="bottom"/>
          </w:tcPr>
          <w:p w14:paraId="3E78F43F">
            <w:pPr>
              <w:rPr>
                <w:rFonts w:hint="default" w:ascii="Calibri" w:hAnsi="Calibri" w:cs="Calibri"/>
                <w:i w:val="0"/>
                <w:color w:val="000000"/>
                <w:sz w:val="22"/>
                <w:szCs w:val="22"/>
                <w:u w:val="none"/>
                <w:woUserID w:val="1"/>
              </w:rPr>
            </w:pPr>
          </w:p>
        </w:tc>
        <w:tc>
          <w:tcPr>
            <w:tcW w:w="840" w:type="dxa"/>
            <w:tcBorders>
              <w:top w:val="nil"/>
              <w:left w:val="nil"/>
              <w:bottom w:val="nil"/>
              <w:right w:val="nil"/>
            </w:tcBorders>
            <w:shd w:val="clear" w:color="auto" w:fill="auto"/>
            <w:noWrap/>
            <w:tcMar>
              <w:top w:w="15" w:type="dxa"/>
              <w:left w:w="15" w:type="dxa"/>
              <w:right w:w="15" w:type="dxa"/>
            </w:tcMar>
            <w:vAlign w:val="bottom"/>
          </w:tcPr>
          <w:p w14:paraId="302C2C9E">
            <w:pPr>
              <w:rPr>
                <w:rFonts w:hint="default" w:ascii="Calibri" w:hAnsi="Calibri" w:cs="Calibri"/>
                <w:i w:val="0"/>
                <w:color w:val="000000"/>
                <w:sz w:val="22"/>
                <w:szCs w:val="22"/>
                <w:u w:val="none"/>
                <w:woUserID w:val="1"/>
              </w:rPr>
            </w:pPr>
          </w:p>
        </w:tc>
        <w:tc>
          <w:tcPr>
            <w:tcW w:w="880" w:type="dxa"/>
            <w:tcBorders>
              <w:top w:val="nil"/>
              <w:left w:val="nil"/>
              <w:bottom w:val="nil"/>
              <w:right w:val="nil"/>
            </w:tcBorders>
            <w:shd w:val="clear" w:color="auto" w:fill="auto"/>
            <w:tcMar>
              <w:top w:w="15" w:type="dxa"/>
              <w:left w:w="15" w:type="dxa"/>
              <w:right w:w="15" w:type="dxa"/>
            </w:tcMar>
            <w:vAlign w:val="center"/>
          </w:tcPr>
          <w:p w14:paraId="5CA28128">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表03</w:t>
            </w:r>
          </w:p>
        </w:tc>
      </w:tr>
      <w:tr w14:paraId="0CFE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350" w:type="dxa"/>
            <w:gridSpan w:val="9"/>
            <w:tcBorders>
              <w:top w:val="nil"/>
              <w:left w:val="nil"/>
              <w:bottom w:val="nil"/>
              <w:right w:val="nil"/>
            </w:tcBorders>
            <w:shd w:val="clear" w:color="auto" w:fill="auto"/>
            <w:noWrap/>
            <w:tcMar>
              <w:top w:w="15" w:type="dxa"/>
              <w:left w:w="15" w:type="dxa"/>
              <w:right w:w="15" w:type="dxa"/>
            </w:tcMar>
            <w:vAlign w:val="center"/>
          </w:tcPr>
          <w:p w14:paraId="4E111EA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woUserID w:val="1"/>
              </w:rPr>
            </w:pPr>
            <w:r>
              <w:rPr>
                <w:rFonts w:hint="default" w:ascii="方正小标宋简体" w:hAnsi="方正小标宋简体" w:eastAsia="方正小标宋简体" w:cs="方正小标宋简体"/>
                <w:i w:val="0"/>
                <w:color w:val="000000"/>
                <w:kern w:val="0"/>
                <w:sz w:val="44"/>
                <w:szCs w:val="44"/>
                <w:u w:val="none"/>
                <w:lang w:val="en-US" w:eastAsia="zh-CN" w:bidi="ar"/>
                <w:woUserID w:val="1"/>
              </w:rPr>
              <w:t>2025年单位支出预算总表</w:t>
            </w:r>
          </w:p>
        </w:tc>
      </w:tr>
      <w:tr w14:paraId="499E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nil"/>
              <w:left w:val="nil"/>
              <w:bottom w:val="single" w:color="000000" w:sz="4" w:space="0"/>
              <w:right w:val="nil"/>
            </w:tcBorders>
            <w:shd w:val="clear" w:color="auto" w:fill="auto"/>
            <w:noWrap/>
            <w:tcMar>
              <w:top w:w="15" w:type="dxa"/>
              <w:left w:w="15" w:type="dxa"/>
              <w:right w:w="15" w:type="dxa"/>
            </w:tcMar>
            <w:vAlign w:val="center"/>
          </w:tcPr>
          <w:p w14:paraId="6A2D30DC">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507047-德清县新市镇中心卫生院</w:t>
            </w:r>
          </w:p>
        </w:tc>
        <w:tc>
          <w:tcPr>
            <w:tcW w:w="3480" w:type="dxa"/>
            <w:tcBorders>
              <w:top w:val="nil"/>
              <w:left w:val="nil"/>
              <w:bottom w:val="nil"/>
              <w:right w:val="nil"/>
            </w:tcBorders>
            <w:shd w:val="clear" w:color="auto" w:fill="auto"/>
            <w:tcMar>
              <w:top w:w="15" w:type="dxa"/>
              <w:left w:w="15" w:type="dxa"/>
              <w:right w:w="15" w:type="dxa"/>
            </w:tcMar>
            <w:vAlign w:val="center"/>
          </w:tcPr>
          <w:p w14:paraId="4B07A7F3">
            <w:pPr>
              <w:jc w:val="center"/>
              <w:rPr>
                <w:rFonts w:hint="eastAsia" w:ascii="宋体" w:hAnsi="宋体" w:eastAsia="宋体" w:cs="宋体"/>
                <w:i w:val="0"/>
                <w:color w:val="000000"/>
                <w:sz w:val="20"/>
                <w:szCs w:val="20"/>
                <w:u w:val="none"/>
                <w:woUserID w:val="1"/>
              </w:rPr>
            </w:pPr>
          </w:p>
        </w:tc>
        <w:tc>
          <w:tcPr>
            <w:tcW w:w="1234" w:type="dxa"/>
            <w:tcBorders>
              <w:top w:val="nil"/>
              <w:left w:val="nil"/>
              <w:bottom w:val="nil"/>
              <w:right w:val="nil"/>
            </w:tcBorders>
            <w:shd w:val="clear" w:color="auto" w:fill="auto"/>
            <w:tcMar>
              <w:top w:w="15" w:type="dxa"/>
              <w:left w:w="15" w:type="dxa"/>
              <w:right w:w="15" w:type="dxa"/>
            </w:tcMar>
            <w:vAlign w:val="center"/>
          </w:tcPr>
          <w:p w14:paraId="0DDF0677">
            <w:pPr>
              <w:rPr>
                <w:rFonts w:hint="eastAsia" w:ascii="宋体" w:hAnsi="宋体" w:eastAsia="宋体" w:cs="宋体"/>
                <w:i w:val="0"/>
                <w:color w:val="000000"/>
                <w:sz w:val="20"/>
                <w:szCs w:val="20"/>
                <w:u w:val="none"/>
                <w:woUserID w:val="1"/>
              </w:rPr>
            </w:pPr>
          </w:p>
        </w:tc>
        <w:tc>
          <w:tcPr>
            <w:tcW w:w="1025" w:type="dxa"/>
            <w:tcBorders>
              <w:top w:val="nil"/>
              <w:left w:val="nil"/>
              <w:bottom w:val="nil"/>
              <w:right w:val="nil"/>
            </w:tcBorders>
            <w:shd w:val="clear" w:color="auto" w:fill="auto"/>
            <w:tcMar>
              <w:top w:w="15" w:type="dxa"/>
              <w:left w:w="15" w:type="dxa"/>
              <w:right w:w="15" w:type="dxa"/>
            </w:tcMar>
            <w:vAlign w:val="center"/>
          </w:tcPr>
          <w:p w14:paraId="152E32D8">
            <w:pPr>
              <w:rPr>
                <w:rFonts w:hint="eastAsia" w:ascii="宋体" w:hAnsi="宋体" w:eastAsia="宋体" w:cs="宋体"/>
                <w:i w:val="0"/>
                <w:color w:val="000000"/>
                <w:sz w:val="20"/>
                <w:szCs w:val="20"/>
                <w:u w:val="none"/>
                <w:woUserID w:val="1"/>
              </w:rPr>
            </w:pPr>
          </w:p>
        </w:tc>
        <w:tc>
          <w:tcPr>
            <w:tcW w:w="551" w:type="dxa"/>
            <w:tcBorders>
              <w:top w:val="nil"/>
              <w:left w:val="nil"/>
              <w:bottom w:val="nil"/>
              <w:right w:val="nil"/>
            </w:tcBorders>
            <w:shd w:val="clear" w:color="auto" w:fill="auto"/>
            <w:tcMar>
              <w:top w:w="15" w:type="dxa"/>
              <w:left w:w="15" w:type="dxa"/>
              <w:right w:w="15" w:type="dxa"/>
            </w:tcMar>
            <w:vAlign w:val="center"/>
          </w:tcPr>
          <w:p w14:paraId="0977900C">
            <w:pPr>
              <w:rPr>
                <w:rFonts w:hint="eastAsia" w:ascii="宋体" w:hAnsi="宋体" w:eastAsia="宋体" w:cs="宋体"/>
                <w:i w:val="0"/>
                <w:color w:val="000000"/>
                <w:sz w:val="20"/>
                <w:szCs w:val="20"/>
                <w:u w:val="none"/>
                <w:woUserID w:val="1"/>
              </w:rPr>
            </w:pPr>
          </w:p>
        </w:tc>
        <w:tc>
          <w:tcPr>
            <w:tcW w:w="1560" w:type="dxa"/>
            <w:tcBorders>
              <w:top w:val="nil"/>
              <w:left w:val="nil"/>
              <w:bottom w:val="nil"/>
              <w:right w:val="nil"/>
            </w:tcBorders>
            <w:shd w:val="clear" w:color="auto" w:fill="auto"/>
            <w:noWrap/>
            <w:tcMar>
              <w:top w:w="15" w:type="dxa"/>
              <w:left w:w="15" w:type="dxa"/>
              <w:right w:w="15" w:type="dxa"/>
            </w:tcMar>
            <w:vAlign w:val="bottom"/>
          </w:tcPr>
          <w:p w14:paraId="19555F4D">
            <w:pPr>
              <w:rPr>
                <w:rFonts w:hint="default" w:ascii="Calibri" w:hAnsi="Calibri" w:cs="Calibri"/>
                <w:i w:val="0"/>
                <w:color w:val="000000"/>
                <w:sz w:val="22"/>
                <w:szCs w:val="22"/>
                <w:u w:val="none"/>
                <w:woUserID w:val="1"/>
              </w:rPr>
            </w:pPr>
          </w:p>
        </w:tc>
        <w:tc>
          <w:tcPr>
            <w:tcW w:w="840" w:type="dxa"/>
            <w:tcBorders>
              <w:top w:val="nil"/>
              <w:left w:val="nil"/>
              <w:bottom w:val="nil"/>
              <w:right w:val="nil"/>
            </w:tcBorders>
            <w:shd w:val="clear" w:color="auto" w:fill="auto"/>
            <w:noWrap/>
            <w:tcMar>
              <w:top w:w="15" w:type="dxa"/>
              <w:left w:w="15" w:type="dxa"/>
              <w:right w:w="15" w:type="dxa"/>
            </w:tcMar>
            <w:vAlign w:val="bottom"/>
          </w:tcPr>
          <w:p w14:paraId="52951DB0">
            <w:pPr>
              <w:rPr>
                <w:rFonts w:hint="default" w:ascii="Calibri" w:hAnsi="Calibri" w:cs="Calibri"/>
                <w:i w:val="0"/>
                <w:color w:val="000000"/>
                <w:sz w:val="22"/>
                <w:szCs w:val="22"/>
                <w:u w:val="none"/>
                <w:woUserID w:val="1"/>
              </w:rPr>
            </w:pPr>
          </w:p>
        </w:tc>
        <w:tc>
          <w:tcPr>
            <w:tcW w:w="840" w:type="dxa"/>
            <w:tcBorders>
              <w:top w:val="nil"/>
              <w:left w:val="nil"/>
              <w:bottom w:val="nil"/>
              <w:right w:val="nil"/>
            </w:tcBorders>
            <w:shd w:val="clear" w:color="auto" w:fill="auto"/>
            <w:noWrap/>
            <w:tcMar>
              <w:top w:w="15" w:type="dxa"/>
              <w:left w:w="15" w:type="dxa"/>
              <w:right w:w="15" w:type="dxa"/>
            </w:tcMar>
            <w:vAlign w:val="bottom"/>
          </w:tcPr>
          <w:p w14:paraId="1532116A">
            <w:pPr>
              <w:rPr>
                <w:rFonts w:hint="default" w:ascii="Calibri" w:hAnsi="Calibri" w:cs="Calibri"/>
                <w:i w:val="0"/>
                <w:color w:val="000000"/>
                <w:sz w:val="22"/>
                <w:szCs w:val="22"/>
                <w:u w:val="none"/>
                <w:woUserID w:val="1"/>
              </w:rPr>
            </w:pPr>
          </w:p>
        </w:tc>
        <w:tc>
          <w:tcPr>
            <w:tcW w:w="880" w:type="dxa"/>
            <w:tcBorders>
              <w:top w:val="nil"/>
              <w:left w:val="nil"/>
              <w:bottom w:val="nil"/>
              <w:right w:val="nil"/>
            </w:tcBorders>
            <w:shd w:val="clear" w:color="auto" w:fill="auto"/>
            <w:noWrap/>
            <w:tcMar>
              <w:top w:w="15" w:type="dxa"/>
              <w:left w:w="15" w:type="dxa"/>
              <w:right w:w="15" w:type="dxa"/>
            </w:tcMar>
            <w:vAlign w:val="center"/>
          </w:tcPr>
          <w:p w14:paraId="0B574653">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单位:万元</w:t>
            </w:r>
          </w:p>
        </w:tc>
      </w:tr>
      <w:tr w14:paraId="446C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78E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科目编码</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FA17">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科目名称</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9B4F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总计</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07C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基本支出</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88F3">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项目支出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749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事业单位经营支出</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EEB2">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上缴上级支出</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D90D">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对附属单位补助支出</w:t>
            </w:r>
          </w:p>
        </w:tc>
      </w:tr>
      <w:tr w14:paraId="2A78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C6981">
            <w:pPr>
              <w:jc w:val="center"/>
              <w:rPr>
                <w:rFonts w:hint="eastAsia" w:ascii="宋体" w:hAnsi="宋体" w:eastAsia="宋体" w:cs="宋体"/>
                <w:i w:val="0"/>
                <w:color w:val="000000"/>
                <w:sz w:val="20"/>
                <w:szCs w:val="20"/>
                <w:u w:val="none"/>
                <w:woUserID w:val="1"/>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F0BE">
            <w:pPr>
              <w:jc w:val="center"/>
              <w:rPr>
                <w:rFonts w:hint="eastAsia" w:ascii="宋体" w:hAnsi="宋体" w:eastAsia="宋体" w:cs="宋体"/>
                <w:i w:val="0"/>
                <w:color w:val="000000"/>
                <w:sz w:val="20"/>
                <w:szCs w:val="20"/>
                <w:u w:val="none"/>
                <w:woUserID w:val="1"/>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7B6C">
            <w:pPr>
              <w:jc w:val="center"/>
              <w:rPr>
                <w:rFonts w:hint="eastAsia" w:ascii="宋体" w:hAnsi="宋体" w:eastAsia="宋体" w:cs="宋体"/>
                <w:i w:val="0"/>
                <w:color w:val="000000"/>
                <w:sz w:val="20"/>
                <w:szCs w:val="20"/>
                <w:u w:val="none"/>
                <w:woUserID w:val="1"/>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EF58F">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人员支出</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AC4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日常公用支出</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070D">
            <w:pPr>
              <w:jc w:val="center"/>
              <w:rPr>
                <w:rFonts w:hint="eastAsia" w:ascii="宋体" w:hAnsi="宋体" w:eastAsia="宋体" w:cs="宋体"/>
                <w:i w:val="0"/>
                <w:color w:val="000000"/>
                <w:sz w:val="20"/>
                <w:szCs w:val="20"/>
                <w:u w:val="none"/>
                <w:woUserID w:val="1"/>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760D">
            <w:pPr>
              <w:jc w:val="center"/>
              <w:rPr>
                <w:rFonts w:hint="eastAsia" w:ascii="宋体" w:hAnsi="宋体" w:eastAsia="宋体" w:cs="宋体"/>
                <w:i w:val="0"/>
                <w:color w:val="000000"/>
                <w:sz w:val="20"/>
                <w:szCs w:val="20"/>
                <w:u w:val="none"/>
                <w:woUserID w:val="1"/>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C558">
            <w:pPr>
              <w:jc w:val="center"/>
              <w:rPr>
                <w:rFonts w:hint="eastAsia" w:ascii="宋体" w:hAnsi="宋体" w:eastAsia="宋体" w:cs="宋体"/>
                <w:i w:val="0"/>
                <w:color w:val="000000"/>
                <w:sz w:val="20"/>
                <w:szCs w:val="20"/>
                <w:u w:val="none"/>
                <w:woUserID w:val="1"/>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487D5">
            <w:pPr>
              <w:jc w:val="center"/>
              <w:rPr>
                <w:rFonts w:hint="eastAsia" w:ascii="宋体" w:hAnsi="宋体" w:eastAsia="宋体" w:cs="宋体"/>
                <w:i w:val="0"/>
                <w:color w:val="000000"/>
                <w:sz w:val="20"/>
                <w:szCs w:val="20"/>
                <w:u w:val="none"/>
                <w:woUserID w:val="1"/>
              </w:rPr>
            </w:pPr>
          </w:p>
        </w:tc>
      </w:tr>
      <w:tr w14:paraId="51C7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D39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6A1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3BD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932C6">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2D6C">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A0FE">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F254">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CF9B">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7A9A">
            <w:pPr>
              <w:keepNext w:val="0"/>
              <w:keepLines w:val="0"/>
              <w:widowControl/>
              <w:suppressLineNumbers w:val="0"/>
              <w:jc w:val="center"/>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7</w:t>
            </w:r>
          </w:p>
        </w:tc>
      </w:tr>
      <w:tr w14:paraId="4696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B96B">
            <w:pPr>
              <w:rPr>
                <w:rFonts w:hint="eastAsia" w:ascii="宋体" w:hAnsi="宋体" w:eastAsia="宋体" w:cs="宋体"/>
                <w:i w:val="0"/>
                <w:color w:val="000000"/>
                <w:sz w:val="22"/>
                <w:szCs w:val="22"/>
                <w:u w:val="none"/>
                <w:woUserID w:val="1"/>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D19D">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合计</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DE9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1272.50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F907">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66.52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E8AF">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72B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1205.98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BE07">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7A1D">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F57B">
            <w:pPr>
              <w:jc w:val="right"/>
              <w:rPr>
                <w:rFonts w:hint="eastAsia" w:ascii="宋体" w:hAnsi="宋体" w:eastAsia="宋体" w:cs="宋体"/>
                <w:i w:val="0"/>
                <w:color w:val="000000"/>
                <w:sz w:val="20"/>
                <w:szCs w:val="20"/>
                <w:u w:val="none"/>
                <w:woUserID w:val="1"/>
              </w:rPr>
            </w:pPr>
          </w:p>
        </w:tc>
      </w:tr>
      <w:tr w14:paraId="6158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6E56">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210</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2A19">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DDF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1272.50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C639">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66.52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CCB7">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2DF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1205.98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419D">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69DF">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21C6">
            <w:pPr>
              <w:jc w:val="right"/>
              <w:rPr>
                <w:rFonts w:hint="eastAsia" w:ascii="宋体" w:hAnsi="宋体" w:eastAsia="宋体" w:cs="宋体"/>
                <w:i w:val="0"/>
                <w:color w:val="000000"/>
                <w:sz w:val="20"/>
                <w:szCs w:val="20"/>
                <w:u w:val="none"/>
                <w:woUserID w:val="1"/>
              </w:rPr>
            </w:pPr>
          </w:p>
        </w:tc>
      </w:tr>
      <w:tr w14:paraId="5CA8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8CC2">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21003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7391">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基层医疗卫生机构</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4B2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571.44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F7C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40.22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2EDF">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6D94">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531.22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E394">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25BE">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6F55">
            <w:pPr>
              <w:jc w:val="right"/>
              <w:rPr>
                <w:rFonts w:hint="eastAsia" w:ascii="宋体" w:hAnsi="宋体" w:eastAsia="宋体" w:cs="宋体"/>
                <w:i w:val="0"/>
                <w:color w:val="000000"/>
                <w:sz w:val="20"/>
                <w:szCs w:val="20"/>
                <w:u w:val="none"/>
                <w:woUserID w:val="1"/>
              </w:rPr>
            </w:pPr>
          </w:p>
        </w:tc>
      </w:tr>
      <w:tr w14:paraId="3C38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EA1E">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2100302</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ADA2">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乡镇卫生院</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729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571.44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96FE">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40.22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86DA">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5C9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531.22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DB5F">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724B">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9F47">
            <w:pPr>
              <w:jc w:val="right"/>
              <w:rPr>
                <w:rFonts w:hint="eastAsia" w:ascii="宋体" w:hAnsi="宋体" w:eastAsia="宋体" w:cs="宋体"/>
                <w:i w:val="0"/>
                <w:color w:val="000000"/>
                <w:sz w:val="20"/>
                <w:szCs w:val="20"/>
                <w:u w:val="none"/>
                <w:woUserID w:val="1"/>
              </w:rPr>
            </w:pPr>
          </w:p>
        </w:tc>
      </w:tr>
      <w:tr w14:paraId="5B5C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6F71">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21004</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D5F2">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公共卫生</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789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594.38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482C">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3E71">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FE0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594.38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B32F8">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EE12">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B9BB">
            <w:pPr>
              <w:jc w:val="right"/>
              <w:rPr>
                <w:rFonts w:hint="eastAsia" w:ascii="宋体" w:hAnsi="宋体" w:eastAsia="宋体" w:cs="宋体"/>
                <w:i w:val="0"/>
                <w:color w:val="000000"/>
                <w:sz w:val="20"/>
                <w:szCs w:val="20"/>
                <w:u w:val="none"/>
                <w:woUserID w:val="1"/>
              </w:rPr>
            </w:pPr>
          </w:p>
        </w:tc>
      </w:tr>
      <w:tr w14:paraId="1C65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C942">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2100408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1A3E">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基本公共卫生服务</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E58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594.38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1614">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D6F37">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1DCC">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594.38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FF06">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3075">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C2F9">
            <w:pPr>
              <w:jc w:val="right"/>
              <w:rPr>
                <w:rFonts w:hint="eastAsia" w:ascii="宋体" w:hAnsi="宋体" w:eastAsia="宋体" w:cs="宋体"/>
                <w:i w:val="0"/>
                <w:color w:val="000000"/>
                <w:sz w:val="20"/>
                <w:szCs w:val="20"/>
                <w:u w:val="none"/>
                <w:woUserID w:val="1"/>
              </w:rPr>
            </w:pPr>
          </w:p>
        </w:tc>
      </w:tr>
      <w:tr w14:paraId="266B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4B0D">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21011</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7244">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行政事业单位医疗</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81C0">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26.30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76C5">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26.30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2612">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D6BE">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857A">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F475">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4DD1">
            <w:pPr>
              <w:jc w:val="right"/>
              <w:rPr>
                <w:rFonts w:hint="eastAsia" w:ascii="宋体" w:hAnsi="宋体" w:eastAsia="宋体" w:cs="宋体"/>
                <w:i w:val="0"/>
                <w:color w:val="000000"/>
                <w:sz w:val="20"/>
                <w:szCs w:val="20"/>
                <w:u w:val="none"/>
                <w:woUserID w:val="1"/>
              </w:rPr>
            </w:pPr>
          </w:p>
        </w:tc>
      </w:tr>
      <w:tr w14:paraId="2A39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6346">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2101103</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DC46">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公务员医疗补助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2F4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26.30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B5D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26.30</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E094C">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BC51">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22FC">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67ED">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4943">
            <w:pPr>
              <w:jc w:val="right"/>
              <w:rPr>
                <w:rFonts w:hint="eastAsia" w:ascii="宋体" w:hAnsi="宋体" w:eastAsia="宋体" w:cs="宋体"/>
                <w:i w:val="0"/>
                <w:color w:val="000000"/>
                <w:sz w:val="20"/>
                <w:szCs w:val="20"/>
                <w:u w:val="none"/>
                <w:woUserID w:val="1"/>
              </w:rPr>
            </w:pPr>
          </w:p>
        </w:tc>
      </w:tr>
      <w:tr w14:paraId="2817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8A58">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21098</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2E48">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超长期特别国债安排的支出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0680">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14.00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83E8">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19C96">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968A">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14.00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3C09">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3963">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76E4">
            <w:pPr>
              <w:jc w:val="right"/>
              <w:rPr>
                <w:rFonts w:hint="eastAsia" w:ascii="宋体" w:hAnsi="宋体" w:eastAsia="宋体" w:cs="宋体"/>
                <w:i w:val="0"/>
                <w:color w:val="000000"/>
                <w:sz w:val="20"/>
                <w:szCs w:val="20"/>
                <w:u w:val="none"/>
                <w:woUserID w:val="1"/>
              </w:rPr>
            </w:pPr>
          </w:p>
        </w:tc>
      </w:tr>
      <w:tr w14:paraId="0755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7993">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2109899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E9880">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3E76">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14.00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304D">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0E01">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B0BF">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14.00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7217">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6F04A">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9D09">
            <w:pPr>
              <w:jc w:val="right"/>
              <w:rPr>
                <w:rFonts w:hint="eastAsia" w:ascii="宋体" w:hAnsi="宋体" w:eastAsia="宋体" w:cs="宋体"/>
                <w:i w:val="0"/>
                <w:color w:val="000000"/>
                <w:sz w:val="20"/>
                <w:szCs w:val="20"/>
                <w:u w:val="none"/>
                <w:woUserID w:val="1"/>
              </w:rPr>
            </w:pPr>
          </w:p>
        </w:tc>
      </w:tr>
      <w:tr w14:paraId="3745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2846">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21099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05A5">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9D7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66.38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11CB">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D567">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F5C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BFFC">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5F96">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16C2">
            <w:pPr>
              <w:jc w:val="right"/>
              <w:rPr>
                <w:rFonts w:hint="eastAsia" w:ascii="宋体" w:hAnsi="宋体" w:eastAsia="宋体" w:cs="宋体"/>
                <w:i w:val="0"/>
                <w:color w:val="000000"/>
                <w:sz w:val="20"/>
                <w:szCs w:val="20"/>
                <w:u w:val="none"/>
                <w:woUserID w:val="1"/>
              </w:rPr>
            </w:pPr>
          </w:p>
        </w:tc>
      </w:tr>
      <w:tr w14:paraId="6AC2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2EC6">
            <w:pPr>
              <w:keepNext w:val="0"/>
              <w:keepLines w:val="0"/>
              <w:widowControl/>
              <w:suppressLineNumbers w:val="0"/>
              <w:jc w:val="left"/>
              <w:textAlignment w:val="center"/>
              <w:rPr>
                <w:rFonts w:hint="eastAsia" w:ascii="宋体" w:hAnsi="宋体" w:eastAsia="宋体" w:cs="宋体"/>
                <w:i w:val="0"/>
                <w:color w:val="000000"/>
                <w:sz w:val="22"/>
                <w:szCs w:val="22"/>
                <w:u w:val="none"/>
                <w:woUserID w:val="1"/>
              </w:rPr>
            </w:pPr>
            <w:r>
              <w:rPr>
                <w:rFonts w:hint="eastAsia" w:ascii="宋体" w:hAnsi="宋体" w:eastAsia="宋体" w:cs="宋体"/>
                <w:i w:val="0"/>
                <w:color w:val="000000"/>
                <w:kern w:val="0"/>
                <w:sz w:val="22"/>
                <w:szCs w:val="22"/>
                <w:u w:val="none"/>
                <w:lang w:val="en-US" w:eastAsia="zh-CN" w:bidi="ar"/>
                <w:woUserID w:val="1"/>
              </w:rPr>
              <w:t>　　2109999</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8CE3">
            <w:pPr>
              <w:keepNext w:val="0"/>
              <w:keepLines w:val="0"/>
              <w:widowControl/>
              <w:suppressLineNumbers w:val="0"/>
              <w:jc w:val="lef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　　其他卫生健康支出</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4B51">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66.38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1CD1">
            <w:pPr>
              <w:jc w:val="right"/>
              <w:rPr>
                <w:rFonts w:hint="eastAsia" w:ascii="宋体" w:hAnsi="宋体" w:eastAsia="宋体" w:cs="宋体"/>
                <w:i w:val="0"/>
                <w:color w:val="000000"/>
                <w:sz w:val="20"/>
                <w:szCs w:val="20"/>
                <w:u w:val="none"/>
                <w:woUserID w:val="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B835">
            <w:pPr>
              <w:jc w:val="right"/>
              <w:rPr>
                <w:rFonts w:hint="eastAsia" w:ascii="宋体" w:hAnsi="宋体" w:eastAsia="宋体" w:cs="宋体"/>
                <w:i w:val="0"/>
                <w:color w:val="000000"/>
                <w:sz w:val="20"/>
                <w:szCs w:val="20"/>
                <w:u w:val="none"/>
                <w:woUserID w:val="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B966D">
            <w:pPr>
              <w:keepNext w:val="0"/>
              <w:keepLines w:val="0"/>
              <w:widowControl/>
              <w:suppressLineNumbers w:val="0"/>
              <w:jc w:val="right"/>
              <w:textAlignment w:val="center"/>
              <w:rPr>
                <w:rFonts w:hint="eastAsia" w:ascii="宋体" w:hAnsi="宋体" w:eastAsia="宋体" w:cs="宋体"/>
                <w:i w:val="0"/>
                <w:color w:val="000000"/>
                <w:sz w:val="20"/>
                <w:szCs w:val="20"/>
                <w:u w:val="none"/>
                <w:woUserID w:val="1"/>
              </w:rPr>
            </w:pPr>
            <w:r>
              <w:rPr>
                <w:rFonts w:hint="eastAsia" w:ascii="宋体" w:hAnsi="宋体" w:eastAsia="宋体" w:cs="宋体"/>
                <w:i w:val="0"/>
                <w:color w:val="000000"/>
                <w:kern w:val="0"/>
                <w:sz w:val="20"/>
                <w:szCs w:val="20"/>
                <w:u w:val="none"/>
                <w:lang w:val="en-US" w:eastAsia="zh-CN" w:bidi="ar"/>
                <w:woUserID w:val="1"/>
              </w:rPr>
              <w:t>66.38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1BFA">
            <w:pPr>
              <w:jc w:val="right"/>
              <w:rPr>
                <w:rFonts w:hint="eastAsia" w:ascii="宋体" w:hAnsi="宋体" w:eastAsia="宋体" w:cs="宋体"/>
                <w:i w:val="0"/>
                <w:color w:val="000000"/>
                <w:sz w:val="20"/>
                <w:szCs w:val="20"/>
                <w:u w:val="none"/>
                <w:woUserID w:val="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E642">
            <w:pPr>
              <w:jc w:val="right"/>
              <w:rPr>
                <w:rFonts w:hint="eastAsia" w:ascii="宋体" w:hAnsi="宋体" w:eastAsia="宋体" w:cs="宋体"/>
                <w:i w:val="0"/>
                <w:color w:val="000000"/>
                <w:sz w:val="20"/>
                <w:szCs w:val="20"/>
                <w:u w:val="none"/>
                <w:woUserID w:val="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F670">
            <w:pPr>
              <w:jc w:val="right"/>
              <w:rPr>
                <w:rFonts w:hint="eastAsia" w:ascii="宋体" w:hAnsi="宋体" w:eastAsia="宋体" w:cs="宋体"/>
                <w:i w:val="0"/>
                <w:color w:val="000000"/>
                <w:sz w:val="20"/>
                <w:szCs w:val="20"/>
                <w:u w:val="none"/>
                <w:woUserID w:val="1"/>
              </w:rPr>
            </w:pPr>
          </w:p>
        </w:tc>
      </w:tr>
    </w:tbl>
    <w:p w14:paraId="77F2E6B7">
      <w:pPr>
        <w:pStyle w:val="2"/>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pgNumType w:start="6"/>
          <w:cols w:space="425" w:num="1"/>
          <w:docGrid w:type="lines" w:linePitch="312" w:charSpace="0"/>
        </w:sectPr>
      </w:pPr>
    </w:p>
    <w:p w14:paraId="4007695C">
      <w:pPr>
        <w:pStyle w:val="2"/>
      </w:pPr>
      <w:r>
        <w:drawing>
          <wp:inline distT="0" distB="0" distL="114300" distR="114300">
            <wp:extent cx="8585200" cy="5274945"/>
            <wp:effectExtent l="0" t="0" r="6350" b="19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4"/>
                    <a:stretch>
                      <a:fillRect/>
                    </a:stretch>
                  </pic:blipFill>
                  <pic:spPr>
                    <a:xfrm>
                      <a:off x="0" y="0"/>
                      <a:ext cx="8585200" cy="5274945"/>
                    </a:xfrm>
                    <a:prstGeom prst="rect">
                      <a:avLst/>
                    </a:prstGeom>
                    <a:noFill/>
                    <a:ln>
                      <a:noFill/>
                    </a:ln>
                  </pic:spPr>
                </pic:pic>
              </a:graphicData>
            </a:graphic>
          </wp:inline>
        </w:drawing>
      </w:r>
    </w:p>
    <w:p w14:paraId="0F00FF35">
      <w:pPr>
        <w:pStyle w:val="2"/>
      </w:pPr>
      <w:r>
        <w:drawing>
          <wp:inline distT="0" distB="0" distL="114300" distR="114300">
            <wp:extent cx="7562850" cy="440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7562850" cy="4400550"/>
                    </a:xfrm>
                    <a:prstGeom prst="rect">
                      <a:avLst/>
                    </a:prstGeom>
                    <a:noFill/>
                    <a:ln>
                      <a:noFill/>
                    </a:ln>
                  </pic:spPr>
                </pic:pic>
              </a:graphicData>
            </a:graphic>
          </wp:inline>
        </w:drawing>
      </w:r>
    </w:p>
    <w:p w14:paraId="100DF707">
      <w:pPr>
        <w:pStyle w:val="2"/>
      </w:pPr>
    </w:p>
    <w:p w14:paraId="4B244CD8">
      <w:pPr>
        <w:pStyle w:val="2"/>
      </w:pPr>
    </w:p>
    <w:p w14:paraId="7BB884DB">
      <w:pPr>
        <w:pStyle w:val="2"/>
      </w:pPr>
    </w:p>
    <w:p w14:paraId="037639DE">
      <w:pPr>
        <w:pStyle w:val="2"/>
      </w:pPr>
    </w:p>
    <w:p w14:paraId="4E5BA03B">
      <w:pPr>
        <w:pStyle w:val="2"/>
      </w:pPr>
    </w:p>
    <w:p w14:paraId="15BB6C70">
      <w:pPr>
        <w:pStyle w:val="2"/>
      </w:pPr>
    </w:p>
    <w:p w14:paraId="65CFB482">
      <w:pPr>
        <w:pStyle w:val="2"/>
      </w:pPr>
    </w:p>
    <w:p w14:paraId="7FDE3BC6">
      <w:pPr>
        <w:pStyle w:val="2"/>
      </w:pPr>
      <w:r>
        <w:drawing>
          <wp:inline distT="0" distB="0" distL="114300" distR="114300">
            <wp:extent cx="7820025" cy="2867025"/>
            <wp:effectExtent l="0" t="0" r="9525" b="952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6"/>
                    <a:stretch>
                      <a:fillRect/>
                    </a:stretch>
                  </pic:blipFill>
                  <pic:spPr>
                    <a:xfrm>
                      <a:off x="0" y="0"/>
                      <a:ext cx="7820025" cy="2867025"/>
                    </a:xfrm>
                    <a:prstGeom prst="rect">
                      <a:avLst/>
                    </a:prstGeom>
                    <a:noFill/>
                    <a:ln>
                      <a:noFill/>
                    </a:ln>
                  </pic:spPr>
                </pic:pic>
              </a:graphicData>
            </a:graphic>
          </wp:inline>
        </w:drawing>
      </w:r>
    </w:p>
    <w:p w14:paraId="060F9B21">
      <w:pPr>
        <w:pStyle w:val="2"/>
      </w:pPr>
    </w:p>
    <w:p w14:paraId="7B566BD5">
      <w:pPr>
        <w:pStyle w:val="2"/>
      </w:pPr>
    </w:p>
    <w:p w14:paraId="0C6AF51B">
      <w:pPr>
        <w:pStyle w:val="2"/>
      </w:pPr>
    </w:p>
    <w:p w14:paraId="6FB80749">
      <w:pPr>
        <w:pStyle w:val="2"/>
      </w:pPr>
    </w:p>
    <w:p w14:paraId="18D24DAF">
      <w:pPr>
        <w:pStyle w:val="2"/>
      </w:pPr>
    </w:p>
    <w:p w14:paraId="495F0DEB">
      <w:pPr>
        <w:pStyle w:val="2"/>
      </w:pPr>
    </w:p>
    <w:p w14:paraId="1BDD4BE9">
      <w:pPr>
        <w:pStyle w:val="2"/>
      </w:pPr>
    </w:p>
    <w:p w14:paraId="165DEC75">
      <w:pPr>
        <w:pStyle w:val="2"/>
      </w:pPr>
    </w:p>
    <w:p w14:paraId="6505CDDC">
      <w:pPr>
        <w:pStyle w:val="2"/>
      </w:pPr>
    </w:p>
    <w:p w14:paraId="62DB1058">
      <w:pPr>
        <w:pStyle w:val="2"/>
      </w:pPr>
    </w:p>
    <w:p w14:paraId="1084C443">
      <w:pPr>
        <w:pStyle w:val="2"/>
      </w:pPr>
      <w:r>
        <w:drawing>
          <wp:inline distT="0" distB="0" distL="114300" distR="114300">
            <wp:extent cx="7734300" cy="2447925"/>
            <wp:effectExtent l="0" t="0" r="0" b="952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7"/>
                    <a:stretch>
                      <a:fillRect/>
                    </a:stretch>
                  </pic:blipFill>
                  <pic:spPr>
                    <a:xfrm>
                      <a:off x="0" y="0"/>
                      <a:ext cx="7734300" cy="2447925"/>
                    </a:xfrm>
                    <a:prstGeom prst="rect">
                      <a:avLst/>
                    </a:prstGeom>
                    <a:noFill/>
                    <a:ln>
                      <a:noFill/>
                    </a:ln>
                  </pic:spPr>
                </pic:pic>
              </a:graphicData>
            </a:graphic>
          </wp:inline>
        </w:drawing>
      </w:r>
    </w:p>
    <w:p w14:paraId="4DE720BA">
      <w:pPr>
        <w:pStyle w:val="2"/>
        <w:rPr>
          <w:rFonts w:hint="default" w:eastAsia="仿宋_GB2312"/>
          <w:lang w:val="en-US" w:eastAsia="zh-CN"/>
        </w:rPr>
      </w:pPr>
      <w:r>
        <w:rPr>
          <w:rFonts w:hint="eastAsia"/>
          <w:lang w:val="en-US" w:eastAsia="zh-CN"/>
        </w:rPr>
        <w:t>德清县新市镇中心卫生院当年没有一般公共预算“三公”经费拨款安排的支出，故本表无数据。</w:t>
      </w:r>
    </w:p>
    <w:p w14:paraId="2CAB50BA">
      <w:pPr>
        <w:pStyle w:val="2"/>
      </w:pPr>
    </w:p>
    <w:p w14:paraId="470FABDB">
      <w:pPr>
        <w:pStyle w:val="2"/>
      </w:pPr>
    </w:p>
    <w:p w14:paraId="15E2DD29">
      <w:pPr>
        <w:pStyle w:val="2"/>
      </w:pPr>
    </w:p>
    <w:p w14:paraId="2B9DC1A3">
      <w:pPr>
        <w:pStyle w:val="2"/>
      </w:pPr>
    </w:p>
    <w:p w14:paraId="193A2EA5">
      <w:pPr>
        <w:pStyle w:val="2"/>
      </w:pPr>
    </w:p>
    <w:p w14:paraId="3A14045D">
      <w:pPr>
        <w:pStyle w:val="2"/>
      </w:pPr>
    </w:p>
    <w:p w14:paraId="236B9EC6">
      <w:pPr>
        <w:pStyle w:val="2"/>
      </w:pPr>
    </w:p>
    <w:p w14:paraId="61919F5A">
      <w:pPr>
        <w:pStyle w:val="2"/>
      </w:pPr>
    </w:p>
    <w:p w14:paraId="3E7D9728">
      <w:pPr>
        <w:pStyle w:val="2"/>
      </w:pPr>
    </w:p>
    <w:p w14:paraId="6CE639C1">
      <w:pPr>
        <w:pStyle w:val="2"/>
      </w:pPr>
    </w:p>
    <w:p w14:paraId="14BED070">
      <w:pPr>
        <w:pStyle w:val="2"/>
      </w:pPr>
    </w:p>
    <w:p w14:paraId="39D35B75">
      <w:pPr>
        <w:pStyle w:val="2"/>
      </w:pPr>
    </w:p>
    <w:p w14:paraId="6043C1A3">
      <w:pPr>
        <w:pStyle w:val="2"/>
      </w:pPr>
      <w:r>
        <w:drawing>
          <wp:inline distT="0" distB="0" distL="114300" distR="114300">
            <wp:extent cx="7953375" cy="2733675"/>
            <wp:effectExtent l="0" t="0" r="9525" b="952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8"/>
                    <a:stretch>
                      <a:fillRect/>
                    </a:stretch>
                  </pic:blipFill>
                  <pic:spPr>
                    <a:xfrm>
                      <a:off x="0" y="0"/>
                      <a:ext cx="7953375" cy="2733675"/>
                    </a:xfrm>
                    <a:prstGeom prst="rect">
                      <a:avLst/>
                    </a:prstGeom>
                    <a:noFill/>
                    <a:ln>
                      <a:noFill/>
                    </a:ln>
                  </pic:spPr>
                </pic:pic>
              </a:graphicData>
            </a:graphic>
          </wp:inline>
        </w:drawing>
      </w:r>
    </w:p>
    <w:p w14:paraId="60D18B6C">
      <w:pPr>
        <w:pStyle w:val="2"/>
      </w:pPr>
    </w:p>
    <w:p w14:paraId="2FA86A86">
      <w:pPr>
        <w:pStyle w:val="2"/>
      </w:pPr>
    </w:p>
    <w:p w14:paraId="6CCB416F">
      <w:pPr>
        <w:pStyle w:val="2"/>
      </w:pPr>
    </w:p>
    <w:p w14:paraId="2D76FBD0">
      <w:pPr>
        <w:pStyle w:val="2"/>
      </w:pPr>
    </w:p>
    <w:p w14:paraId="50DD5C62">
      <w:pPr>
        <w:pStyle w:val="2"/>
      </w:pPr>
    </w:p>
    <w:p w14:paraId="55E60114">
      <w:pPr>
        <w:pStyle w:val="2"/>
      </w:pPr>
    </w:p>
    <w:p w14:paraId="16A8C0F3">
      <w:pPr>
        <w:pStyle w:val="2"/>
      </w:pPr>
    </w:p>
    <w:p w14:paraId="49F32B10">
      <w:pPr>
        <w:pStyle w:val="2"/>
      </w:pPr>
    </w:p>
    <w:p w14:paraId="32AE9CE5">
      <w:pPr>
        <w:pStyle w:val="2"/>
      </w:pPr>
    </w:p>
    <w:p w14:paraId="065B3CBD">
      <w:pPr>
        <w:pStyle w:val="2"/>
      </w:pPr>
    </w:p>
    <w:p w14:paraId="0D0D64F0">
      <w:pPr>
        <w:pStyle w:val="2"/>
      </w:pPr>
    </w:p>
    <w:p w14:paraId="261D72BE">
      <w:pPr>
        <w:pStyle w:val="2"/>
      </w:pPr>
    </w:p>
    <w:p w14:paraId="67FC33B3">
      <w:pPr>
        <w:pStyle w:val="2"/>
      </w:pPr>
      <w:r>
        <w:drawing>
          <wp:inline distT="0" distB="0" distL="114300" distR="114300">
            <wp:extent cx="8039100" cy="1685925"/>
            <wp:effectExtent l="0" t="0" r="0" b="952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9"/>
                    <a:stretch>
                      <a:fillRect/>
                    </a:stretch>
                  </pic:blipFill>
                  <pic:spPr>
                    <a:xfrm>
                      <a:off x="0" y="0"/>
                      <a:ext cx="8039100" cy="1685925"/>
                    </a:xfrm>
                    <a:prstGeom prst="rect">
                      <a:avLst/>
                    </a:prstGeom>
                    <a:noFill/>
                    <a:ln>
                      <a:noFill/>
                    </a:ln>
                  </pic:spPr>
                </pic:pic>
              </a:graphicData>
            </a:graphic>
          </wp:inline>
        </w:drawing>
      </w:r>
    </w:p>
    <w:p w14:paraId="6D91CF27">
      <w:pPr>
        <w:pStyle w:val="2"/>
      </w:pPr>
    </w:p>
    <w:p w14:paraId="4ACDBB3B">
      <w:pPr>
        <w:pStyle w:val="2"/>
        <w:rPr>
          <w:rFonts w:hint="default" w:eastAsia="仿宋_GB2312"/>
          <w:lang w:val="en-US" w:eastAsia="zh-CN"/>
        </w:rPr>
      </w:pPr>
      <w:r>
        <w:rPr>
          <w:rFonts w:hint="eastAsia"/>
          <w:lang w:val="en-US" w:eastAsia="zh-CN"/>
        </w:rPr>
        <w:t>德清县新市镇中心卫生院当年没有国有资本经营预算拨款安排的支出，故本表无数据。</w:t>
      </w:r>
    </w:p>
    <w:p w14:paraId="6393BA62">
      <w:pPr>
        <w:pStyle w:val="2"/>
      </w:pPr>
    </w:p>
    <w:p w14:paraId="2724B530">
      <w:pPr>
        <w:pStyle w:val="2"/>
      </w:pPr>
    </w:p>
    <w:p w14:paraId="41CA1DBD">
      <w:pPr>
        <w:pStyle w:val="2"/>
      </w:pPr>
    </w:p>
    <w:p w14:paraId="523E95B2">
      <w:pPr>
        <w:pStyle w:val="2"/>
      </w:pPr>
    </w:p>
    <w:p w14:paraId="43E65AC2">
      <w:pPr>
        <w:pStyle w:val="2"/>
      </w:pPr>
    </w:p>
    <w:p w14:paraId="265AC7F0">
      <w:pPr>
        <w:pStyle w:val="2"/>
      </w:pPr>
    </w:p>
    <w:p w14:paraId="11B40A64">
      <w:pPr>
        <w:pStyle w:val="2"/>
      </w:pPr>
    </w:p>
    <w:p w14:paraId="6A6B5536">
      <w:pPr>
        <w:pStyle w:val="2"/>
      </w:pPr>
    </w:p>
    <w:p w14:paraId="00F96A74">
      <w:pPr>
        <w:pStyle w:val="2"/>
      </w:pPr>
    </w:p>
    <w:p w14:paraId="44BD0AAC">
      <w:pPr>
        <w:pStyle w:val="2"/>
      </w:pPr>
    </w:p>
    <w:p w14:paraId="074F4E04">
      <w:pPr>
        <w:pStyle w:val="2"/>
      </w:pPr>
    </w:p>
    <w:p w14:paraId="4A660D59">
      <w:pPr>
        <w:pStyle w:val="2"/>
      </w:pPr>
    </w:p>
    <w:p w14:paraId="4C7F7747">
      <w:pPr>
        <w:pStyle w:val="2"/>
      </w:pPr>
    </w:p>
    <w:p w14:paraId="0D69BDA3">
      <w:pPr>
        <w:pStyle w:val="2"/>
      </w:pPr>
    </w:p>
    <w:p w14:paraId="55262AFF">
      <w:pPr>
        <w:pStyle w:val="2"/>
      </w:pPr>
    </w:p>
    <w:p w14:paraId="754B6AD6">
      <w:pPr>
        <w:pStyle w:val="2"/>
      </w:pPr>
    </w:p>
    <w:p w14:paraId="6D7C3658">
      <w:pPr>
        <w:pStyle w:val="2"/>
      </w:pPr>
      <w:r>
        <w:drawing>
          <wp:inline distT="0" distB="0" distL="114300" distR="114300">
            <wp:extent cx="8658225" cy="3743325"/>
            <wp:effectExtent l="0" t="0" r="9525" b="952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20"/>
                    <a:stretch>
                      <a:fillRect/>
                    </a:stretch>
                  </pic:blipFill>
                  <pic:spPr>
                    <a:xfrm>
                      <a:off x="0" y="0"/>
                      <a:ext cx="8658225" cy="3743325"/>
                    </a:xfrm>
                    <a:prstGeom prst="rect">
                      <a:avLst/>
                    </a:prstGeom>
                    <a:noFill/>
                    <a:ln>
                      <a:noFill/>
                    </a:ln>
                  </pic:spPr>
                </pic:pic>
              </a:graphicData>
            </a:graphic>
          </wp:inline>
        </w:drawing>
      </w:r>
    </w:p>
    <w:p w14:paraId="37537DC0">
      <w:pPr>
        <w:pStyle w:val="2"/>
      </w:pPr>
    </w:p>
    <w:p w14:paraId="279A748E">
      <w:pPr>
        <w:pStyle w:val="2"/>
      </w:pPr>
    </w:p>
    <w:p w14:paraId="5DFB3912">
      <w:pPr>
        <w:pStyle w:val="2"/>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7F307B-CE1B-44CD-8998-0CC860E7BC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5D6627-98E8-463D-A0BE-51FA54A12636}"/>
  </w:font>
  <w:font w:name="仿宋_GB2312">
    <w:altName w:val="仿宋"/>
    <w:panose1 w:val="02010609030101010101"/>
    <w:charset w:val="86"/>
    <w:family w:val="modern"/>
    <w:pitch w:val="default"/>
    <w:sig w:usb0="00000000" w:usb1="00000000" w:usb2="00000000" w:usb3="00000000" w:csb0="00040000" w:csb1="00000000"/>
    <w:embedRegular r:id="rId3" w:fontKey="{1421709A-96E9-4099-83A2-71BBB07D7D36}"/>
  </w:font>
  <w:font w:name="仿宋">
    <w:panose1 w:val="02010609060101010101"/>
    <w:charset w:val="86"/>
    <w:family w:val="auto"/>
    <w:pitch w:val="default"/>
    <w:sig w:usb0="800002BF" w:usb1="38CF7CFA" w:usb2="00000016" w:usb3="00000000" w:csb0="00040001" w:csb1="00000000"/>
    <w:embedRegular r:id="rId4" w:fontKey="{49452338-7D29-40E9-AD5A-EA2A7196FCC2}"/>
  </w:font>
  <w:font w:name="方正小标宋简体">
    <w:panose1 w:val="02000000000000000000"/>
    <w:charset w:val="86"/>
    <w:family w:val="script"/>
    <w:pitch w:val="default"/>
    <w:sig w:usb0="00000001" w:usb1="08000000" w:usb2="00000000" w:usb3="00000000" w:csb0="00040000" w:csb1="00000000"/>
    <w:embedRegular r:id="rId5" w:fontKey="{B726A283-DE42-42F4-829B-961283CC1C22}"/>
  </w:font>
  <w:font w:name="楷体_GB2312">
    <w:altName w:val="楷体"/>
    <w:panose1 w:val="02010609030101010101"/>
    <w:charset w:val="86"/>
    <w:family w:val="modern"/>
    <w:pitch w:val="default"/>
    <w:sig w:usb0="00000000" w:usb1="00000000" w:usb2="00000000" w:usb3="00000000" w:csb0="00040000" w:csb1="00000000"/>
    <w:embedRegular r:id="rId6" w:fontKey="{D9467781-AF0E-4029-BDFE-D7579EA3F11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5BC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D41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EF6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EE93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74D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E699">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09B2">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C4E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0967F0"/>
    <w:rsid w:val="024C6702"/>
    <w:rsid w:val="026505B4"/>
    <w:rsid w:val="028052C1"/>
    <w:rsid w:val="028630A1"/>
    <w:rsid w:val="02FD4879"/>
    <w:rsid w:val="030A3F42"/>
    <w:rsid w:val="038C7FF1"/>
    <w:rsid w:val="03AA3E3B"/>
    <w:rsid w:val="03EA5C50"/>
    <w:rsid w:val="0458580D"/>
    <w:rsid w:val="04600135"/>
    <w:rsid w:val="05054F3D"/>
    <w:rsid w:val="05F46152"/>
    <w:rsid w:val="05F835B0"/>
    <w:rsid w:val="06113422"/>
    <w:rsid w:val="063B27DE"/>
    <w:rsid w:val="065E25EC"/>
    <w:rsid w:val="06835E42"/>
    <w:rsid w:val="06A85168"/>
    <w:rsid w:val="06F965CB"/>
    <w:rsid w:val="07487AC1"/>
    <w:rsid w:val="07623DA7"/>
    <w:rsid w:val="081119C7"/>
    <w:rsid w:val="08DE4DFD"/>
    <w:rsid w:val="0A1B7A08"/>
    <w:rsid w:val="0A1D1E06"/>
    <w:rsid w:val="0A4C7CCD"/>
    <w:rsid w:val="0B486D9D"/>
    <w:rsid w:val="0B4F52A1"/>
    <w:rsid w:val="0B652DFD"/>
    <w:rsid w:val="0B654246"/>
    <w:rsid w:val="0BD448F3"/>
    <w:rsid w:val="0C7B7749"/>
    <w:rsid w:val="0CE2397A"/>
    <w:rsid w:val="0CEE5818"/>
    <w:rsid w:val="0DDF3EA9"/>
    <w:rsid w:val="0E2844A2"/>
    <w:rsid w:val="0F0A0BC6"/>
    <w:rsid w:val="0F216C64"/>
    <w:rsid w:val="0F3E23E2"/>
    <w:rsid w:val="0F5C4EB1"/>
    <w:rsid w:val="0F760C96"/>
    <w:rsid w:val="0F8B51E9"/>
    <w:rsid w:val="0FEA06B3"/>
    <w:rsid w:val="106B2554"/>
    <w:rsid w:val="1085571C"/>
    <w:rsid w:val="10AD6224"/>
    <w:rsid w:val="113F7BA5"/>
    <w:rsid w:val="11E67316"/>
    <w:rsid w:val="12970A77"/>
    <w:rsid w:val="12D300E7"/>
    <w:rsid w:val="136B79EF"/>
    <w:rsid w:val="1370543F"/>
    <w:rsid w:val="13811EEE"/>
    <w:rsid w:val="13FF3975"/>
    <w:rsid w:val="144578B8"/>
    <w:rsid w:val="14861683"/>
    <w:rsid w:val="14887B46"/>
    <w:rsid w:val="14AE3B70"/>
    <w:rsid w:val="14E13179"/>
    <w:rsid w:val="14EF3497"/>
    <w:rsid w:val="153C45B3"/>
    <w:rsid w:val="1558475F"/>
    <w:rsid w:val="1564780C"/>
    <w:rsid w:val="157947AC"/>
    <w:rsid w:val="15CB5E68"/>
    <w:rsid w:val="15DB09EF"/>
    <w:rsid w:val="16421E79"/>
    <w:rsid w:val="1650535C"/>
    <w:rsid w:val="16B75B8F"/>
    <w:rsid w:val="16FE1938"/>
    <w:rsid w:val="1706559C"/>
    <w:rsid w:val="170C3948"/>
    <w:rsid w:val="178056C8"/>
    <w:rsid w:val="17EC7FC1"/>
    <w:rsid w:val="17F81734"/>
    <w:rsid w:val="180061CB"/>
    <w:rsid w:val="18154C5A"/>
    <w:rsid w:val="18EF3804"/>
    <w:rsid w:val="19001E74"/>
    <w:rsid w:val="195C3A7E"/>
    <w:rsid w:val="1A2375F0"/>
    <w:rsid w:val="1AB930E3"/>
    <w:rsid w:val="1AC0275A"/>
    <w:rsid w:val="1AE500E3"/>
    <w:rsid w:val="1B1D1342"/>
    <w:rsid w:val="1B2A6629"/>
    <w:rsid w:val="1BBC2184"/>
    <w:rsid w:val="1C103D2D"/>
    <w:rsid w:val="1C1965EC"/>
    <w:rsid w:val="1C7701B9"/>
    <w:rsid w:val="1CEA3F89"/>
    <w:rsid w:val="1CF73295"/>
    <w:rsid w:val="1D1203BE"/>
    <w:rsid w:val="1D451326"/>
    <w:rsid w:val="1D5F4748"/>
    <w:rsid w:val="1D99665F"/>
    <w:rsid w:val="1E621D9B"/>
    <w:rsid w:val="1E9448CB"/>
    <w:rsid w:val="1E945AB3"/>
    <w:rsid w:val="1EA3498E"/>
    <w:rsid w:val="1EC90A0A"/>
    <w:rsid w:val="1EFB5835"/>
    <w:rsid w:val="1F501AAA"/>
    <w:rsid w:val="1F5052F4"/>
    <w:rsid w:val="1F7E2174"/>
    <w:rsid w:val="1F8A1433"/>
    <w:rsid w:val="1FD94E57"/>
    <w:rsid w:val="205247F6"/>
    <w:rsid w:val="205508A0"/>
    <w:rsid w:val="206501BF"/>
    <w:rsid w:val="20C21B5F"/>
    <w:rsid w:val="20D8491F"/>
    <w:rsid w:val="2163103A"/>
    <w:rsid w:val="217D79B3"/>
    <w:rsid w:val="219B3B12"/>
    <w:rsid w:val="219E2440"/>
    <w:rsid w:val="21F8300E"/>
    <w:rsid w:val="228067A6"/>
    <w:rsid w:val="22B967B0"/>
    <w:rsid w:val="22D4227E"/>
    <w:rsid w:val="22FA27EC"/>
    <w:rsid w:val="230477A4"/>
    <w:rsid w:val="234550B7"/>
    <w:rsid w:val="2384696C"/>
    <w:rsid w:val="23B968AE"/>
    <w:rsid w:val="240772FF"/>
    <w:rsid w:val="24183DF0"/>
    <w:rsid w:val="247778DD"/>
    <w:rsid w:val="247A77A8"/>
    <w:rsid w:val="24D17434"/>
    <w:rsid w:val="24D6630F"/>
    <w:rsid w:val="24D80013"/>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8D3C2A"/>
    <w:rsid w:val="28FE78EF"/>
    <w:rsid w:val="29672817"/>
    <w:rsid w:val="29763DAA"/>
    <w:rsid w:val="29827940"/>
    <w:rsid w:val="29954B63"/>
    <w:rsid w:val="29A41943"/>
    <w:rsid w:val="29B831E7"/>
    <w:rsid w:val="29DF16A7"/>
    <w:rsid w:val="29F74F67"/>
    <w:rsid w:val="2A484907"/>
    <w:rsid w:val="2B4D019C"/>
    <w:rsid w:val="2B755902"/>
    <w:rsid w:val="2BA81833"/>
    <w:rsid w:val="2BAC3F70"/>
    <w:rsid w:val="2BB02AB9"/>
    <w:rsid w:val="2C56166B"/>
    <w:rsid w:val="2C772798"/>
    <w:rsid w:val="2C837F71"/>
    <w:rsid w:val="2CE33635"/>
    <w:rsid w:val="2D391980"/>
    <w:rsid w:val="2D7C6F9A"/>
    <w:rsid w:val="2E7253FB"/>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AD85F03"/>
    <w:rsid w:val="3AED5FA8"/>
    <w:rsid w:val="3B291386"/>
    <w:rsid w:val="3B563038"/>
    <w:rsid w:val="3B7A306D"/>
    <w:rsid w:val="3B80307E"/>
    <w:rsid w:val="3BCA7BD7"/>
    <w:rsid w:val="3C6C37E2"/>
    <w:rsid w:val="3C7D1C3F"/>
    <w:rsid w:val="3CDF42B5"/>
    <w:rsid w:val="3CEA3E5A"/>
    <w:rsid w:val="3CFD6A0C"/>
    <w:rsid w:val="3D593EFF"/>
    <w:rsid w:val="3DDA1E4D"/>
    <w:rsid w:val="3EFE5E08"/>
    <w:rsid w:val="400943B7"/>
    <w:rsid w:val="40143523"/>
    <w:rsid w:val="40562ADA"/>
    <w:rsid w:val="406B2735"/>
    <w:rsid w:val="41401527"/>
    <w:rsid w:val="4171469C"/>
    <w:rsid w:val="41857EAB"/>
    <w:rsid w:val="41E3601D"/>
    <w:rsid w:val="42C454C8"/>
    <w:rsid w:val="42EC4BA0"/>
    <w:rsid w:val="43482ADF"/>
    <w:rsid w:val="43497E11"/>
    <w:rsid w:val="438C52D1"/>
    <w:rsid w:val="43AF1DC7"/>
    <w:rsid w:val="442360D8"/>
    <w:rsid w:val="44850357"/>
    <w:rsid w:val="450B3104"/>
    <w:rsid w:val="45374F70"/>
    <w:rsid w:val="45A32D85"/>
    <w:rsid w:val="45E922E2"/>
    <w:rsid w:val="46181B9F"/>
    <w:rsid w:val="46B73DB3"/>
    <w:rsid w:val="46B85A12"/>
    <w:rsid w:val="46C20ABF"/>
    <w:rsid w:val="471C5409"/>
    <w:rsid w:val="472F3283"/>
    <w:rsid w:val="475E76EE"/>
    <w:rsid w:val="47B54AE2"/>
    <w:rsid w:val="47C24104"/>
    <w:rsid w:val="484652C3"/>
    <w:rsid w:val="489E735B"/>
    <w:rsid w:val="48EF215B"/>
    <w:rsid w:val="49547ADE"/>
    <w:rsid w:val="499358EA"/>
    <w:rsid w:val="49A70025"/>
    <w:rsid w:val="4A9518DB"/>
    <w:rsid w:val="4AB935E6"/>
    <w:rsid w:val="4AD37BA9"/>
    <w:rsid w:val="4B1F601E"/>
    <w:rsid w:val="4B65339C"/>
    <w:rsid w:val="4BE2220E"/>
    <w:rsid w:val="4BEB0728"/>
    <w:rsid w:val="4C5B6DAC"/>
    <w:rsid w:val="4CBF2857"/>
    <w:rsid w:val="4CF82AE4"/>
    <w:rsid w:val="4D097364"/>
    <w:rsid w:val="4D411C17"/>
    <w:rsid w:val="4D667BB3"/>
    <w:rsid w:val="4D7808AB"/>
    <w:rsid w:val="4DC87963"/>
    <w:rsid w:val="4E0626FD"/>
    <w:rsid w:val="4EA45B39"/>
    <w:rsid w:val="4EED2017"/>
    <w:rsid w:val="4F02266B"/>
    <w:rsid w:val="4F2E2211"/>
    <w:rsid w:val="4F4E78CD"/>
    <w:rsid w:val="4FA62E1E"/>
    <w:rsid w:val="4FAC0AB2"/>
    <w:rsid w:val="4FC809F8"/>
    <w:rsid w:val="4FD17574"/>
    <w:rsid w:val="4FE85961"/>
    <w:rsid w:val="50072C4D"/>
    <w:rsid w:val="50341189"/>
    <w:rsid w:val="50837233"/>
    <w:rsid w:val="514C5668"/>
    <w:rsid w:val="51513799"/>
    <w:rsid w:val="518C29B6"/>
    <w:rsid w:val="51C21AE4"/>
    <w:rsid w:val="52170DB7"/>
    <w:rsid w:val="52A0174F"/>
    <w:rsid w:val="52AA23A8"/>
    <w:rsid w:val="52B7187A"/>
    <w:rsid w:val="52BF3A93"/>
    <w:rsid w:val="53794425"/>
    <w:rsid w:val="53A5465B"/>
    <w:rsid w:val="53B6028C"/>
    <w:rsid w:val="54392B16"/>
    <w:rsid w:val="54442E65"/>
    <w:rsid w:val="545B2AA1"/>
    <w:rsid w:val="549B5701"/>
    <w:rsid w:val="54A9277D"/>
    <w:rsid w:val="54D264E2"/>
    <w:rsid w:val="54EA2C52"/>
    <w:rsid w:val="55182E77"/>
    <w:rsid w:val="553F16B7"/>
    <w:rsid w:val="558856A9"/>
    <w:rsid w:val="55CA2A9E"/>
    <w:rsid w:val="55CA3B80"/>
    <w:rsid w:val="55E50F1B"/>
    <w:rsid w:val="560B0A66"/>
    <w:rsid w:val="565F6886"/>
    <w:rsid w:val="56BC237C"/>
    <w:rsid w:val="56CD4B4D"/>
    <w:rsid w:val="575C7815"/>
    <w:rsid w:val="5798381B"/>
    <w:rsid w:val="57D4447A"/>
    <w:rsid w:val="57F759F2"/>
    <w:rsid w:val="585447AE"/>
    <w:rsid w:val="58AF736D"/>
    <w:rsid w:val="58CB74D0"/>
    <w:rsid w:val="58D704D4"/>
    <w:rsid w:val="58EC4DE1"/>
    <w:rsid w:val="596B72CE"/>
    <w:rsid w:val="59B3494A"/>
    <w:rsid w:val="59EB1B1F"/>
    <w:rsid w:val="59EC6E24"/>
    <w:rsid w:val="5A0B2520"/>
    <w:rsid w:val="5A186813"/>
    <w:rsid w:val="5A3B2376"/>
    <w:rsid w:val="5A40591F"/>
    <w:rsid w:val="5A6F0692"/>
    <w:rsid w:val="5ABF2E42"/>
    <w:rsid w:val="5AF80AC2"/>
    <w:rsid w:val="5B586398"/>
    <w:rsid w:val="5B5E26D5"/>
    <w:rsid w:val="5B916903"/>
    <w:rsid w:val="5BEF472E"/>
    <w:rsid w:val="5C932202"/>
    <w:rsid w:val="5CC87E6F"/>
    <w:rsid w:val="5CD43051"/>
    <w:rsid w:val="5CD918EA"/>
    <w:rsid w:val="5D247D3D"/>
    <w:rsid w:val="5DAE1AC9"/>
    <w:rsid w:val="5E153AF5"/>
    <w:rsid w:val="5F0E1E7F"/>
    <w:rsid w:val="5F112305"/>
    <w:rsid w:val="5F2767B3"/>
    <w:rsid w:val="5FE28ABE"/>
    <w:rsid w:val="5FE31F70"/>
    <w:rsid w:val="60045498"/>
    <w:rsid w:val="60786190"/>
    <w:rsid w:val="60AC5E39"/>
    <w:rsid w:val="60E75B16"/>
    <w:rsid w:val="614C1844"/>
    <w:rsid w:val="617A6C2D"/>
    <w:rsid w:val="61855523"/>
    <w:rsid w:val="618968F0"/>
    <w:rsid w:val="619E6355"/>
    <w:rsid w:val="61BD64DA"/>
    <w:rsid w:val="6215384D"/>
    <w:rsid w:val="624759F7"/>
    <w:rsid w:val="627460EE"/>
    <w:rsid w:val="62945EF3"/>
    <w:rsid w:val="62AC06BC"/>
    <w:rsid w:val="633B4987"/>
    <w:rsid w:val="63525D55"/>
    <w:rsid w:val="63F321C7"/>
    <w:rsid w:val="64BD699D"/>
    <w:rsid w:val="64C20A08"/>
    <w:rsid w:val="64DE249A"/>
    <w:rsid w:val="64F06443"/>
    <w:rsid w:val="65737FB9"/>
    <w:rsid w:val="65DF5ECF"/>
    <w:rsid w:val="661D7FD4"/>
    <w:rsid w:val="665A45AE"/>
    <w:rsid w:val="66A662C4"/>
    <w:rsid w:val="66DE2D4E"/>
    <w:rsid w:val="67222B8A"/>
    <w:rsid w:val="679D182D"/>
    <w:rsid w:val="67BB6396"/>
    <w:rsid w:val="67C4455A"/>
    <w:rsid w:val="67F4226C"/>
    <w:rsid w:val="68794E30"/>
    <w:rsid w:val="687B5327"/>
    <w:rsid w:val="688621C1"/>
    <w:rsid w:val="68C15BDE"/>
    <w:rsid w:val="6A4F72AA"/>
    <w:rsid w:val="6AD23ACD"/>
    <w:rsid w:val="6AE706B2"/>
    <w:rsid w:val="6B103823"/>
    <w:rsid w:val="6B315A81"/>
    <w:rsid w:val="6B4E7636"/>
    <w:rsid w:val="6C3F4637"/>
    <w:rsid w:val="6C5F0204"/>
    <w:rsid w:val="6C81461E"/>
    <w:rsid w:val="6C9D07C7"/>
    <w:rsid w:val="6CB426A8"/>
    <w:rsid w:val="6D2B2A93"/>
    <w:rsid w:val="6D3835CD"/>
    <w:rsid w:val="6D9B59D3"/>
    <w:rsid w:val="6DDF18A8"/>
    <w:rsid w:val="6DE94229"/>
    <w:rsid w:val="6E7742D5"/>
    <w:rsid w:val="6E947A29"/>
    <w:rsid w:val="6EDC0D95"/>
    <w:rsid w:val="6EFB1E55"/>
    <w:rsid w:val="6F581D21"/>
    <w:rsid w:val="701E0D35"/>
    <w:rsid w:val="708C2BAE"/>
    <w:rsid w:val="717A54B6"/>
    <w:rsid w:val="71E47115"/>
    <w:rsid w:val="72124418"/>
    <w:rsid w:val="72BF52A3"/>
    <w:rsid w:val="73520170"/>
    <w:rsid w:val="735B7DDD"/>
    <w:rsid w:val="73B32D5B"/>
    <w:rsid w:val="73F7E9CE"/>
    <w:rsid w:val="74906E74"/>
    <w:rsid w:val="74CC3127"/>
    <w:rsid w:val="74D2633E"/>
    <w:rsid w:val="75061B64"/>
    <w:rsid w:val="75127B2A"/>
    <w:rsid w:val="756B70AB"/>
    <w:rsid w:val="760B4F58"/>
    <w:rsid w:val="762D45E7"/>
    <w:rsid w:val="76432C97"/>
    <w:rsid w:val="76472E5B"/>
    <w:rsid w:val="76622032"/>
    <w:rsid w:val="7673E125"/>
    <w:rsid w:val="76DA2B8D"/>
    <w:rsid w:val="770F745E"/>
    <w:rsid w:val="773F1B2E"/>
    <w:rsid w:val="776141C0"/>
    <w:rsid w:val="77779647"/>
    <w:rsid w:val="77E71EE7"/>
    <w:rsid w:val="78403651"/>
    <w:rsid w:val="784051C1"/>
    <w:rsid w:val="789E16E5"/>
    <w:rsid w:val="78DB40C6"/>
    <w:rsid w:val="7954401D"/>
    <w:rsid w:val="79547EF1"/>
    <w:rsid w:val="79A24C96"/>
    <w:rsid w:val="7AC02D1F"/>
    <w:rsid w:val="7AE04C06"/>
    <w:rsid w:val="7AE80A7B"/>
    <w:rsid w:val="7AE861A8"/>
    <w:rsid w:val="7B452E9A"/>
    <w:rsid w:val="7B5C7060"/>
    <w:rsid w:val="7B5E14E4"/>
    <w:rsid w:val="7B741965"/>
    <w:rsid w:val="7BBF78B4"/>
    <w:rsid w:val="7BDF8B19"/>
    <w:rsid w:val="7BFE30BC"/>
    <w:rsid w:val="7C0A7BF1"/>
    <w:rsid w:val="7C87349D"/>
    <w:rsid w:val="7CCB21C4"/>
    <w:rsid w:val="7CD24C07"/>
    <w:rsid w:val="7CDD0037"/>
    <w:rsid w:val="7CFB2193"/>
    <w:rsid w:val="7D1A1CFD"/>
    <w:rsid w:val="7D214410"/>
    <w:rsid w:val="7D2C5AF6"/>
    <w:rsid w:val="7D8F4D87"/>
    <w:rsid w:val="7DBB66FE"/>
    <w:rsid w:val="7DBE27C1"/>
    <w:rsid w:val="7DCA5F0F"/>
    <w:rsid w:val="7E1F736F"/>
    <w:rsid w:val="7E300305"/>
    <w:rsid w:val="7E7D74C3"/>
    <w:rsid w:val="7EB52BD6"/>
    <w:rsid w:val="7F346A78"/>
    <w:rsid w:val="7FA57776"/>
    <w:rsid w:val="7FC2506D"/>
    <w:rsid w:val="7FDE129E"/>
    <w:rsid w:val="B9AF7332"/>
    <w:rsid w:val="BFDFAB16"/>
    <w:rsid w:val="DF5F2872"/>
    <w:rsid w:val="E57F5113"/>
    <w:rsid w:val="F4E9EF67"/>
    <w:rsid w:val="FBFFEE3D"/>
    <w:rsid w:val="FDFF0421"/>
    <w:rsid w:val="FFBFA6F8"/>
    <w:rsid w:val="FFED4F25"/>
    <w:rsid w:val="FFFE96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settings" Target="settings.xml"/>
  <Relationship Id="rId20" Type="http://schemas.openxmlformats.org/officeDocument/2006/relationships/image" Target="media/image9.png"/>
  <Relationship Id="rId21" Type="http://schemas.openxmlformats.org/officeDocument/2006/relationships/numbering" Target="numbering.xml"/>
  <Relationship Id="rId22"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footer" Target="footer2.xml"/>
  <Relationship Id="rId9" Type="http://schemas.openxmlformats.org/officeDocument/2006/relationships/footer" Target="footer3.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xc</Company>
  <Pages>21</Pages>
  <Words>4635</Words>
  <Characters>5260</Characters>
  <Lines>1</Lines>
  <Paragraphs>1</Paragraphs>
  <TotalTime>3</TotalTime>
  <ScaleCrop>false</ScaleCrop>
  <LinksUpToDate>false</LinksUpToDate>
  <CharactersWithSpaces>5311</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2020-01-08T00:45:00Z</dcterms:created>
  <dc:creator>dsx</dc:creator>
  <lastModifiedBy>F</lastModifiedBy>
  <dcterms:modified xsi:type="dcterms:W3CDTF">2025-03-25T00:44:12Z</dcterms:modified>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92A0E73B178945D8A43E78C6C5098E5C_13</vt:lpwstr>
  </property>
  <property fmtid="{D5CDD505-2E9C-101B-9397-08002B2CF9AE}" pid="5" name="KSOTemplateDocerSaveRecord">
    <vt:lpwstr>eyJoZGlkIjoiMTE1YTA3YzY0MTNiNGEyMDY3OTRiYzQzMDFhZDE3MDQiLCJ1c2VySWQiOiIzMTM2ODI3ODYifQ==</vt:lpwstr>
  </property>
</Properties>
</file>