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D7F23">
      <w:pPr>
        <w:spacing w:line="560" w:lineRule="exact"/>
        <w:rPr>
          <w:rFonts w:ascii="黑体" w:hAnsi="黑体" w:eastAsia="黑体" w:cs="黑体"/>
          <w:spacing w:val="15"/>
          <w:sz w:val="32"/>
          <w:szCs w:val="32"/>
        </w:rPr>
      </w:pPr>
    </w:p>
    <w:p w14:paraId="56F44EF1">
      <w:pPr>
        <w:spacing w:line="560" w:lineRule="exact"/>
        <w:jc w:val="center"/>
        <w:rPr>
          <w:rFonts w:ascii="方正小标宋简体" w:hAnsi="方正小标宋简体" w:eastAsia="方正小标宋简体" w:cs="方正小标宋简体"/>
          <w:spacing w:val="15"/>
          <w:sz w:val="44"/>
          <w:szCs w:val="44"/>
        </w:rPr>
      </w:pPr>
    </w:p>
    <w:p w14:paraId="2AF17481">
      <w:pPr>
        <w:spacing w:line="560" w:lineRule="exact"/>
        <w:jc w:val="center"/>
        <w:rPr>
          <w:rFonts w:ascii="方正小标宋简体" w:hAnsi="方正小标宋简体" w:eastAsia="方正小标宋简体" w:cs="方正小标宋简体"/>
          <w:bCs/>
          <w:spacing w:val="15"/>
          <w:sz w:val="44"/>
          <w:szCs w:val="44"/>
        </w:rPr>
      </w:pPr>
    </w:p>
    <w:p w14:paraId="7BB2ED9C">
      <w:pPr>
        <w:spacing w:line="560" w:lineRule="exact"/>
        <w:jc w:val="center"/>
        <w:rPr>
          <w:rFonts w:ascii="方正小标宋简体" w:hAnsi="方正小标宋简体" w:eastAsia="方正小标宋简体" w:cs="方正小标宋简体"/>
          <w:bCs/>
          <w:spacing w:val="15"/>
          <w:sz w:val="44"/>
          <w:szCs w:val="44"/>
        </w:rPr>
      </w:pPr>
    </w:p>
    <w:p w14:paraId="4DAC22B4">
      <w:pPr>
        <w:spacing w:line="560" w:lineRule="exact"/>
        <w:jc w:val="center"/>
        <w:rPr>
          <w:rFonts w:ascii="方正小标宋简体" w:hAnsi="方正小标宋简体" w:eastAsia="方正小标宋简体" w:cs="方正小标宋简体"/>
          <w:bCs/>
          <w:spacing w:val="15"/>
          <w:sz w:val="44"/>
          <w:szCs w:val="44"/>
        </w:rPr>
      </w:pPr>
    </w:p>
    <w:p w14:paraId="34EB055A">
      <w:pPr>
        <w:spacing w:line="560" w:lineRule="exact"/>
        <w:jc w:val="center"/>
        <w:rPr>
          <w:rFonts w:ascii="方正小标宋简体" w:hAnsi="方正小标宋简体" w:eastAsia="方正小标宋简体" w:cs="方正小标宋简体"/>
          <w:bCs/>
          <w:spacing w:val="15"/>
          <w:sz w:val="44"/>
          <w:szCs w:val="44"/>
        </w:rPr>
      </w:pPr>
    </w:p>
    <w:p w14:paraId="04454C9A">
      <w:pPr>
        <w:spacing w:line="560" w:lineRule="exact"/>
        <w:jc w:val="center"/>
        <w:rPr>
          <w:rFonts w:ascii="方正小标宋简体" w:hAnsi="方正小标宋简体" w:eastAsia="方正小标宋简体" w:cs="方正小标宋简体"/>
          <w:bCs/>
          <w:spacing w:val="15"/>
          <w:sz w:val="44"/>
          <w:szCs w:val="44"/>
        </w:rPr>
      </w:pPr>
    </w:p>
    <w:p w14:paraId="269525F5">
      <w:pPr>
        <w:spacing w:line="560" w:lineRule="exact"/>
        <w:jc w:val="center"/>
        <w:rPr>
          <w:rFonts w:ascii="方正小标宋简体" w:hAnsi="方正小标宋简体" w:eastAsia="方正小标宋简体" w:cs="方正小标宋简体"/>
          <w:bCs/>
          <w:spacing w:val="15"/>
          <w:sz w:val="44"/>
          <w:szCs w:val="44"/>
        </w:rPr>
      </w:pPr>
    </w:p>
    <w:p w14:paraId="7E467D8F">
      <w:pPr>
        <w:spacing w:line="560" w:lineRule="exact"/>
        <w:jc w:val="center"/>
        <w:rPr>
          <w:rFonts w:ascii="方正小标宋简体" w:hAnsi="方正小标宋简体" w:eastAsia="方正小标宋简体" w:cs="方正小标宋简体"/>
          <w:bCs/>
          <w:spacing w:val="15"/>
          <w:sz w:val="44"/>
          <w:szCs w:val="44"/>
        </w:rPr>
      </w:pPr>
    </w:p>
    <w:p w14:paraId="3B949CF5">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fldChar w:fldCharType="begin"/>
      </w:r>
      <w:r>
        <w:rPr>
          <w:rFonts w:ascii="方正小标宋简体" w:hAnsi="方正小标宋简体" w:eastAsia="方正小标宋简体" w:cs="方正小标宋简体"/>
          <w:bCs/>
          <w:spacing w:val="15"/>
          <w:sz w:val="44"/>
          <w:szCs w:val="44"/>
        </w:rPr>
        <w:instrText xml:space="preserve">MERGEFIELD ${page855778723.ds388518707_V_RPT_BAS_AGENCY_INFO_NAME}</w:instrText>
      </w:r>
      <w:r>
        <w:rPr>
          <w:rFonts w:ascii="方正小标宋简体" w:hAnsi="方正小标宋简体" w:eastAsia="方正小标宋简体" w:cs="方正小标宋简体"/>
          <w:bCs/>
          <w:spacing w:val="15"/>
          <w:sz w:val="44"/>
          <w:szCs w:val="44"/>
        </w:rPr>
        <w:fldChar w:fldCharType="separate"/>
      </w:r>
      <w:r>
        <w:rPr>
          <w:rFonts w:hint="eastAsia" w:ascii="方正小标宋简体" w:hAnsi="方正小标宋简体" w:eastAsia="方正小标宋简体" w:cs="方正小标宋简体"/>
          <w:bCs/>
          <w:spacing w:val="15"/>
          <w:sz w:val="44"/>
          <w:szCs w:val="44"/>
        </w:rPr>
        <w:t>德清县康乾街道社区卫生服务中心</w:t>
      </w:r>
      <w:r>
        <w:rPr>
          <w:rFonts w:ascii="方正小标宋简体" w:hAnsi="方正小标宋简体" w:eastAsia="方正小标宋简体" w:cs="方正小标宋简体"/>
          <w:bCs/>
          <w:spacing w:val="15"/>
          <w:sz w:val="44"/>
          <w:szCs w:val="44"/>
        </w:rPr>
        <w:fldChar w:fldCharType="end"/>
      </w:r>
      <w:r>
        <w:rPr>
          <w:rFonts w:hint="eastAsia" w:ascii="方正小标宋简体" w:hAnsi="方正小标宋简体" w:eastAsia="方正小标宋简体" w:cs="方正小标宋简体"/>
          <w:bCs/>
          <w:spacing w:val="15"/>
          <w:sz w:val="44"/>
          <w:szCs w:val="44"/>
        </w:rPr>
        <w:t>2025年单位预算</w:t>
      </w:r>
    </w:p>
    <w:p w14:paraId="7E2BEC2C">
      <w:pPr>
        <w:spacing w:line="560" w:lineRule="exact"/>
        <w:ind w:firstLine="590" w:firstLineChars="196"/>
        <w:rPr>
          <w:rStyle w:val="9"/>
          <w:color w:val="000000"/>
          <w:sz w:val="30"/>
          <w:szCs w:val="30"/>
        </w:rPr>
      </w:pPr>
    </w:p>
    <w:p w14:paraId="37ADDDDE">
      <w:pPr>
        <w:spacing w:line="520" w:lineRule="exact"/>
        <w:ind w:firstLine="627" w:firstLineChars="196"/>
        <w:jc w:val="center"/>
        <w:rPr>
          <w:rStyle w:val="9"/>
          <w:rFonts w:ascii="黑体" w:eastAsia="黑体"/>
          <w:b w:val="0"/>
          <w:color w:val="000000"/>
          <w:sz w:val="32"/>
          <w:szCs w:val="32"/>
        </w:rPr>
      </w:pPr>
    </w:p>
    <w:p w14:paraId="305B351E">
      <w:pPr>
        <w:spacing w:line="520" w:lineRule="exact"/>
        <w:ind w:firstLine="627" w:firstLineChars="196"/>
        <w:jc w:val="center"/>
        <w:rPr>
          <w:rStyle w:val="9"/>
          <w:rFonts w:ascii="黑体" w:eastAsia="黑体"/>
          <w:b w:val="0"/>
          <w:color w:val="000000"/>
          <w:sz w:val="32"/>
          <w:szCs w:val="32"/>
        </w:rPr>
      </w:pPr>
    </w:p>
    <w:p w14:paraId="446CB6BF">
      <w:pPr>
        <w:spacing w:line="520" w:lineRule="exact"/>
        <w:ind w:firstLine="627" w:firstLineChars="196"/>
        <w:jc w:val="center"/>
        <w:rPr>
          <w:rStyle w:val="9"/>
          <w:rFonts w:ascii="黑体" w:eastAsia="黑体"/>
          <w:b w:val="0"/>
          <w:color w:val="000000"/>
          <w:sz w:val="32"/>
          <w:szCs w:val="32"/>
        </w:rPr>
      </w:pPr>
    </w:p>
    <w:p w14:paraId="047017A4">
      <w:pPr>
        <w:spacing w:line="520" w:lineRule="exact"/>
        <w:ind w:firstLine="627" w:firstLineChars="196"/>
        <w:jc w:val="center"/>
        <w:rPr>
          <w:rStyle w:val="9"/>
          <w:rFonts w:ascii="黑体" w:eastAsia="黑体"/>
          <w:b w:val="0"/>
          <w:color w:val="000000"/>
          <w:sz w:val="32"/>
          <w:szCs w:val="32"/>
        </w:rPr>
      </w:pPr>
    </w:p>
    <w:p w14:paraId="3E86D855">
      <w:pPr>
        <w:spacing w:line="520" w:lineRule="exact"/>
        <w:ind w:firstLine="627" w:firstLineChars="196"/>
        <w:jc w:val="center"/>
        <w:rPr>
          <w:rStyle w:val="9"/>
          <w:rFonts w:ascii="黑体" w:eastAsia="黑体"/>
          <w:b w:val="0"/>
          <w:color w:val="000000"/>
          <w:sz w:val="32"/>
          <w:szCs w:val="32"/>
        </w:rPr>
      </w:pPr>
    </w:p>
    <w:p w14:paraId="34BD5848">
      <w:pPr>
        <w:spacing w:line="520" w:lineRule="exact"/>
        <w:ind w:firstLine="627" w:firstLineChars="196"/>
        <w:jc w:val="center"/>
        <w:rPr>
          <w:rStyle w:val="9"/>
          <w:rFonts w:ascii="黑体" w:eastAsia="黑体"/>
          <w:b w:val="0"/>
          <w:color w:val="000000"/>
          <w:sz w:val="32"/>
          <w:szCs w:val="32"/>
        </w:rPr>
      </w:pPr>
    </w:p>
    <w:p w14:paraId="151B6235">
      <w:pPr>
        <w:spacing w:line="520" w:lineRule="exact"/>
        <w:ind w:firstLine="627" w:firstLineChars="196"/>
        <w:jc w:val="center"/>
        <w:rPr>
          <w:rStyle w:val="9"/>
          <w:rFonts w:ascii="黑体" w:eastAsia="黑体"/>
          <w:b w:val="0"/>
          <w:color w:val="000000"/>
          <w:sz w:val="32"/>
          <w:szCs w:val="32"/>
        </w:rPr>
      </w:pPr>
    </w:p>
    <w:p w14:paraId="6D38EC6E">
      <w:pPr>
        <w:spacing w:line="520" w:lineRule="exact"/>
        <w:ind w:firstLine="627" w:firstLineChars="196"/>
        <w:jc w:val="center"/>
        <w:rPr>
          <w:rStyle w:val="9"/>
          <w:rFonts w:ascii="黑体" w:eastAsia="黑体"/>
          <w:b w:val="0"/>
          <w:color w:val="000000"/>
          <w:sz w:val="32"/>
          <w:szCs w:val="32"/>
        </w:rPr>
      </w:pPr>
    </w:p>
    <w:p w14:paraId="77FF08B0">
      <w:pPr>
        <w:spacing w:line="520" w:lineRule="exact"/>
        <w:ind w:firstLine="627" w:firstLineChars="196"/>
        <w:jc w:val="center"/>
        <w:rPr>
          <w:rStyle w:val="9"/>
          <w:rFonts w:ascii="黑体" w:eastAsia="黑体"/>
          <w:b w:val="0"/>
          <w:color w:val="000000"/>
          <w:sz w:val="32"/>
          <w:szCs w:val="32"/>
        </w:rPr>
      </w:pPr>
    </w:p>
    <w:p w14:paraId="71343515">
      <w:pPr>
        <w:spacing w:line="520" w:lineRule="exact"/>
        <w:ind w:firstLine="627" w:firstLineChars="196"/>
        <w:jc w:val="center"/>
        <w:rPr>
          <w:rStyle w:val="9"/>
          <w:rFonts w:ascii="黑体" w:eastAsia="黑体"/>
          <w:b w:val="0"/>
          <w:color w:val="000000"/>
          <w:sz w:val="32"/>
          <w:szCs w:val="32"/>
        </w:rPr>
      </w:pPr>
    </w:p>
    <w:p w14:paraId="3F382EAC">
      <w:pPr>
        <w:spacing w:line="520" w:lineRule="exact"/>
        <w:ind w:firstLine="627" w:firstLineChars="196"/>
        <w:jc w:val="center"/>
        <w:rPr>
          <w:rStyle w:val="9"/>
          <w:rFonts w:ascii="黑体" w:eastAsia="黑体"/>
          <w:b w:val="0"/>
          <w:color w:val="000000"/>
          <w:sz w:val="32"/>
          <w:szCs w:val="32"/>
        </w:rPr>
      </w:pPr>
    </w:p>
    <w:p w14:paraId="1D9006D2">
      <w:pPr>
        <w:spacing w:line="520" w:lineRule="exact"/>
        <w:ind w:firstLine="627" w:firstLineChars="196"/>
        <w:jc w:val="center"/>
        <w:rPr>
          <w:rStyle w:val="9"/>
          <w:rFonts w:ascii="黑体" w:eastAsia="黑体"/>
          <w:b w:val="0"/>
          <w:color w:val="000000"/>
          <w:sz w:val="32"/>
          <w:szCs w:val="32"/>
        </w:rPr>
      </w:pPr>
    </w:p>
    <w:p w14:paraId="10D53043">
      <w:pPr>
        <w:spacing w:line="520" w:lineRule="exact"/>
        <w:ind w:firstLine="627" w:firstLineChars="196"/>
        <w:jc w:val="center"/>
        <w:rPr>
          <w:rStyle w:val="9"/>
          <w:rFonts w:ascii="黑体" w:eastAsia="黑体"/>
          <w:b w:val="0"/>
          <w:color w:val="000000"/>
          <w:sz w:val="32"/>
          <w:szCs w:val="32"/>
        </w:rPr>
      </w:pPr>
    </w:p>
    <w:p w14:paraId="64839EAF">
      <w:pPr>
        <w:spacing w:line="520" w:lineRule="exact"/>
        <w:rPr>
          <w:rStyle w:val="9"/>
          <w:rFonts w:ascii="黑体" w:eastAsia="黑体"/>
          <w:b w:val="0"/>
          <w:color w:val="000000"/>
          <w:sz w:val="32"/>
          <w:szCs w:val="32"/>
        </w:rPr>
      </w:pPr>
    </w:p>
    <w:p w14:paraId="11CF05A6">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63987475">
      <w:pPr>
        <w:spacing w:line="520" w:lineRule="exact"/>
        <w:rPr>
          <w:rFonts w:eastAsia="黑体"/>
          <w:sz w:val="32"/>
        </w:rPr>
      </w:pPr>
      <w:r>
        <w:rPr>
          <w:rFonts w:hint="eastAsia" w:ascii="黑体" w:eastAsia="黑体"/>
          <w:color w:val="000000"/>
          <w:sz w:val="32"/>
        </w:rPr>
        <w:t>一、单位</w:t>
      </w:r>
      <w:r>
        <w:rPr>
          <w:rStyle w:val="9"/>
          <w:rFonts w:hint="eastAsia" w:ascii="黑体" w:eastAsia="黑体"/>
          <w:b w:val="0"/>
          <w:color w:val="000000"/>
          <w:sz w:val="32"/>
          <w:szCs w:val="32"/>
        </w:rPr>
        <w:t>概况</w:t>
      </w:r>
    </w:p>
    <w:p w14:paraId="37B1FFF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4F250F2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6D167680">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二、2025年</w:t>
      </w:r>
      <w:r>
        <w:rPr>
          <w:rStyle w:val="9"/>
          <w:rFonts w:hint="eastAsia" w:ascii="黑体" w:eastAsia="黑体"/>
          <w:b w:val="0"/>
          <w:color w:val="000000"/>
          <w:sz w:val="32"/>
          <w:szCs w:val="32"/>
        </w:rPr>
        <w:fldChar w:fldCharType="begin"/>
      </w:r>
      <w:r>
        <w:rPr>
          <w:rStyle w:val="9"/>
          <w:rFonts w:hint="eastAsia" w:ascii="黑体" w:eastAsia="黑体"/>
          <w:b w:val="0"/>
          <w:color w:val="000000"/>
          <w:sz w:val="32"/>
          <w:szCs w:val="32"/>
        </w:rPr>
        <w:instrText xml:space="preserve">MERGEFIELD ${page855778723.ds388518707_V_RPT_BAS_AGENCY_INFO_NAME}</w:instrText>
      </w:r>
      <w:r>
        <w:rPr>
          <w:rStyle w:val="9"/>
          <w:rFonts w:hint="eastAsia" w:ascii="黑体" w:eastAsia="黑体"/>
          <w:b w:val="0"/>
          <w:color w:val="000000"/>
          <w:sz w:val="32"/>
          <w:szCs w:val="32"/>
        </w:rPr>
        <w:fldChar w:fldCharType="separate"/>
      </w:r>
      <w:r>
        <w:rPr>
          <w:rStyle w:val="9"/>
          <w:rFonts w:hint="eastAsia" w:ascii="黑体" w:eastAsia="黑体"/>
          <w:b w:val="0"/>
          <w:color w:val="000000"/>
          <w:sz w:val="32"/>
          <w:szCs w:val="32"/>
        </w:rPr>
        <w:t>德清县康乾街道社区卫生服务中心</w:t>
      </w:r>
      <w:r>
        <w:rPr>
          <w:rStyle w:val="9"/>
          <w:rFonts w:hint="eastAsia" w:ascii="黑体" w:eastAsia="黑体"/>
          <w:b w:val="0"/>
          <w:color w:val="000000"/>
          <w:sz w:val="32"/>
          <w:szCs w:val="32"/>
        </w:rPr>
        <w:fldChar w:fldCharType="end"/>
      </w:r>
      <w:r>
        <w:rPr>
          <w:rStyle w:val="9"/>
          <w:rFonts w:hint="eastAsia" w:ascii="黑体" w:eastAsia="黑体"/>
          <w:b w:val="0"/>
          <w:color w:val="000000"/>
          <w:sz w:val="32"/>
          <w:szCs w:val="32"/>
        </w:rPr>
        <w:t>单位预算安排情况说明</w:t>
      </w:r>
    </w:p>
    <w:p w14:paraId="565AD92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德清县康乾街道社区卫生服务中心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2025年收支预算情况的总体说明</w:t>
      </w:r>
    </w:p>
    <w:p w14:paraId="04807E2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德清县康乾街道社区卫生服务中心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2025年收入预算情况说明</w:t>
      </w:r>
    </w:p>
    <w:p w14:paraId="225A7B7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德清县康乾街道社区卫生服务中心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2025年支出预算情况说明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德清县康乾街道社区卫生服务中心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2025年财政拨款收支预算情况的总体说明</w:t>
      </w:r>
    </w:p>
    <w:p w14:paraId="058CA7B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德清县康乾街道社区卫生服务中心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2025年一般公共预算拨款情况说明</w:t>
      </w:r>
    </w:p>
    <w:p w14:paraId="7E5315E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德清县康乾街道社区卫生服务中心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2025年一般公共预算基本支出情况说明</w:t>
      </w:r>
    </w:p>
    <w:p w14:paraId="61AAD73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德清县康乾街道社区卫生服务中心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2025年政府性基金预算支出情况说明</w:t>
      </w:r>
    </w:p>
    <w:p w14:paraId="4FB3764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德清县康乾街道社区卫生服务中心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2025年国有资本经营预算支出情况说明</w:t>
      </w:r>
    </w:p>
    <w:p w14:paraId="7E4DF85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德清县康乾街道社区卫生服务中心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2025年一般公共预算“三公”经费预算情况说明</w:t>
      </w:r>
    </w:p>
    <w:p w14:paraId="0FE5437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2C976E9C">
      <w:pPr>
        <w:pStyle w:val="15"/>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23327EEF">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四、2025年</w:t>
      </w:r>
      <w:r>
        <w:rPr>
          <w:rStyle w:val="9"/>
          <w:rFonts w:hint="eastAsia" w:ascii="黑体" w:eastAsia="黑体"/>
          <w:b w:val="0"/>
          <w:color w:val="000000"/>
          <w:sz w:val="32"/>
          <w:szCs w:val="32"/>
        </w:rPr>
        <w:fldChar w:fldCharType="begin"/>
      </w:r>
      <w:r>
        <w:rPr>
          <w:rStyle w:val="9"/>
          <w:rFonts w:hint="eastAsia" w:ascii="黑体" w:eastAsia="黑体"/>
          <w:b w:val="0"/>
          <w:color w:val="000000"/>
          <w:sz w:val="32"/>
          <w:szCs w:val="32"/>
        </w:rPr>
        <w:instrText xml:space="preserve">MERGEFIELD ${page855778723.ds388518707_V_RPT_BAS_AGENCY_INFO_NAME}</w:instrText>
      </w:r>
      <w:r>
        <w:rPr>
          <w:rStyle w:val="9"/>
          <w:rFonts w:hint="eastAsia" w:ascii="黑体" w:eastAsia="黑体"/>
          <w:b w:val="0"/>
          <w:color w:val="000000"/>
          <w:sz w:val="32"/>
          <w:szCs w:val="32"/>
        </w:rPr>
        <w:fldChar w:fldCharType="separate"/>
      </w:r>
      <w:r>
        <w:rPr>
          <w:rStyle w:val="9"/>
          <w:rFonts w:hint="eastAsia" w:ascii="黑体" w:eastAsia="黑体"/>
          <w:b w:val="0"/>
          <w:color w:val="000000"/>
          <w:sz w:val="32"/>
          <w:szCs w:val="32"/>
        </w:rPr>
        <w:t>德清县康乾街道社区卫生服务中心</w:t>
      </w:r>
      <w:r>
        <w:rPr>
          <w:rStyle w:val="9"/>
          <w:rFonts w:hint="eastAsia" w:ascii="黑体" w:eastAsia="黑体"/>
          <w:b w:val="0"/>
          <w:color w:val="000000"/>
          <w:sz w:val="32"/>
          <w:szCs w:val="32"/>
        </w:rPr>
        <w:fldChar w:fldCharType="end"/>
      </w:r>
      <w:r>
        <w:rPr>
          <w:rStyle w:val="9"/>
          <w:rFonts w:hint="eastAsia" w:ascii="黑体" w:eastAsia="黑体"/>
          <w:b w:val="0"/>
          <w:color w:val="000000"/>
          <w:sz w:val="32"/>
          <w:szCs w:val="32"/>
        </w:rPr>
        <w:t>单位预算表</w:t>
      </w:r>
    </w:p>
    <w:p w14:paraId="5477D0D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（一）2025年单位收支预算总表</w:t>
      </w:r>
    </w:p>
    <w:p w14:paraId="7EEFCF3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（二）2025年单位收入预算总表</w:t>
      </w:r>
    </w:p>
    <w:p w14:paraId="6248430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（三）2025年单位支出预算总表</w:t>
      </w:r>
    </w:p>
    <w:p w14:paraId="0B2D0C0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（四）2025年单位财政拨款收支预算总表</w:t>
      </w:r>
    </w:p>
    <w:p w14:paraId="7D3D0F3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（五）2025年单位一般公共预算支出表</w:t>
      </w:r>
    </w:p>
    <w:p w14:paraId="3B68918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（六）2025年单位一般公共预算基本支出表</w:t>
      </w:r>
    </w:p>
    <w:p w14:paraId="34D7965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（七）2025年单位一般公共预算“三公”经费支出表</w:t>
      </w:r>
    </w:p>
    <w:p w14:paraId="5491EAD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（八）2025年单位政府性基金预算支出表</w:t>
      </w:r>
    </w:p>
    <w:p w14:paraId="1F87166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（九）2025年单位国有资本经营预算支出表</w:t>
      </w:r>
    </w:p>
    <w:p w14:paraId="2708B75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（十）2025年单位项目支出预算表</w:t>
      </w:r>
    </w:p>
    <w:p w14:paraId="2AD1594E">
      <w:pPr>
        <w:autoSpaceDE w:val="0"/>
        <w:autoSpaceDN w:val="0"/>
        <w:adjustRightInd w:val="0"/>
        <w:ind w:left="420" w:leftChars="200"/>
        <w:jc w:val="left"/>
        <w:rPr>
          <w:rStyle w:val="9"/>
          <w:rFonts w:ascii="楷体_GB2312" w:hAnsi="楷体_GB2312" w:eastAsia="楷体_GB2312" w:cs="楷体_GB2312"/>
          <w:b w:val="0"/>
          <w:sz w:val="32"/>
          <w:szCs w:val="32"/>
        </w:rPr>
      </w:pPr>
    </w:p>
    <w:p w14:paraId="63D0BC10">
      <w:pPr>
        <w:autoSpaceDE w:val="0"/>
        <w:autoSpaceDN w:val="0"/>
        <w:adjustRightInd w:val="0"/>
        <w:ind w:left="420" w:leftChars="200"/>
        <w:jc w:val="left"/>
        <w:rPr>
          <w:rFonts w:ascii="楷体_GB2312" w:hAnsi="楷体_GB2312" w:eastAsia="楷体_GB2312" w:cs="楷体_GB2312"/>
          <w:bCs/>
          <w:sz w:val="32"/>
          <w:szCs w:val="32"/>
        </w:rPr>
      </w:pPr>
    </w:p>
    <w:p w14:paraId="0539433A">
      <w:pPr>
        <w:pStyle w:val="10"/>
        <w:rPr>
          <w:rStyle w:val="9"/>
          <w:rFonts w:hint="default" w:ascii="黑体" w:eastAsia="黑体"/>
          <w:b w:val="0"/>
          <w:sz w:val="32"/>
          <w:szCs w:val="32"/>
        </w:rPr>
      </w:pPr>
    </w:p>
    <w:p w14:paraId="19EFEB90">
      <w:pPr>
        <w:pStyle w:val="10"/>
        <w:rPr>
          <w:rStyle w:val="9"/>
          <w:rFonts w:hint="default" w:ascii="黑体" w:eastAsia="黑体"/>
          <w:b w:val="0"/>
          <w:sz w:val="32"/>
          <w:szCs w:val="32"/>
        </w:rPr>
      </w:pPr>
    </w:p>
    <w:p w14:paraId="7CCECF9B">
      <w:pPr>
        <w:pStyle w:val="10"/>
        <w:rPr>
          <w:rStyle w:val="9"/>
          <w:rFonts w:hint="default" w:ascii="黑体" w:eastAsia="黑体"/>
          <w:b w:val="0"/>
          <w:sz w:val="32"/>
          <w:szCs w:val="32"/>
        </w:rPr>
      </w:pPr>
    </w:p>
    <w:p w14:paraId="7ACE2259">
      <w:pPr>
        <w:pStyle w:val="10"/>
        <w:rPr>
          <w:rStyle w:val="9"/>
          <w:rFonts w:hint="default" w:ascii="黑体" w:eastAsia="黑体"/>
          <w:b w:val="0"/>
          <w:sz w:val="32"/>
          <w:szCs w:val="32"/>
        </w:rPr>
      </w:pPr>
    </w:p>
    <w:p w14:paraId="5BFC85DE">
      <w:pPr>
        <w:pStyle w:val="10"/>
        <w:tabs>
          <w:tab w:val="left" w:pos="2608"/>
        </w:tabs>
        <w:rPr>
          <w:rStyle w:val="9"/>
          <w:rFonts w:hint="default" w:ascii="黑体" w:eastAsia="黑体"/>
          <w:b w:val="0"/>
          <w:sz w:val="32"/>
          <w:szCs w:val="32"/>
        </w:rPr>
      </w:pPr>
    </w:p>
    <w:p w14:paraId="5DFAC0FF">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4B19C676">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3893BB92">
      <w:pPr>
        <w:spacing w:line="276" w:lineRule="auto"/>
        <w:ind w:firstLine="627" w:firstLineChars="196"/>
        <w:rPr>
          <w:rFonts w:ascii="仿宋_GB2312" w:eastAsia="仿宋_GB2312"/>
          <w:bCs/>
          <w:sz w:val="32"/>
          <w:szCs w:val="32"/>
        </w:rPr>
      </w:pPr>
      <w:r>
        <w:rPr>
          <w:rFonts w:hint="eastAsia" w:ascii="仿宋_GB2312" w:eastAsia="仿宋_GB2312"/>
          <w:bCs/>
          <w:sz w:val="32"/>
          <w:szCs w:val="32"/>
        </w:rPr>
        <w:t>1、贯彻执行国家、省、市卫生健康事业发展的法律法规和政策，为人民身体健康提供医疗和健康保健服务，医疗常见病、多发病、护理、预防保健、初级卫生规划保健实施。</w:t>
      </w:r>
    </w:p>
    <w:p w14:paraId="168B5759">
      <w:pPr>
        <w:numPr>
          <w:ilvl w:val="0"/>
          <w:numId w:val="1"/>
        </w:numPr>
        <w:spacing w:line="276" w:lineRule="auto"/>
        <w:ind w:firstLine="627" w:firstLineChars="196"/>
        <w:rPr>
          <w:rFonts w:ascii="仿宋_GB2312" w:eastAsia="仿宋_GB2312"/>
          <w:bCs/>
          <w:sz w:val="32"/>
          <w:szCs w:val="32"/>
        </w:rPr>
      </w:pPr>
      <w:r>
        <w:rPr>
          <w:rFonts w:hint="eastAsia" w:ascii="仿宋_GB2312" w:eastAsia="仿宋_GB2312"/>
          <w:bCs/>
          <w:sz w:val="32"/>
          <w:szCs w:val="32"/>
        </w:rPr>
        <w:t>基本医疗服务职能：设有临床科室：全科、儿科、妇产科、口腔科、针灸理疗科、中医全科、中西医结合骨伤科、康复科、五官科、全科-专科联合门诊、专科医生工作室等。医技科室：放射科、检验科、B超心电图室，为百姓提供基本医疗服务，是集医疗、预防、保健、教育为一体的综合性、非盈利性公立一级乙等医院，推进医共体建设，增强基层服务能力，提高基层就诊率，提高老百姓的满意度。</w:t>
      </w:r>
    </w:p>
    <w:p w14:paraId="1998ACC0">
      <w:pPr>
        <w:spacing w:line="276" w:lineRule="auto"/>
      </w:pPr>
      <w:r>
        <w:rPr>
          <w:rFonts w:hint="eastAsia"/>
          <w:bCs/>
          <w:sz w:val="32"/>
          <w:szCs w:val="32"/>
        </w:rPr>
        <w:t xml:space="preserve">   </w:t>
      </w:r>
      <w:r>
        <w:rPr>
          <w:bCs/>
          <w:sz w:val="32"/>
          <w:szCs w:val="32"/>
        </w:rPr>
        <w:t xml:space="preserve"> </w:t>
      </w:r>
      <w:r>
        <w:rPr>
          <w:rFonts w:ascii="仿宋_GB2312" w:eastAsia="仿宋_GB2312"/>
          <w:bCs/>
          <w:sz w:val="32"/>
          <w:szCs w:val="32"/>
        </w:rPr>
        <w:t>3、公共卫生服务职能：城乡居民健档案管理服务、健康教育、预防接种、0-6岁儿童健康管理服务、孕产妇健康管理服务、老年人健康管理服务、慢性病患者健康管理服务、严重精神障碍患者管理服务、结核病患者健康管理服务、中医药健康管理服务、传染病和突发公共卫生事件报告和处理、卫生计生监督协管。</w:t>
      </w:r>
    </w:p>
    <w:p w14:paraId="7F18595F">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3905C674">
      <w:pPr>
        <w:spacing w:line="520" w:lineRule="exact"/>
        <w:ind w:firstLine="627" w:firstLineChars="196"/>
      </w:pPr>
      <w:r>
        <w:rPr>
          <w:rFonts w:hint="eastAsia" w:ascii="仿宋_GB2312" w:eastAsia="仿宋_GB2312"/>
          <w:bCs/>
          <w:sz w:val="32"/>
          <w:szCs w:val="32"/>
        </w:rPr>
        <w:t>从预算单位构成看，</w:t>
      </w:r>
      <w:r>
        <w:rPr>
          <w:rFonts w:hint="eastAsia" w:ascii="仿宋_GB2312" w:eastAsia="仿宋_GB2312"/>
          <w:bCs/>
          <w:sz w:val="32"/>
          <w:szCs w:val="32"/>
        </w:rPr>
        <w:fldChar w:fldCharType="begin"/>
      </w:r>
      <w:r>
        <w:rPr>
          <w:rFonts w:hint="eastAsia" w:ascii="仿宋_GB2312" w:eastAsia="仿宋_GB2312"/>
          <w:bCs/>
          <w:sz w:val="32"/>
          <w:szCs w:val="32"/>
        </w:rPr>
        <w:instrText xml:space="preserve">MERGEFIELD ${page855778723.ds388518707_V_RPT_BAS_AGENCY_INFO_NAME}</w:instrText>
      </w:r>
      <w:r>
        <w:rPr>
          <w:rFonts w:hint="eastAsia" w:ascii="仿宋_GB2312" w:eastAsia="仿宋_GB2312"/>
          <w:bCs/>
          <w:sz w:val="32"/>
          <w:szCs w:val="32"/>
        </w:rPr>
        <w:fldChar w:fldCharType="separate"/>
      </w:r>
      <w:r>
        <w:rPr>
          <w:rFonts w:hint="eastAsia" w:ascii="仿宋_GB2312" w:eastAsia="仿宋_GB2312"/>
          <w:bCs/>
          <w:sz w:val="32"/>
          <w:szCs w:val="32"/>
        </w:rPr>
        <w:t>德清县康乾街道社区卫生服务中心</w:t>
      </w:r>
      <w:r>
        <w:rPr>
          <w:rFonts w:hint="eastAsia" w:ascii="仿宋_GB2312" w:eastAsia="仿宋_GB2312"/>
          <w:bCs/>
          <w:sz w:val="32"/>
          <w:szCs w:val="32"/>
        </w:rPr>
        <w:fldChar w:fldCharType="end"/>
      </w:r>
      <w:r>
        <w:rPr>
          <w:rFonts w:hint="eastAsia" w:ascii="仿宋_GB2312" w:eastAsia="仿宋_GB2312"/>
          <w:bCs/>
          <w:sz w:val="32"/>
          <w:szCs w:val="32"/>
        </w:rPr>
        <w:t>预算包括：康乾街道社区卫生服务中心单位预算。</w:t>
      </w:r>
    </w:p>
    <w:p w14:paraId="1B64A251">
      <w:pPr>
        <w:spacing w:line="520" w:lineRule="exact"/>
        <w:ind w:firstLine="480" w:firstLineChars="150"/>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二、2025年</w:t>
      </w:r>
      <w:r>
        <w:rPr>
          <w:rStyle w:val="9"/>
          <w:rFonts w:hint="eastAsia" w:ascii="黑体" w:eastAsia="黑体"/>
          <w:b w:val="0"/>
          <w:color w:val="000000"/>
          <w:sz w:val="32"/>
          <w:szCs w:val="32"/>
        </w:rPr>
        <w:fldChar w:fldCharType="begin"/>
      </w:r>
      <w:r>
        <w:rPr>
          <w:rStyle w:val="9"/>
          <w:rFonts w:hint="eastAsia" w:ascii="黑体" w:eastAsia="黑体"/>
          <w:b w:val="0"/>
          <w:color w:val="000000"/>
          <w:sz w:val="32"/>
          <w:szCs w:val="32"/>
        </w:rPr>
        <w:instrText xml:space="preserve">MERGEFIELD ${page855778723.ds388518707_V_RPT_BAS_AGENCY_INFO_NAME}</w:instrText>
      </w:r>
      <w:r>
        <w:rPr>
          <w:rStyle w:val="9"/>
          <w:rFonts w:hint="eastAsia" w:ascii="黑体" w:eastAsia="黑体"/>
          <w:b w:val="0"/>
          <w:color w:val="000000"/>
          <w:sz w:val="32"/>
          <w:szCs w:val="32"/>
        </w:rPr>
        <w:fldChar w:fldCharType="separate"/>
      </w:r>
      <w:r>
        <w:rPr>
          <w:rStyle w:val="9"/>
          <w:rFonts w:hint="eastAsia" w:ascii="黑体" w:eastAsia="黑体"/>
          <w:b w:val="0"/>
          <w:color w:val="000000"/>
          <w:sz w:val="32"/>
          <w:szCs w:val="32"/>
        </w:rPr>
        <w:t>德清县康乾街道社区卫生服务中心</w:t>
      </w:r>
      <w:r>
        <w:rPr>
          <w:rStyle w:val="9"/>
          <w:rFonts w:hint="eastAsia" w:ascii="黑体" w:eastAsia="黑体"/>
          <w:b w:val="0"/>
          <w:color w:val="000000"/>
          <w:sz w:val="32"/>
          <w:szCs w:val="32"/>
        </w:rPr>
        <w:fldChar w:fldCharType="end"/>
      </w:r>
      <w:r>
        <w:rPr>
          <w:rStyle w:val="9"/>
          <w:rFonts w:hint="eastAsia" w:ascii="黑体" w:eastAsia="黑体"/>
          <w:b w:val="0"/>
          <w:color w:val="000000"/>
          <w:sz w:val="32"/>
          <w:szCs w:val="32"/>
        </w:rPr>
        <w:t>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w:t>
      </w:r>
      <w:r>
        <w:rPr>
          <w:rFonts w:hint="eastAsia" w:ascii="楷体_GB2312" w:hAnsi="楷体_GB2312" w:eastAsia="楷体_GB2312" w:cs="楷体_GB2312"/>
          <w:color w:val="000000"/>
          <w:sz w:val="32"/>
          <w:szCs w:val="32"/>
        </w:rPr>
        <w:fldChar w:fldCharType="begin"/>
      </w:r>
      <w:r>
        <w:rPr>
          <w:rFonts w:hint="eastAsia" w:ascii="楷体_GB2312" w:hAnsi="楷体_GB2312" w:eastAsia="楷体_GB2312" w:cs="楷体_GB2312"/>
          <w:color w:val="000000"/>
          <w:sz w:val="32"/>
          <w:szCs w:val="32"/>
        </w:rPr>
        <w:instrText xml:space="preserve">MERGEFIELD ${page855778723.ds388518707_V_RPT_BAS_AGENCY_INFO_NAME}</w:instrText>
      </w:r>
      <w:r>
        <w:rPr>
          <w:rFonts w:hint="eastAsia" w:ascii="楷体_GB2312" w:hAnsi="楷体_GB2312" w:eastAsia="楷体_GB2312" w:cs="楷体_GB2312"/>
          <w:color w:val="000000"/>
          <w:sz w:val="32"/>
          <w:szCs w:val="32"/>
        </w:rPr>
        <w:fldChar w:fldCharType="separate"/>
      </w:r>
      <w:r>
        <w:rPr>
          <w:rFonts w:hint="eastAsia" w:ascii="楷体_GB2312" w:hAnsi="楷体_GB2312" w:eastAsia="楷体_GB2312" w:cs="楷体_GB2312"/>
          <w:color w:val="000000"/>
          <w:sz w:val="32"/>
          <w:szCs w:val="32"/>
        </w:rPr>
        <w:t>德清县康乾街道社区卫生服务中心</w:t>
      </w:r>
      <w:r>
        <w:rPr>
          <w:rFonts w:hint="eastAsia" w:ascii="楷体_GB2312" w:hAnsi="楷体_GB2312" w:eastAsia="楷体_GB2312" w:cs="楷体_GB2312"/>
          <w:color w:val="000000"/>
          <w:sz w:val="32"/>
          <w:szCs w:val="32"/>
        </w:rPr>
        <w:fldChar w:fldCharType="end"/>
      </w:r>
      <w:r>
        <w:rPr>
          <w:rStyle w:val="9"/>
          <w:rFonts w:hint="eastAsia" w:ascii="楷体_GB2312" w:hAnsi="楷体_GB2312" w:eastAsia="楷体_GB2312" w:cs="楷体_GB2312"/>
          <w:b w:val="0"/>
          <w:bCs w:val="0"/>
          <w:color w:val="000000"/>
          <w:sz w:val="32"/>
          <w:szCs w:val="32"/>
        </w:rPr>
        <w:t>2025年收支预算情况的总体说明</w:t>
      </w:r>
    </w:p>
    <w:p w14:paraId="6682BA86">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w:t>
      </w:r>
      <w:r>
        <w:rPr>
          <w:rFonts w:hint="eastAsia" w:ascii="仿宋_GB2312" w:eastAsia="仿宋_GB2312"/>
          <w:bCs/>
          <w:sz w:val="32"/>
          <w:szCs w:val="32"/>
        </w:rPr>
        <w:fldChar w:fldCharType="begin"/>
      </w:r>
      <w:r>
        <w:rPr>
          <w:rFonts w:hint="eastAsia" w:ascii="仿宋_GB2312" w:eastAsia="仿宋_GB2312"/>
          <w:bCs/>
          <w:sz w:val="32"/>
          <w:szCs w:val="32"/>
        </w:rPr>
        <w:instrText xml:space="preserve">MERGEFIELD ${page855778723.ds388518707_V_RPT_BAS_AGENCY_INFO_NAME}</w:instrText>
      </w:r>
      <w:r>
        <w:rPr>
          <w:rFonts w:hint="eastAsia" w:ascii="仿宋_GB2312" w:eastAsia="仿宋_GB2312"/>
          <w:bCs/>
          <w:sz w:val="32"/>
          <w:szCs w:val="32"/>
        </w:rPr>
        <w:fldChar w:fldCharType="separate"/>
      </w:r>
      <w:r>
        <w:rPr>
          <w:rFonts w:hint="eastAsia" w:ascii="仿宋_GB2312" w:eastAsia="仿宋_GB2312"/>
          <w:bCs/>
          <w:sz w:val="32"/>
          <w:szCs w:val="32"/>
        </w:rPr>
        <w:t>德清县康乾街道社区卫生服务中心</w:t>
      </w:r>
      <w:r>
        <w:rPr>
          <w:rFonts w:hint="eastAsia" w:ascii="仿宋_GB2312" w:eastAsia="仿宋_GB2312"/>
          <w:bCs/>
          <w:sz w:val="32"/>
          <w:szCs w:val="32"/>
        </w:rPr>
        <w:fldChar w:fldCharType="end"/>
      </w:r>
      <w:r>
        <w:rPr>
          <w:rFonts w:hint="eastAsia" w:ascii="仿宋_GB2312" w:eastAsia="仿宋_GB2312"/>
          <w:color w:val="000000"/>
          <w:sz w:val="32"/>
          <w:szCs w:val="32"/>
        </w:rPr>
        <w:t>所有收入和支出均纳入部门预算管理。收入包括：一般公共预算收入</w:t>
      </w:r>
      <w:r>
        <w:rPr>
          <w:rFonts w:hint="eastAsia" w:ascii="仿宋_GB2312" w:eastAsia="仿宋_GB2312"/>
          <w:color w:val="000000"/>
          <w:sz w:val="32"/>
          <w:szCs w:val="32"/>
          <w:lang w:eastAsia="zh-CN"/>
        </w:rPr>
        <w:t>、</w:t>
      </w:r>
      <w:r>
        <w:rPr>
          <w:rFonts w:hint="eastAsia" w:ascii="仿宋_GB2312" w:eastAsia="仿宋_GB2312"/>
          <w:color w:val="000000"/>
          <w:sz w:val="32"/>
          <w:szCs w:val="32"/>
        </w:rPr>
        <w:t>政府性基金预算收入；支出包括：卫生健康支出</w:t>
      </w:r>
      <w:r>
        <w:rPr>
          <w:rFonts w:hint="eastAsia" w:ascii="仿宋_GB2312" w:eastAsia="仿宋_GB2312"/>
          <w:color w:val="000000"/>
          <w:sz w:val="32"/>
          <w:szCs w:val="32"/>
          <w:lang w:eastAsia="zh-CN"/>
        </w:rPr>
        <w:t>、</w:t>
      </w:r>
      <w:r>
        <w:rPr>
          <w:rFonts w:hint="eastAsia" w:ascii="仿宋_GB2312" w:eastAsia="仿宋_GB2312"/>
          <w:color w:val="000000"/>
          <w:sz w:val="32"/>
          <w:szCs w:val="32"/>
        </w:rPr>
        <w:t>城乡社区支出。</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${page855778723.ds388518707_V_RPT_BAS_AGENCY_INFO_NAME}</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德清县康乾街道社区卫生服务中心</w:t>
      </w:r>
      <w:r>
        <w:rPr>
          <w:rFonts w:hint="eastAsia" w:ascii="仿宋_GB2312" w:eastAsia="仿宋_GB2312"/>
          <w:color w:val="000000"/>
          <w:sz w:val="32"/>
          <w:szCs w:val="32"/>
        </w:rPr>
        <w:fldChar w:fldCharType="end"/>
      </w:r>
      <w:r>
        <w:rPr>
          <w:rFonts w:hint="eastAsia" w:ascii="仿宋_GB2312" w:eastAsia="仿宋_GB2312"/>
          <w:color w:val="000000"/>
          <w:sz w:val="32"/>
          <w:szCs w:val="32"/>
        </w:rPr>
        <w:t>2025年收支总预算1220.19万元。</w:t>
      </w:r>
    </w:p>
    <w:p w14:paraId="51A16FBA">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德清县康乾街道社区卫生服务中心</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2025年收入预算情况说明</w:t>
      </w:r>
    </w:p>
    <w:p w14:paraId="6C7746E8">
      <w:pPr>
        <w:spacing w:line="520" w:lineRule="exact"/>
        <w:ind w:firstLine="642"/>
        <w:rPr>
          <w:rFonts w:ascii="仿宋_GB2312" w:eastAsia="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MERGEFIELD ${page855778723.ds388518707_V_RPT_BAS_AGENCY_INFO_NAME}</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德清县康乾街道社区卫生服务中心</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2025年收入预算1220.19万元，比上年执行数增加83.18万元，增长7.3%，主要是2024年年初预算资金未全部下达，一部分资金预留在局本级，将在年中进行指标调整后下达；贯彻落实过紧日子思想，非刚性、非重点项目预算压减。</w:t>
      </w:r>
    </w:p>
    <w:p w14:paraId="1F8DD291">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其中：一般公共预算拨款收入1063.70万元（上年结转0.00万元），占87.2%，政府性基金预算收入156.49万元（上年结转0.00万元），占12.8%。</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德清县康乾街道社区卫生服务中心</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2025年支出预算情况说明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MERGEFIELD ${page855778723.ds388518707_V_RPT_BAS_AGENCY_INFO_NAME}</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德清县康乾街道社区卫生服务中心</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2025年支出预算1220.19万元，比上年执行数增加83.18万元，增长7.3%，主要是2024年年初预算资金未全部下达，一部分资金预留在局本级，将在年中进行指标调整后下达；贯彻落实过紧日子思想，非刚性、非重点项目预算压减。</w:t>
      </w:r>
    </w:p>
    <w:p w14:paraId="06C62EF0">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1.按支出功能分类，包括卫生健康支出1063.70万元,</w:t>
      </w:r>
      <w:r>
        <w:rPr>
          <w:rFonts w:hint="eastAsia"/>
        </w:rPr>
        <w:t xml:space="preserve"> </w:t>
      </w:r>
      <w:r>
        <w:rPr>
          <w:rFonts w:hint="eastAsia" w:ascii="仿宋_GB2312" w:eastAsia="仿宋_GB2312"/>
          <w:color w:val="000000"/>
          <w:sz w:val="32"/>
          <w:szCs w:val="32"/>
        </w:rPr>
        <w:t>城乡社区支出156.49万元。</w:t>
      </w:r>
    </w:p>
    <w:p w14:paraId="64E72E40">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2.按支出用途分类，包括人员支出45.22万元，占3.7%；项目支出1174.97万元，占96.3%。</w:t>
      </w:r>
    </w:p>
    <w:p w14:paraId="7E413414">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33FBE89A">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德清县康乾街道社区卫生服务中心</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2025年财政拨款收支预算情况的总体说明</w:t>
      </w:r>
    </w:p>
    <w:p w14:paraId="5F34787F">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${page855778723.ds388518707_V_RPT_BAS_AGENCY_INFO_NAME}</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德清县康乾街道社区卫生服务中心</w:t>
      </w:r>
      <w:r>
        <w:rPr>
          <w:rFonts w:hint="eastAsia" w:ascii="仿宋_GB2312" w:eastAsia="仿宋_GB2312"/>
          <w:color w:val="000000"/>
          <w:sz w:val="32"/>
          <w:szCs w:val="32"/>
        </w:rPr>
        <w:fldChar w:fldCharType="end"/>
      </w:r>
      <w:r>
        <w:rPr>
          <w:rFonts w:hint="eastAsia" w:ascii="仿宋_GB2312" w:eastAsia="仿宋_GB2312"/>
          <w:color w:val="000000"/>
          <w:sz w:val="32"/>
          <w:szCs w:val="32"/>
        </w:rPr>
        <w:t>2025年财政拨款收支总预算</w:t>
      </w:r>
      <w:r>
        <w:rPr>
          <w:rFonts w:hint="eastAsia" w:ascii="仿宋_GB2312" w:hAnsi="仿宋_GB2312" w:eastAsia="仿宋_GB2312" w:cs="仿宋_GB2312"/>
          <w:color w:val="000000"/>
          <w:sz w:val="32"/>
          <w:szCs w:val="32"/>
        </w:rPr>
        <w:t>1220.19</w:t>
      </w:r>
      <w:r>
        <w:rPr>
          <w:rFonts w:hint="eastAsia" w:ascii="仿宋_GB2312" w:eastAsia="仿宋_GB2312"/>
          <w:color w:val="000000"/>
          <w:sz w:val="32"/>
          <w:szCs w:val="32"/>
        </w:rPr>
        <w:t>万元。收入包括：一般公共预算</w:t>
      </w:r>
      <w:r>
        <w:rPr>
          <w:rFonts w:hint="eastAsia" w:ascii="仿宋_GB2312" w:hAnsi="仿宋_GB2312" w:eastAsia="仿宋_GB2312" w:cs="仿宋_GB2312"/>
          <w:color w:val="000000"/>
          <w:sz w:val="32"/>
          <w:szCs w:val="32"/>
        </w:rPr>
        <w:t>1063.70</w:t>
      </w:r>
      <w:r>
        <w:rPr>
          <w:rFonts w:hint="eastAsia" w:ascii="仿宋_GB2312" w:eastAsia="仿宋_GB2312"/>
          <w:color w:val="000000"/>
          <w:sz w:val="32"/>
          <w:szCs w:val="32"/>
        </w:rPr>
        <w:t>万元，政府性基金156.49万元；支出包括：卫生健康支出</w:t>
      </w:r>
      <w:r>
        <w:rPr>
          <w:rFonts w:hint="eastAsia" w:ascii="仿宋_GB2312" w:hAnsi="仿宋_GB2312" w:eastAsia="仿宋_GB2312" w:cs="仿宋_GB2312"/>
          <w:color w:val="000000"/>
          <w:sz w:val="32"/>
          <w:szCs w:val="32"/>
        </w:rPr>
        <w:t>1063.70</w:t>
      </w:r>
      <w:r>
        <w:rPr>
          <w:rFonts w:hint="eastAsia" w:ascii="仿宋_GB2312" w:eastAsia="仿宋_GB2312"/>
          <w:color w:val="000000"/>
          <w:sz w:val="32"/>
          <w:szCs w:val="32"/>
        </w:rPr>
        <w:t>万元，城乡社区支出156.49万元。</w:t>
      </w:r>
    </w:p>
    <w:p w14:paraId="2C288D25">
      <w:pPr>
        <w:numPr>
          <w:ilvl w:val="0"/>
          <w:numId w:val="2"/>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德清县康乾街道社区卫生服务中心</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2025年一般公共预算拨款情况说明</w:t>
      </w:r>
    </w:p>
    <w:p w14:paraId="79671477">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0D1BFC1D">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MERGEFIELD ${page855778723.ds388518707_V_RPT_BAS_AGENCY_INFO_NAME}</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德清县康乾街道社区卫生服务中心</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2025年一般公共预算拨款1063.70万元，比上年执行数减少73.31万元，下降6.4%，主要是2025年年初预算资金未全部下达，一部分资金预留在局本级，将在年中进行指标调整后下达；贯彻落实过紧日子思想，非刚性、非重点项目预算压减。</w:t>
      </w:r>
    </w:p>
    <w:p w14:paraId="7CE44BD0">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168BB0C2">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卫生健康支出1063.70万元，占100.0%。</w:t>
      </w:r>
    </w:p>
    <w:p w14:paraId="0F7D5C7E">
      <w:pPr>
        <w:tabs>
          <w:tab w:val="left" w:pos="312"/>
        </w:tabs>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3.一般公共预算拨款具体使用情况。</w:t>
      </w:r>
    </w:p>
    <w:p w14:paraId="42791258">
      <w:pPr>
        <w:spacing w:line="52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卫生健康支出（类）基层医疗卫生机构（款）乡镇卫生院（项）665.95万元，主要用于基本支出的人员经费、卫生健康证免费办理项目、医共体运行经费、中医药事业专项经费、基层医疗卫生机构补偿机制改革项目、为民办实事项目、校园医技补助。</w:t>
      </w:r>
    </w:p>
    <w:p w14:paraId="602BE802">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卫生健康支出（类）公共卫生（款）基本公共卫生服务（项）370.08万元，主要用于其他基本公卫(适龄儿童窝沟封闭)、基本公共卫生服务经费、其他基本公卫(老年健康服务专项行动)和其他基本公卫(老年健康与医养结合服务项目)。</w:t>
      </w:r>
    </w:p>
    <w:p w14:paraId="0E927EAC">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（3）卫生健康支出（类）行政事业单位医疗（款）公务员医疗补助（项）24.00万元，主要用于基本支出的人员经费。</w:t>
      </w:r>
    </w:p>
    <w:p w14:paraId="6496D414">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（4）卫生健康支出（类）其他卫生健康支出（款）其他卫生健康支出（项）3.67万元，主要用于农村社区医生定向培养补助经费。</w:t>
      </w:r>
    </w:p>
    <w:p w14:paraId="48D9BAAF">
      <w:pPr>
        <w:spacing w:line="52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（六）关于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德清县康乾街道社区卫生服务中心</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2025年一般公共预算基本支出情况说明</w:t>
      </w:r>
    </w:p>
    <w:p w14:paraId="39E9BFE2">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${page855778723.ds388518707_V_RPT_BAS_AGENCY_INFO_NAME}</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德清县康乾街道社区卫生服务中心</w:t>
      </w:r>
      <w:r>
        <w:rPr>
          <w:rFonts w:hint="eastAsia" w:ascii="仿宋_GB2312" w:eastAsia="仿宋_GB2312"/>
          <w:color w:val="000000"/>
          <w:sz w:val="32"/>
          <w:szCs w:val="32"/>
        </w:rPr>
        <w:fldChar w:fldCharType="end"/>
      </w:r>
      <w:r>
        <w:rPr>
          <w:rFonts w:hint="eastAsia" w:ascii="仿宋_GB2312" w:eastAsia="仿宋_GB2312"/>
          <w:color w:val="000000"/>
          <w:sz w:val="32"/>
          <w:szCs w:val="32"/>
        </w:rPr>
        <w:t>2025年一般公共预算基本支出45.22万元，其中：</w:t>
      </w:r>
    </w:p>
    <w:p w14:paraId="5748E8EB">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人员经费45.22万元，主要包括：</w:t>
      </w:r>
      <w:r>
        <w:rPr>
          <w:rFonts w:hint="eastAsia" w:ascii="仿宋_GB2312" w:eastAsia="仿宋_GB2312"/>
          <w:color w:val="000000"/>
          <w:sz w:val="32"/>
          <w:szCs w:val="32"/>
          <w:lang w:val="en-US" w:eastAsia="zh-CN"/>
        </w:rPr>
        <w:t>基本工资、</w:t>
      </w:r>
      <w:r>
        <w:rPr>
          <w:rFonts w:hint="eastAsia" w:ascii="仿宋_GB2312" w:eastAsia="仿宋_GB2312"/>
          <w:color w:val="000000"/>
          <w:sz w:val="32"/>
          <w:szCs w:val="32"/>
        </w:rPr>
        <w:t>绩效工资、公务员医疗补助缴费；</w:t>
      </w:r>
    </w:p>
    <w:p w14:paraId="2734C7AF">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公用经费0.00万元。</w:t>
      </w:r>
    </w:p>
    <w:p w14:paraId="48044D04">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德清县康乾街道社区卫生服务中心</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2025年政府性基金预算支出情况说明</w:t>
      </w:r>
    </w:p>
    <w:p w14:paraId="1318F11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1.政府性基金预算拨款规模变化情况。</w:t>
      </w:r>
    </w:p>
    <w:p w14:paraId="01027B31">
      <w:pPr>
        <w:spacing w:line="520" w:lineRule="exact"/>
        <w:ind w:firstLine="642"/>
        <w:rPr>
          <w:rFonts w:ascii="仿宋_GB2312" w:hAnsi="仿宋_GB2312" w:eastAsia="仿宋_GB2312" w:cs="仿宋_GB2312"/>
          <w:color w:val="000000"/>
          <w:sz w:val="32"/>
          <w:szCs w:val="32"/>
        </w:rPr>
      </w:pP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德清县康乾街道社区卫生服务中心</w:t>
      </w:r>
      <w:r>
        <w:rPr>
          <w:rFonts w:hint="eastAsia" w:ascii="楷体_GB2312" w:hAnsi="楷体_GB2312" w:eastAsia="楷体_GB2312" w:cs="楷体_GB2312"/>
          <w:bCs/>
          <w:color w:val="000000"/>
          <w:sz w:val="32"/>
          <w:szCs w:val="32"/>
        </w:rPr>
        <w:fldChar w:fldCharType="end"/>
      </w:r>
      <w:r>
        <w:rPr>
          <w:rFonts w:hint="eastAsia" w:ascii="仿宋_GB2312" w:hAnsi="仿宋_GB2312" w:eastAsia="仿宋_GB2312" w:cs="仿宋_GB2312"/>
          <w:color w:val="000000"/>
          <w:sz w:val="32"/>
          <w:szCs w:val="32"/>
        </w:rPr>
        <w:t>2025年政府性基金预算拨款156.49万元，比上年执行数增加</w:t>
      </w:r>
      <w:r>
        <w:rPr>
          <w:rFonts w:hint="eastAsia" w:ascii="仿宋_GB2312" w:hAnsi="仿宋_GB2312" w:eastAsia="仿宋_GB2312" w:cs="仿宋_GB2312"/>
          <w:color w:val="000000"/>
          <w:sz w:val="32"/>
        </w:rPr>
        <w:t>156.49</w:t>
      </w:r>
      <w:r>
        <w:rPr>
          <w:rFonts w:hint="eastAsia" w:ascii="仿宋_GB2312" w:hAnsi="仿宋_GB2312" w:eastAsia="仿宋_GB2312" w:cs="仿宋_GB2312"/>
          <w:color w:val="000000"/>
          <w:sz w:val="32"/>
          <w:szCs w:val="32"/>
        </w:rPr>
        <w:t>万元，主要是2025年新增基层医疗卫生机构提升计划（建设）项目，用于新康乾开办。</w:t>
      </w:r>
    </w:p>
    <w:p w14:paraId="2CB70F90">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2.政府性基金预算拨款结构情况。</w:t>
      </w:r>
    </w:p>
    <w:p w14:paraId="7A9B6D0B">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城乡社区支出156.49万元，占100.0%。</w:t>
      </w:r>
    </w:p>
    <w:p w14:paraId="2EC085A2">
      <w:pPr>
        <w:spacing w:line="520" w:lineRule="exact"/>
        <w:ind w:firstLine="790" w:firstLineChars="246"/>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3.政府性基金预算拨款具体使用情况。</w:t>
      </w:r>
    </w:p>
    <w:p w14:paraId="6B17338C">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（1）城乡社区支出（类）国有土地使用权出让收入安排的支出（款）其他国有土地使用权出让收入安排的支出（项）156.49万元，主要用于基层医疗卫生机构提升计划（建设）项目，用于新康乾开办。</w:t>
      </w:r>
    </w:p>
    <w:p w14:paraId="3DC1588F">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（八）关于</w:t>
      </w:r>
      <w:r>
        <w:rPr>
          <w:rFonts w:ascii="楷体_GB2312" w:hAnsi="楷体_GB2312" w:eastAsia="楷体_GB2312" w:cs="楷体_GB2312"/>
          <w:bCs/>
          <w:color w:val="000000"/>
          <w:sz w:val="32"/>
          <w:szCs w:val="32"/>
        </w:rPr>
        <w:fldChar w:fldCharType="begin"/>
      </w:r>
      <w:r>
        <w:rPr>
          <w:rFonts w:ascii="楷体_GB2312" w:hAnsi="楷体_GB2312" w:eastAsia="楷体_GB2312" w:cs="楷体_GB2312"/>
          <w:bCs/>
          <w:color w:val="000000"/>
          <w:sz w:val="32"/>
          <w:szCs w:val="32"/>
        </w:rPr>
        <w:instrText xml:space="preserve">MERGEFIELD ${page855778723.ds388518707_V_RPT_BAS_AGENCY_INFO_NAME}</w:instrText>
      </w:r>
      <w:r>
        <w:rPr>
          <w:rFonts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德清县康乾街道社区卫生服务中心</w: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国有资本经营预算支出情况说明</w:t>
      </w:r>
    </w:p>
    <w:p w14:paraId="641D9F40">
      <w:pPr>
        <w:ind w:firstLine="640" w:firstLineChars="200"/>
        <w:rPr>
          <w:rFonts w:ascii="仿宋_GB2312" w:hAnsi="仿宋_GB2312" w:eastAsia="仿宋_GB2312"/>
          <w:sz w:val="32"/>
        </w:rPr>
      </w:pPr>
      <w:r>
        <w:rPr>
          <w:rFonts w:hint="eastAsia" w:ascii="仿宋_GB2312" w:hAnsi="仿宋_GB2312" w:eastAsia="仿宋_GB2312"/>
          <w:sz w:val="32"/>
        </w:rPr>
        <w:fldChar w:fldCharType="begin"/>
      </w:r>
      <w:r>
        <w:rPr>
          <w:rFonts w:hint="eastAsia" w:ascii="仿宋_GB2312" w:hAnsi="仿宋_GB2312" w:eastAsia="仿宋_GB2312"/>
          <w:sz w:val="32"/>
        </w:rPr>
        <w:instrText xml:space="preserve">MERGEFIELD ${page855778723.ds388518707_V_RPT_BAS_AGENCY_INFO_NAME}</w:instrText>
      </w:r>
      <w:r>
        <w:rPr>
          <w:rFonts w:hint="eastAsia" w:ascii="仿宋_GB2312" w:hAnsi="仿宋_GB2312" w:eastAsia="仿宋_GB2312"/>
          <w:sz w:val="32"/>
        </w:rPr>
        <w:fldChar w:fldCharType="separate"/>
      </w:r>
      <w:r>
        <w:rPr>
          <w:rFonts w:hint="eastAsia" w:ascii="仿宋_GB2312" w:hAnsi="仿宋_GB2312" w:eastAsia="仿宋_GB2312"/>
          <w:sz w:val="32"/>
        </w:rPr>
        <w:t>德清县康乾街道社区卫生服务中心</w:t>
      </w:r>
      <w:r>
        <w:rPr>
          <w:rFonts w:hint="eastAsia" w:ascii="仿宋_GB2312" w:hAnsi="仿宋_GB2312" w:eastAsia="仿宋_GB2312"/>
          <w:sz w:val="32"/>
        </w:rPr>
        <w:fldChar w:fldCharType="end"/>
      </w:r>
      <w:r>
        <w:rPr>
          <w:rFonts w:hint="eastAsia" w:ascii="仿宋_GB2312" w:hAnsi="仿宋_GB2312" w:eastAsia="仿宋_GB2312"/>
          <w:sz w:val="32"/>
        </w:rPr>
        <w:t>2025年没有使用国有资本经营预算拨款安排的支出。</w:t>
      </w:r>
    </w:p>
    <w:p w14:paraId="43AEF283">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德清县康乾街道社区卫生服务中心</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1581C025">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fldChar w:fldCharType="begin"/>
      </w:r>
      <w:r>
        <w:rPr>
          <w:rFonts w:hint="eastAsia" w:ascii="仿宋_GB2312" w:hAnsi="仿宋_GB2312" w:eastAsia="仿宋_GB2312"/>
          <w:sz w:val="32"/>
        </w:rPr>
        <w:instrText xml:space="preserve">MERGEFIELD ${page855778723.ds388518707_V_RPT_BAS_AGENCY_INFO_NAME}</w:instrText>
      </w:r>
      <w:r>
        <w:rPr>
          <w:rFonts w:hint="eastAsia" w:ascii="仿宋_GB2312" w:hAnsi="仿宋_GB2312" w:eastAsia="仿宋_GB2312"/>
          <w:sz w:val="32"/>
        </w:rPr>
        <w:fldChar w:fldCharType="separate"/>
      </w:r>
      <w:r>
        <w:rPr>
          <w:rFonts w:hint="eastAsia" w:ascii="仿宋_GB2312" w:hAnsi="仿宋_GB2312" w:eastAsia="仿宋_GB2312"/>
          <w:sz w:val="32"/>
        </w:rPr>
        <w:t>德清县康乾街道社区卫生服务中心</w:t>
      </w:r>
      <w:r>
        <w:rPr>
          <w:rFonts w:hint="eastAsia" w:ascii="仿宋_GB2312" w:hAnsi="仿宋_GB2312" w:eastAsia="仿宋_GB2312"/>
          <w:sz w:val="32"/>
        </w:rPr>
        <w:fldChar w:fldCharType="end"/>
      </w:r>
      <w:r>
        <w:rPr>
          <w:rFonts w:hint="eastAsia" w:ascii="仿宋_GB2312" w:hAnsi="仿宋_GB2312" w:eastAsia="仿宋_GB2312"/>
          <w:sz w:val="32"/>
        </w:rPr>
        <w:t>2025年“三公”经费预算数为0.00万元，</w:t>
      </w:r>
      <w:r>
        <w:rPr>
          <w:rFonts w:hint="eastAsia" w:ascii="仿宋_GB2312" w:hAnsi="仿宋_GB2312" w:eastAsia="仿宋_GB2312"/>
          <w:sz w:val="32"/>
          <w:shd w:val="clear" w:color="auto" w:fill="FFFFFF"/>
        </w:rPr>
        <w:t>与上年持平</w:t>
      </w:r>
      <w:r>
        <w:rPr>
          <w:rFonts w:hint="eastAsia" w:ascii="仿宋_GB2312" w:hAnsi="仿宋_GB2312" w:eastAsia="仿宋_GB2312"/>
          <w:sz w:val="32"/>
        </w:rPr>
        <w:t>，具体如下：</w:t>
      </w:r>
    </w:p>
    <w:p w14:paraId="324E147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highlight w:val="none"/>
        </w:rPr>
        <w:t>根据因公出国计划和实际工作需要，2025年安排因公出国（境）费用预算0.00万元，</w:t>
      </w:r>
      <w:r>
        <w:rPr>
          <w:rFonts w:hint="eastAsia" w:ascii="仿宋_GB2312" w:hAnsi="仿宋_GB2312" w:eastAsia="仿宋_GB2312" w:cs="仿宋_GB2312"/>
          <w:sz w:val="32"/>
          <w:szCs w:val="32"/>
          <w:highlight w:val="none"/>
          <w:lang w:val="en-US" w:eastAsia="zh-CN"/>
        </w:rPr>
        <w:t>与上年预算数持平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持平的</w:t>
      </w:r>
      <w:r>
        <w:rPr>
          <w:rFonts w:hint="eastAsia" w:ascii="仿宋_GB2312" w:hAnsi="仿宋_GB2312" w:eastAsia="仿宋_GB2312" w:cs="仿宋_GB2312"/>
          <w:sz w:val="32"/>
          <w:szCs w:val="32"/>
        </w:rPr>
        <w:t>主要原因是由相关部门从严审批控制，根据实际情况调整，年初未纳入部门预算。</w:t>
      </w:r>
    </w:p>
    <w:p w14:paraId="560D200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2.公务接待费：2025年安排公务接待费预算0.00万元，</w:t>
      </w:r>
      <w:r>
        <w:rPr>
          <w:rFonts w:hint="eastAsia" w:ascii="仿宋_GB2312" w:eastAsia="仿宋_GB2312"/>
          <w:color w:val="000000"/>
          <w:sz w:val="32"/>
          <w:szCs w:val="32"/>
        </w:rPr>
        <w:t>与上年</w:t>
      </w:r>
      <w:r>
        <w:rPr>
          <w:rFonts w:hint="eastAsia" w:ascii="仿宋_GB2312" w:eastAsia="仿宋_GB2312"/>
          <w:color w:val="000000"/>
          <w:sz w:val="32"/>
          <w:szCs w:val="32"/>
          <w:lang w:val="en-US" w:eastAsia="zh-CN"/>
        </w:rPr>
        <w:t>预算</w:t>
      </w:r>
      <w:r>
        <w:rPr>
          <w:rFonts w:hint="eastAsia" w:ascii="仿宋_GB2312" w:eastAsia="仿宋_GB2312"/>
          <w:color w:val="000000"/>
          <w:sz w:val="32"/>
          <w:szCs w:val="32"/>
        </w:rPr>
        <w:t>数持平</w:t>
      </w:r>
      <w:r>
        <w:rPr>
          <w:rFonts w:hint="eastAsia" w:ascii="仿宋_GB2312" w:hAnsi="仿宋_GB2312" w:eastAsia="仿宋_GB2312" w:cs="仿宋_GB2312"/>
          <w:sz w:val="32"/>
          <w:szCs w:val="32"/>
        </w:rPr>
        <w:t>。</w:t>
      </w:r>
      <w:r>
        <w:rPr>
          <w:rFonts w:ascii="仿宋_GB2312" w:hAnsi="仿宋_GB2312" w:eastAsia="仿宋_GB2312" w:cs="仿宋_GB2312"/>
          <w:kern w:val="0"/>
          <w:sz w:val="32"/>
          <w:szCs w:val="32"/>
        </w:rPr>
        <w:t>持平的主要原因是</w:t>
      </w:r>
      <w:r>
        <w:rPr>
          <w:rFonts w:hint="eastAsia" w:ascii="仿宋_GB2312" w:hAnsi="仿宋_GB2312" w:eastAsia="仿宋_GB2312" w:cs="仿宋_GB2312"/>
          <w:kern w:val="0"/>
          <w:sz w:val="32"/>
          <w:szCs w:val="32"/>
        </w:rPr>
        <w:t>由相关部门从严审批控制，年初未列部门预算</w:t>
      </w:r>
      <w:r>
        <w:rPr>
          <w:rFonts w:ascii="仿宋_GB2312" w:hAnsi="仿宋_GB2312" w:eastAsia="仿宋_GB2312" w:cs="仿宋_GB2312"/>
          <w:kern w:val="0"/>
          <w:sz w:val="32"/>
          <w:szCs w:val="32"/>
        </w:rPr>
        <w:t>。</w:t>
      </w:r>
    </w:p>
    <w:p w14:paraId="5E50387F">
      <w:pPr>
        <w:pStyle w:val="15"/>
        <w:keepNext w:val="0"/>
        <w:keepLines w:val="0"/>
        <w:pageBreakBefore w:val="0"/>
        <w:widowControl/>
        <w:kinsoku/>
        <w:wordWrap/>
        <w:overflowPunct/>
        <w:topLinePunct w:val="0"/>
        <w:autoSpaceDE/>
        <w:autoSpaceDN/>
        <w:bidi w:val="0"/>
        <w:adjustRightInd/>
        <w:snapToGrid/>
        <w:spacing w:line="520" w:lineRule="exact"/>
        <w:ind w:firstLine="627" w:firstLineChars="196"/>
        <w:textAlignment w:val="auto"/>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highlight w:val="none"/>
        </w:rPr>
        <w:t>公务用车购置及运行维护费：2025年安排公务用车购置及运行维护费预算0.00万元，与上年预算数</w:t>
      </w:r>
      <w:r>
        <w:rPr>
          <w:rFonts w:hint="eastAsia" w:ascii="仿宋_GB2312" w:hAnsi="仿宋_GB2312" w:eastAsia="仿宋_GB2312"/>
          <w:sz w:val="32"/>
          <w:highlight w:val="none"/>
          <w:shd w:val="clear" w:color="auto" w:fill="FFFFFF"/>
        </w:rPr>
        <w:t>持平</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辆公务用车，与上年预算数</w:t>
      </w:r>
      <w:r>
        <w:rPr>
          <w:rFonts w:hint="eastAsia" w:ascii="仿宋_GB2312" w:hAnsi="仿宋_GB2312" w:eastAsia="仿宋_GB2312"/>
          <w:sz w:val="32"/>
          <w:highlight w:val="none"/>
          <w:shd w:val="clear" w:color="auto" w:fill="FFFFFF"/>
        </w:rPr>
        <w:t>持平</w:t>
      </w:r>
      <w:r>
        <w:rPr>
          <w:rFonts w:hint="eastAsia" w:ascii="仿宋_GB2312" w:eastAsia="仿宋_GB2312"/>
          <w:sz w:val="32"/>
          <w:szCs w:val="32"/>
          <w:highlight w:val="none"/>
        </w:rPr>
        <w:t>，主要原因是</w:t>
      </w:r>
      <w:r>
        <w:rPr>
          <w:rFonts w:ascii="仿宋_GB2312" w:hAnsi="仿宋_GB2312" w:eastAsia="仿宋_GB2312" w:cs="仿宋_GB2312"/>
          <w:sz w:val="32"/>
          <w:szCs w:val="32"/>
          <w:highlight w:val="none"/>
        </w:rPr>
        <w:t>预算未安排购置车辆</w:t>
      </w:r>
      <w:r>
        <w:rPr>
          <w:rFonts w:hint="eastAsia" w:ascii="仿宋_GB2312" w:eastAsia="仿宋_GB2312"/>
          <w:sz w:val="32"/>
          <w:szCs w:val="32"/>
          <w:highlight w:val="none"/>
        </w:rPr>
        <w:t>；公务用车运行维护费支出0.00万元，主要用于公务用车燃料费、新能源汽车充电费、维修费、过桥过路费、保险费、安全奖励费用等支出。与上年预算数持平，主要原因是预算未安排公务用车运行维护费。</w:t>
      </w:r>
    </w:p>
    <w:p w14:paraId="25EFA672">
      <w:pPr>
        <w:pStyle w:val="15"/>
        <w:numPr>
          <w:ilvl w:val="0"/>
          <w:numId w:val="3"/>
        </w:numPr>
        <w:spacing w:line="520" w:lineRule="exac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其他重要事项的情况说明</w:t>
      </w:r>
    </w:p>
    <w:p w14:paraId="57A47F5B">
      <w:pPr>
        <w:pStyle w:val="15"/>
        <w:spacing w:line="520" w:lineRule="exact"/>
        <w:ind w:firstLine="630" w:firstLineChars="196"/>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14:paraId="6BF2228C">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rPr>
        <w:t>2025年</w:t>
      </w:r>
      <w:r>
        <w:rPr>
          <w:rFonts w:hint="eastAsia" w:ascii="仿宋_GB2312" w:eastAsia="仿宋_GB2312"/>
          <w:sz w:val="32"/>
          <w:szCs w:val="32"/>
        </w:rPr>
        <w:fldChar w:fldCharType="begin"/>
      </w:r>
      <w:r>
        <w:rPr>
          <w:rFonts w:hint="eastAsia" w:ascii="仿宋_GB2312" w:eastAsia="仿宋_GB2312"/>
          <w:sz w:val="32"/>
          <w:szCs w:val="32"/>
        </w:rPr>
        <w:instrText xml:space="preserve">MERGEFIELD ${page855778723.ds388518707_V_RPT_BAS_AGENCY_INFO_NAME}</w:instrText>
      </w:r>
      <w:r>
        <w:rPr>
          <w:rFonts w:hint="eastAsia" w:ascii="仿宋_GB2312" w:eastAsia="仿宋_GB2312"/>
          <w:sz w:val="32"/>
          <w:szCs w:val="32"/>
        </w:rPr>
        <w:fldChar w:fldCharType="separate"/>
      </w:r>
      <w:r>
        <w:rPr>
          <w:rFonts w:hint="eastAsia" w:ascii="仿宋_GB2312" w:eastAsia="仿宋_GB2312"/>
          <w:sz w:val="32"/>
          <w:szCs w:val="32"/>
        </w:rPr>
        <w:t>德清县康乾街道社区卫生服务中心</w:t>
      </w:r>
      <w:r>
        <w:rPr>
          <w:rFonts w:hint="eastAsia" w:ascii="仿宋_GB2312" w:eastAsia="仿宋_GB2312"/>
          <w:sz w:val="32"/>
          <w:szCs w:val="32"/>
        </w:rPr>
        <w:fldChar w:fldCharType="end"/>
      </w:r>
      <w:r>
        <w:rPr>
          <w:rFonts w:hint="eastAsia" w:ascii="仿宋_GB2312" w:eastAsia="仿宋_GB2312"/>
          <w:color w:val="000000"/>
          <w:sz w:val="32"/>
          <w:szCs w:val="32"/>
        </w:rPr>
        <w:t>各单位政府采购预算总额147.13万元，其中：</w:t>
      </w:r>
      <w:r>
        <w:rPr>
          <w:rFonts w:hint="eastAsia" w:ascii="仿宋_GB2312" w:eastAsia="仿宋_GB2312"/>
          <w:color w:val="000000"/>
          <w:sz w:val="32"/>
          <w:szCs w:val="32"/>
          <w:highlight w:val="none"/>
        </w:rPr>
        <w:t>政府采购货物预算0.00万元、政府采购工程预算0.00万元、</w:t>
      </w:r>
      <w:r>
        <w:rPr>
          <w:rFonts w:hint="eastAsia" w:ascii="仿宋_GB2312" w:eastAsia="仿宋_GB2312"/>
          <w:color w:val="000000"/>
          <w:sz w:val="32"/>
          <w:szCs w:val="32"/>
        </w:rPr>
        <w:t>政府采购服务预算147.13万元。</w:t>
      </w:r>
    </w:p>
    <w:p w14:paraId="12724E81">
      <w:pPr>
        <w:pStyle w:val="15"/>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14:paraId="412CCF05">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截至2024年12月31日，</w:t>
      </w:r>
      <w:r>
        <w:rPr>
          <w:rFonts w:hint="eastAsia" w:ascii="仿宋_GB2312" w:hAnsi="仿宋_GB2312" w:eastAsia="仿宋_GB2312"/>
          <w:sz w:val="32"/>
        </w:rPr>
        <w:fldChar w:fldCharType="begin"/>
      </w:r>
      <w:r>
        <w:rPr>
          <w:rFonts w:hint="eastAsia" w:ascii="仿宋_GB2312" w:hAnsi="仿宋_GB2312" w:eastAsia="仿宋_GB2312"/>
          <w:sz w:val="32"/>
        </w:rPr>
        <w:instrText xml:space="preserve">MERGEFIELD ${page855778723.ds388518707_V_RPT_BAS_AGENCY_INFO_NAME}</w:instrText>
      </w:r>
      <w:r>
        <w:rPr>
          <w:rFonts w:hint="eastAsia" w:ascii="仿宋_GB2312" w:hAnsi="仿宋_GB2312" w:eastAsia="仿宋_GB2312"/>
          <w:sz w:val="32"/>
        </w:rPr>
        <w:fldChar w:fldCharType="separate"/>
      </w:r>
      <w:r>
        <w:rPr>
          <w:rFonts w:hint="eastAsia" w:ascii="仿宋_GB2312" w:hAnsi="仿宋_GB2312" w:eastAsia="仿宋_GB2312"/>
          <w:sz w:val="32"/>
        </w:rPr>
        <w:t>德清县康乾街道社区卫生服务中心</w:t>
      </w:r>
      <w:r>
        <w:rPr>
          <w:rFonts w:hint="eastAsia" w:ascii="仿宋_GB2312" w:hAnsi="仿宋_GB2312" w:eastAsia="仿宋_GB2312"/>
          <w:sz w:val="32"/>
        </w:rPr>
        <w:fldChar w:fldCharType="end"/>
      </w:r>
      <w:r>
        <w:rPr>
          <w:rFonts w:hint="eastAsia" w:ascii="仿宋_GB2312" w:hAnsi="仿宋_GB2312" w:eastAsia="仿宋_GB2312" w:cs="仿宋_GB2312"/>
          <w:spacing w:val="6"/>
          <w:sz w:val="32"/>
          <w:szCs w:val="32"/>
        </w:rPr>
        <w:t>共有车辆</w:t>
      </w:r>
      <w:r>
        <w:rPr>
          <w:rFonts w:hint="eastAsia" w:ascii="仿宋_GB2312" w:hAnsi="仿宋_GB2312" w:eastAsia="仿宋_GB2312" w:cs="仿宋_GB2312"/>
          <w:sz w:val="32"/>
          <w:szCs w:val="32"/>
        </w:rPr>
        <w:t xml:space="preserve">1辆，其中，应急保障用车0辆、老干部服务用车0辆、执法执勤用车0辆、特种专业技术用车1辆、行政执法专用车0辆。单位价值100万元以上设备1台。 </w:t>
      </w:r>
    </w:p>
    <w:p w14:paraId="1B57E717">
      <w:pPr>
        <w:pStyle w:val="15"/>
        <w:spacing w:line="520" w:lineRule="exact"/>
        <w:ind w:firstLine="640" w:firstLineChars="200"/>
        <w:rPr>
          <w:rFonts w:ascii="仿宋_GB2312" w:hAnsi="仿宋_GB2312" w:eastAsia="仿宋_GB2312" w:cs="仿宋_GB2312"/>
          <w:bCs/>
          <w:kern w:val="2"/>
          <w:sz w:val="32"/>
          <w:szCs w:val="32"/>
        </w:rPr>
      </w:pPr>
      <w:r>
        <w:rPr>
          <w:rFonts w:ascii="仿宋_GB2312" w:hAnsi="仿宋_GB2312" w:eastAsia="仿宋_GB2312" w:cs="仿宋_GB2312"/>
          <w:sz w:val="32"/>
          <w:szCs w:val="32"/>
        </w:rPr>
        <w:t>2025</w:t>
      </w:r>
      <w:r>
        <w:rPr>
          <w:rFonts w:ascii="仿宋_GB2312" w:hAnsi="仿宋_GB2312" w:eastAsia="仿宋_GB2312" w:cs="仿宋_GB2312"/>
          <w:bCs/>
          <w:kern w:val="2"/>
          <w:sz w:val="32"/>
          <w:szCs w:val="32"/>
        </w:rPr>
        <w:t>年部门预算</w:t>
      </w:r>
      <w:r>
        <w:rPr>
          <w:rFonts w:hint="eastAsia" w:ascii="仿宋_GB2312" w:hAnsi="仿宋_GB2312" w:eastAsia="仿宋_GB2312" w:cs="仿宋_GB2312"/>
          <w:bCs/>
          <w:kern w:val="2"/>
          <w:sz w:val="32"/>
          <w:szCs w:val="32"/>
        </w:rPr>
        <w:t>未安排购置车辆、单位价值100万元以上设备。</w:t>
      </w:r>
    </w:p>
    <w:p w14:paraId="2B541630">
      <w:pPr>
        <w:spacing w:line="520" w:lineRule="exact"/>
        <w:ind w:firstLine="643" w:firstLineChars="200"/>
        <w:rPr>
          <w:rFonts w:ascii="仿宋_GB2312" w:eastAsia="仿宋_GB2312"/>
          <w:b/>
          <w:bCs/>
          <w:sz w:val="32"/>
          <w:szCs w:val="32"/>
        </w:rPr>
      </w:pPr>
      <w:r>
        <w:rPr>
          <w:rFonts w:hint="eastAsia" w:ascii="仿宋_GB2312" w:eastAsia="仿宋_GB2312"/>
          <w:b/>
          <w:bCs/>
          <w:sz w:val="32"/>
          <w:szCs w:val="32"/>
        </w:rPr>
        <w:t>3.预算绩效情况说明。</w:t>
      </w:r>
    </w:p>
    <w:p w14:paraId="5135BF55">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2025年</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MERGEFIELD ${page855778723.ds388518707_V_RPT_BAS_AGENCY_INFO_NAME}</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德清县康乾街道社区卫生服务中心</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其他运转类项目和特定目标类项目均实行绩效目标管理，共计</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个一级项目，涉及当年资金</w:t>
      </w:r>
      <w:r>
        <w:rPr>
          <w:rFonts w:hint="eastAsia" w:ascii="仿宋_GB2312" w:hAnsi="仿宋_GB2312" w:eastAsia="仿宋_GB2312" w:cs="仿宋_GB2312"/>
          <w:sz w:val="32"/>
          <w:szCs w:val="32"/>
        </w:rPr>
        <w:t>1174.97</w:t>
      </w:r>
      <w:r>
        <w:rPr>
          <w:rFonts w:ascii="仿宋_GB2312" w:hAnsi="仿宋_GB2312" w:eastAsia="仿宋_GB2312" w:cs="仿宋_GB2312"/>
          <w:sz w:val="32"/>
          <w:szCs w:val="32"/>
        </w:rPr>
        <w:t>万元。</w:t>
      </w:r>
      <w:r>
        <w:rPr>
          <w:rFonts w:ascii="仿宋_GB2312" w:hAnsi="仿宋_GB2312" w:eastAsia="仿宋_GB2312" w:cs="仿宋_GB2312"/>
          <w:sz w:val="32"/>
          <w:szCs w:val="32"/>
          <w:highlight w:val="none"/>
        </w:rPr>
        <w:t>同时，将按照相关制度规定开展绩效自评。一级项目绩效目标表，详见“</w:t>
      </w:r>
      <w:r>
        <w:rPr>
          <w:rFonts w:hint="eastAsia" w:ascii="仿宋_GB2312" w:hAnsi="仿宋_GB2312" w:eastAsia="仿宋_GB2312" w:cs="仿宋_GB2312"/>
          <w:sz w:val="32"/>
          <w:szCs w:val="32"/>
          <w:highlight w:val="none"/>
          <w:lang w:val="en-US" w:eastAsia="zh-CN"/>
        </w:rPr>
        <w:t>部门</w:t>
      </w:r>
      <w:bookmarkStart w:id="1" w:name="_GoBack"/>
      <w:bookmarkEnd w:id="1"/>
      <w:r>
        <w:rPr>
          <w:rFonts w:ascii="仿宋_GB2312" w:hAnsi="仿宋_GB2312" w:eastAsia="仿宋_GB2312" w:cs="仿宋_GB2312"/>
          <w:sz w:val="32"/>
          <w:szCs w:val="32"/>
          <w:highlight w:val="none"/>
        </w:rPr>
        <w:t>项目支出绩效表”</w:t>
      </w:r>
      <w:r>
        <w:rPr>
          <w:rFonts w:hint="eastAsia" w:ascii="仿宋_GB2312" w:hAnsi="仿宋_GB2312" w:eastAsia="仿宋_GB2312" w:cs="仿宋_GB2312"/>
          <w:sz w:val="32"/>
          <w:szCs w:val="32"/>
          <w:highlight w:val="none"/>
        </w:rPr>
        <w:t>。</w:t>
      </w:r>
    </w:p>
    <w:p w14:paraId="52239686">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26BF4DB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31E9579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2.事业收入：事业单位开展专业业务活动及辅助活动所取得的收入，不含财政专户管理资金收入。</w:t>
      </w:r>
    </w:p>
    <w:p w14:paraId="07C75A4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收入：预算单位在“一般公共预算”“政府性基金预算”“国有资本经营预算”“财政专户管理资金”“事业收入”“事业单位经营收入”“上级补助收入”和“附属单位上缴收入”等之外取得的各项收入。</w:t>
      </w:r>
    </w:p>
    <w:p w14:paraId="1514D64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4.上年结转</w:t>
      </w:r>
      <w:r>
        <w:rPr>
          <w:rFonts w:hint="eastAsia" w:ascii="仿宋_GB2312" w:hAnsi="仿宋_GB2312" w:eastAsia="仿宋_GB2312" w:cs="仿宋_GB2312"/>
          <w:sz w:val="32"/>
          <w:szCs w:val="32"/>
          <w:lang w:val="en-US" w:eastAsia="zh-CN"/>
        </w:rPr>
        <w:t>结余</w:t>
      </w:r>
      <w:r>
        <w:rPr>
          <w:rFonts w:hint="eastAsia" w:ascii="仿宋_GB2312" w:hAnsi="仿宋_GB2312" w:eastAsia="仿宋_GB2312" w:cs="仿宋_GB2312"/>
          <w:sz w:val="32"/>
          <w:szCs w:val="32"/>
        </w:rPr>
        <w:t>：指以前年度尚未完成、结转到本年仍按原规定用途继续使用的资金。</w:t>
      </w:r>
    </w:p>
    <w:p w14:paraId="765DB6C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5.基本支出：是预算单位为保障其正常运转，完成日常工作任务所发生的支出，包括人员支出和日常公用支出。</w:t>
      </w:r>
    </w:p>
    <w:p w14:paraId="330287D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6.项目支出：是预算单位为完成其特定的行政工作任务或事业发展目标所发生的支出。</w:t>
      </w:r>
    </w:p>
    <w:p w14:paraId="7B08EA6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14:paraId="22F42317">
      <w:pPr>
        <w:spacing w:line="276"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卫生健康支出（类）基层医疗卫生机构（款）乡镇卫生院（项）：指反映用于乡镇卫生院的支出。</w:t>
      </w:r>
    </w:p>
    <w:p w14:paraId="278FC0C0">
      <w:pPr>
        <w:spacing w:line="276"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卫生健康支出（类）公共卫生（款）基本公共卫生服务（项）：指反映用于基本公共卫生服务的支出。</w:t>
      </w:r>
    </w:p>
    <w:p w14:paraId="387C4EB3">
      <w:pPr>
        <w:spacing w:line="276" w:lineRule="auto"/>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卫生健康支出（类）行政事业单位医疗（款）公务员医疗补助（项）：主要用于公务员医疗缴费补助。</w:t>
      </w:r>
    </w:p>
    <w:p w14:paraId="7B297571">
      <w:pPr>
        <w:spacing w:line="276" w:lineRule="auto"/>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卫生健康支出（类）其他卫生健康支出（款）其他卫生健康支出（项）：指反映用于其他卫生健康的支出。</w:t>
      </w:r>
    </w:p>
    <w:p w14:paraId="4033CE4E">
      <w:pPr>
        <w:spacing w:line="276" w:lineRule="auto"/>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城乡社区支出（类）国有土地使用权出让收入安排的支出（款）其他国有土地使用权出让收入安排的支出（项）：</w:t>
      </w:r>
      <w:r>
        <w:rPr>
          <w:rFonts w:ascii="仿宋_GB2312" w:hAnsi="仿宋_GB2312" w:eastAsia="仿宋_GB2312" w:cs="仿宋_GB2312"/>
          <w:sz w:val="32"/>
          <w:szCs w:val="32"/>
        </w:rPr>
        <w:t>指反映土地出让收入用于其他方面的支出。</w:t>
      </w:r>
    </w:p>
    <w:p w14:paraId="2E4E4963">
      <w:pPr>
        <w:spacing w:line="276" w:lineRule="auto"/>
        <w:ind w:firstLine="640"/>
        <w:jc w:val="left"/>
        <w:rPr>
          <w:rFonts w:ascii="仿宋_GB2312" w:hAnsi="仿宋_GB2312" w:eastAsia="仿宋_GB2312" w:cs="仿宋_GB2312"/>
          <w:sz w:val="32"/>
          <w:szCs w:val="32"/>
        </w:rPr>
      </w:pPr>
    </w:p>
    <w:p w14:paraId="1D822F11">
      <w:pPr>
        <w:spacing w:line="276" w:lineRule="auto"/>
        <w:ind w:firstLine="640"/>
        <w:jc w:val="left"/>
        <w:rPr>
          <w:rFonts w:ascii="仿宋_GB2312" w:hAnsi="仿宋_GB2312" w:eastAsia="仿宋_GB2312" w:cs="仿宋_GB2312"/>
          <w:sz w:val="32"/>
          <w:szCs w:val="32"/>
        </w:rPr>
      </w:pPr>
    </w:p>
    <w:p w14:paraId="50F263D1">
      <w:pPr>
        <w:spacing w:line="276" w:lineRule="auto"/>
        <w:ind w:firstLine="640"/>
        <w:jc w:val="left"/>
        <w:rPr>
          <w:rFonts w:ascii="仿宋_GB2312" w:hAnsi="仿宋_GB2312" w:eastAsia="仿宋_GB2312" w:cs="仿宋_GB2312"/>
          <w:sz w:val="32"/>
          <w:szCs w:val="32"/>
        </w:rPr>
      </w:pPr>
    </w:p>
    <w:p w14:paraId="4E10DF49">
      <w:pPr>
        <w:spacing w:line="520" w:lineRule="exact"/>
      </w:pPr>
    </w:p>
    <w:p w14:paraId="70843DC7"/>
    <w:p w14:paraId="0A402824">
      <w:pPr>
        <w:pStyle w:val="10"/>
        <w:rPr>
          <w:rFonts w:hint="default"/>
        </w:rPr>
      </w:pPr>
    </w:p>
    <w:p w14:paraId="70AEA65E">
      <w:pPr>
        <w:pStyle w:val="10"/>
        <w:rPr>
          <w:rFonts w:hint="default"/>
        </w:rPr>
      </w:pPr>
    </w:p>
    <w:p w14:paraId="7D94F554">
      <w:pPr>
        <w:pStyle w:val="10"/>
        <w:rPr>
          <w:rFonts w:hint="default"/>
        </w:rPr>
        <w:sectPr>
          <w:headerReference r:id="rId3" w:type="default"/>
          <w:pgSz w:w="11906" w:h="16838"/>
          <w:pgMar w:top="1440" w:right="1800" w:bottom="1440" w:left="1800" w:header="851" w:footer="992" w:gutter="0"/>
          <w:pgNumType w:start="6"/>
          <w:cols w:space="425" w:num="1"/>
          <w:docGrid w:type="lines" w:linePitch="312" w:charSpace="0"/>
        </w:sectPr>
      </w:pPr>
    </w:p>
    <w:p w14:paraId="3DCCCAA3">
      <w:pPr>
        <w:pStyle w:val="10"/>
        <w:rPr>
          <w:rFonts w:hint="default"/>
        </w:rPr>
      </w:pPr>
      <w:bookmarkStart w:id="0" w:name="RANGE!A1:D22"/>
      <w:bookmarkEnd w:id="0"/>
      <w:r>
        <w:drawing>
          <wp:inline distT="0" distB="0" distL="0" distR="0">
            <wp:extent cx="8863330" cy="4881245"/>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a:srcRect/>
                    <a:stretch>
                      <a:fillRect/>
                    </a:stretch>
                  </pic:blipFill>
                  <pic:spPr>
                    <a:xfrm>
                      <a:off x="0" y="0"/>
                      <a:ext cx="8863330" cy="4881468"/>
                    </a:xfrm>
                    <a:prstGeom prst="rect">
                      <a:avLst/>
                    </a:prstGeom>
                    <a:noFill/>
                    <a:ln w="9525">
                      <a:noFill/>
                      <a:miter lim="800000"/>
                      <a:headEnd/>
                      <a:tailEnd/>
                    </a:ln>
                  </pic:spPr>
                </pic:pic>
              </a:graphicData>
            </a:graphic>
          </wp:inline>
        </w:drawing>
      </w:r>
    </w:p>
    <w:p w14:paraId="75E3AFE0">
      <w:pPr>
        <w:pStyle w:val="10"/>
        <w:rPr>
          <w:rFonts w:hint="default"/>
        </w:rPr>
      </w:pPr>
    </w:p>
    <w:p w14:paraId="04A47DFB">
      <w:pPr>
        <w:pStyle w:val="10"/>
        <w:rPr>
          <w:rFonts w:hint="default"/>
        </w:rPr>
      </w:pPr>
      <w:r>
        <w:drawing>
          <wp:inline distT="0" distB="0" distL="0" distR="0">
            <wp:extent cx="8863330" cy="247777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srcRect/>
                    <a:stretch>
                      <a:fillRect/>
                    </a:stretch>
                  </pic:blipFill>
                  <pic:spPr>
                    <a:xfrm>
                      <a:off x="0" y="0"/>
                      <a:ext cx="8863330" cy="2478098"/>
                    </a:xfrm>
                    <a:prstGeom prst="rect">
                      <a:avLst/>
                    </a:prstGeom>
                    <a:noFill/>
                    <a:ln w="9525">
                      <a:noFill/>
                      <a:miter lim="800000"/>
                      <a:headEnd/>
                      <a:tailEnd/>
                    </a:ln>
                  </pic:spPr>
                </pic:pic>
              </a:graphicData>
            </a:graphic>
          </wp:inline>
        </w:drawing>
      </w:r>
    </w:p>
    <w:p w14:paraId="06CAFBAE">
      <w:pPr>
        <w:pStyle w:val="10"/>
        <w:rPr>
          <w:rFonts w:hint="default"/>
        </w:rPr>
      </w:pPr>
    </w:p>
    <w:p w14:paraId="61A9AD42">
      <w:pPr>
        <w:pStyle w:val="10"/>
        <w:rPr>
          <w:rFonts w:hint="default"/>
        </w:rPr>
      </w:pPr>
    </w:p>
    <w:p w14:paraId="6B1D32B8">
      <w:pPr>
        <w:pStyle w:val="10"/>
        <w:rPr>
          <w:rFonts w:hint="default"/>
        </w:rPr>
      </w:pPr>
    </w:p>
    <w:p w14:paraId="5D1407B7">
      <w:pPr>
        <w:pStyle w:val="10"/>
        <w:rPr>
          <w:rFonts w:hint="default"/>
        </w:rPr>
      </w:pPr>
    </w:p>
    <w:p w14:paraId="7D1A1799">
      <w:pPr>
        <w:pStyle w:val="10"/>
        <w:rPr>
          <w:rFonts w:hint="default"/>
        </w:rPr>
      </w:pPr>
    </w:p>
    <w:p w14:paraId="2CA8F5D2">
      <w:pPr>
        <w:pStyle w:val="10"/>
        <w:rPr>
          <w:rFonts w:hint="default"/>
        </w:rPr>
      </w:pPr>
    </w:p>
    <w:p w14:paraId="6A593B26">
      <w:pPr>
        <w:pStyle w:val="10"/>
        <w:rPr>
          <w:rFonts w:hint="default"/>
        </w:rPr>
      </w:pPr>
    </w:p>
    <w:p w14:paraId="45E69D1D">
      <w:pPr>
        <w:pStyle w:val="10"/>
        <w:rPr>
          <w:rFonts w:hint="default"/>
        </w:rPr>
      </w:pPr>
    </w:p>
    <w:p w14:paraId="4CC676F4">
      <w:pPr>
        <w:pStyle w:val="10"/>
        <w:rPr>
          <w:rFonts w:hint="default"/>
        </w:rPr>
      </w:pPr>
    </w:p>
    <w:p w14:paraId="30EA66B5">
      <w:pPr>
        <w:pStyle w:val="10"/>
        <w:rPr>
          <w:rFonts w:hint="default"/>
        </w:rPr>
      </w:pPr>
    </w:p>
    <w:p w14:paraId="6A8630A3">
      <w:pPr>
        <w:pStyle w:val="10"/>
        <w:rPr>
          <w:rFonts w:hint="default"/>
        </w:rPr>
      </w:pPr>
    </w:p>
    <w:p w14:paraId="182AD00F">
      <w:pPr>
        <w:pStyle w:val="10"/>
        <w:rPr>
          <w:rFonts w:hint="default"/>
        </w:rPr>
      </w:pPr>
    </w:p>
    <w:p w14:paraId="5D2C9324">
      <w:pPr>
        <w:pStyle w:val="10"/>
        <w:rPr>
          <w:rFonts w:hint="default"/>
        </w:rPr>
      </w:pPr>
    </w:p>
    <w:p w14:paraId="3443371F">
      <w:pPr>
        <w:pStyle w:val="10"/>
        <w:rPr>
          <w:rFonts w:hint="default"/>
        </w:rPr>
      </w:pPr>
      <w:r>
        <w:drawing>
          <wp:inline distT="0" distB="0" distL="0" distR="0">
            <wp:extent cx="8863330" cy="4286885"/>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a:srcRect/>
                    <a:stretch>
                      <a:fillRect/>
                    </a:stretch>
                  </pic:blipFill>
                  <pic:spPr>
                    <a:xfrm>
                      <a:off x="0" y="0"/>
                      <a:ext cx="8863330" cy="4287109"/>
                    </a:xfrm>
                    <a:prstGeom prst="rect">
                      <a:avLst/>
                    </a:prstGeom>
                    <a:noFill/>
                    <a:ln w="9525">
                      <a:noFill/>
                      <a:miter lim="800000"/>
                      <a:headEnd/>
                      <a:tailEnd/>
                    </a:ln>
                  </pic:spPr>
                </pic:pic>
              </a:graphicData>
            </a:graphic>
          </wp:inline>
        </w:drawing>
      </w:r>
    </w:p>
    <w:p w14:paraId="7B18701B">
      <w:pPr>
        <w:pStyle w:val="10"/>
        <w:rPr>
          <w:rFonts w:hint="default"/>
        </w:rPr>
      </w:pPr>
    </w:p>
    <w:p w14:paraId="289697CE">
      <w:pPr>
        <w:pStyle w:val="10"/>
        <w:rPr>
          <w:rFonts w:hint="default"/>
        </w:rPr>
      </w:pPr>
    </w:p>
    <w:p w14:paraId="46DE0C67">
      <w:pPr>
        <w:pStyle w:val="10"/>
        <w:rPr>
          <w:rFonts w:hint="default"/>
        </w:rPr>
      </w:pPr>
    </w:p>
    <w:p w14:paraId="2CB2EE9C">
      <w:pPr>
        <w:pStyle w:val="10"/>
        <w:rPr>
          <w:rFonts w:hint="default"/>
        </w:rPr>
      </w:pPr>
    </w:p>
    <w:p w14:paraId="2E196AA2">
      <w:pPr>
        <w:pStyle w:val="10"/>
        <w:rPr>
          <w:rFonts w:hint="default"/>
        </w:rPr>
      </w:pPr>
      <w:r>
        <w:drawing>
          <wp:inline distT="0" distB="0" distL="0" distR="0">
            <wp:extent cx="8856345" cy="4810125"/>
            <wp:effectExtent l="19050" t="0" r="1794"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8"/>
                    <a:srcRect/>
                    <a:stretch>
                      <a:fillRect/>
                    </a:stretch>
                  </pic:blipFill>
                  <pic:spPr>
                    <a:xfrm>
                      <a:off x="0" y="0"/>
                      <a:ext cx="8863330" cy="4813859"/>
                    </a:xfrm>
                    <a:prstGeom prst="rect">
                      <a:avLst/>
                    </a:prstGeom>
                    <a:noFill/>
                    <a:ln w="9525">
                      <a:noFill/>
                      <a:miter lim="800000"/>
                      <a:headEnd/>
                      <a:tailEnd/>
                    </a:ln>
                  </pic:spPr>
                </pic:pic>
              </a:graphicData>
            </a:graphic>
          </wp:inline>
        </w:drawing>
      </w:r>
    </w:p>
    <w:p w14:paraId="3929B3AE">
      <w:pPr>
        <w:pStyle w:val="10"/>
        <w:rPr>
          <w:rFonts w:hint="default"/>
        </w:rPr>
      </w:pPr>
    </w:p>
    <w:p w14:paraId="7FEE5CCE">
      <w:pPr>
        <w:pStyle w:val="10"/>
        <w:rPr>
          <w:rFonts w:hint="default"/>
        </w:rPr>
      </w:pPr>
      <w:r>
        <w:drawing>
          <wp:inline distT="0" distB="0" distL="0" distR="0">
            <wp:extent cx="8863330" cy="399351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srcRect/>
                    <a:stretch>
                      <a:fillRect/>
                    </a:stretch>
                  </pic:blipFill>
                  <pic:spPr>
                    <a:xfrm>
                      <a:off x="0" y="0"/>
                      <a:ext cx="8863330" cy="3993859"/>
                    </a:xfrm>
                    <a:prstGeom prst="rect">
                      <a:avLst/>
                    </a:prstGeom>
                    <a:noFill/>
                    <a:ln w="9525">
                      <a:noFill/>
                      <a:miter lim="800000"/>
                      <a:headEnd/>
                      <a:tailEnd/>
                    </a:ln>
                  </pic:spPr>
                </pic:pic>
              </a:graphicData>
            </a:graphic>
          </wp:inline>
        </w:drawing>
      </w:r>
    </w:p>
    <w:p w14:paraId="030E323A">
      <w:pPr>
        <w:pStyle w:val="10"/>
        <w:rPr>
          <w:rFonts w:hint="default"/>
        </w:rPr>
      </w:pPr>
    </w:p>
    <w:p w14:paraId="6AA81DF0">
      <w:pPr>
        <w:pStyle w:val="10"/>
        <w:rPr>
          <w:rFonts w:hint="default"/>
        </w:rPr>
      </w:pPr>
    </w:p>
    <w:p w14:paraId="3E074521">
      <w:pPr>
        <w:pStyle w:val="10"/>
        <w:rPr>
          <w:rFonts w:hint="default"/>
        </w:rPr>
      </w:pPr>
    </w:p>
    <w:p w14:paraId="2DBFB5F7">
      <w:pPr>
        <w:pStyle w:val="10"/>
        <w:rPr>
          <w:rFonts w:hint="default"/>
        </w:rPr>
      </w:pPr>
    </w:p>
    <w:p w14:paraId="718F9518">
      <w:pPr>
        <w:pStyle w:val="10"/>
        <w:rPr>
          <w:rFonts w:hint="default"/>
        </w:rPr>
      </w:pPr>
    </w:p>
    <w:p w14:paraId="6078C8F4">
      <w:pPr>
        <w:pStyle w:val="10"/>
        <w:rPr>
          <w:rFonts w:hint="default"/>
        </w:rPr>
      </w:pPr>
      <w:r>
        <w:drawing>
          <wp:inline distT="0" distB="0" distL="0" distR="0">
            <wp:extent cx="8863330" cy="2753360"/>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a:srcRect/>
                    <a:stretch>
                      <a:fillRect/>
                    </a:stretch>
                  </pic:blipFill>
                  <pic:spPr>
                    <a:xfrm>
                      <a:off x="0" y="0"/>
                      <a:ext cx="8863330" cy="2753994"/>
                    </a:xfrm>
                    <a:prstGeom prst="rect">
                      <a:avLst/>
                    </a:prstGeom>
                    <a:noFill/>
                    <a:ln w="9525">
                      <a:noFill/>
                      <a:miter lim="800000"/>
                      <a:headEnd/>
                      <a:tailEnd/>
                    </a:ln>
                  </pic:spPr>
                </pic:pic>
              </a:graphicData>
            </a:graphic>
          </wp:inline>
        </w:drawing>
      </w:r>
    </w:p>
    <w:p w14:paraId="7BF9BF54">
      <w:pPr>
        <w:pStyle w:val="10"/>
        <w:rPr>
          <w:rFonts w:hint="default"/>
        </w:rPr>
      </w:pPr>
    </w:p>
    <w:p w14:paraId="5852042B">
      <w:pPr>
        <w:pStyle w:val="10"/>
        <w:rPr>
          <w:rFonts w:hint="default"/>
        </w:rPr>
      </w:pPr>
    </w:p>
    <w:p w14:paraId="3494C4AB">
      <w:pPr>
        <w:pStyle w:val="10"/>
        <w:rPr>
          <w:rFonts w:hint="default"/>
        </w:rPr>
      </w:pPr>
    </w:p>
    <w:p w14:paraId="77B9FB1E">
      <w:pPr>
        <w:pStyle w:val="10"/>
        <w:rPr>
          <w:rFonts w:hint="default"/>
        </w:rPr>
      </w:pPr>
    </w:p>
    <w:p w14:paraId="54806855">
      <w:pPr>
        <w:pStyle w:val="10"/>
        <w:rPr>
          <w:rFonts w:hint="default"/>
        </w:rPr>
      </w:pPr>
    </w:p>
    <w:p w14:paraId="43C4D825">
      <w:pPr>
        <w:pStyle w:val="10"/>
        <w:rPr>
          <w:rFonts w:hint="default"/>
        </w:rPr>
      </w:pPr>
    </w:p>
    <w:p w14:paraId="6F1624CF">
      <w:pPr>
        <w:pStyle w:val="10"/>
        <w:rPr>
          <w:rFonts w:hint="default"/>
        </w:rPr>
      </w:pPr>
    </w:p>
    <w:p w14:paraId="6A0160A0">
      <w:pPr>
        <w:pStyle w:val="10"/>
        <w:rPr>
          <w:rFonts w:hint="default"/>
        </w:rPr>
      </w:pPr>
    </w:p>
    <w:p w14:paraId="2C6886D7">
      <w:pPr>
        <w:pStyle w:val="10"/>
        <w:rPr>
          <w:rFonts w:hint="default"/>
        </w:rPr>
      </w:pPr>
    </w:p>
    <w:p w14:paraId="100BDAFD">
      <w:pPr>
        <w:pStyle w:val="10"/>
        <w:rPr>
          <w:rFonts w:hint="default"/>
        </w:rPr>
      </w:pPr>
    </w:p>
    <w:p w14:paraId="5E418015">
      <w:pPr>
        <w:pStyle w:val="10"/>
        <w:rPr>
          <w:rFonts w:hint="default"/>
        </w:rPr>
      </w:pPr>
    </w:p>
    <w:p w14:paraId="481495E0">
      <w:pPr>
        <w:pStyle w:val="10"/>
        <w:rPr>
          <w:rFonts w:hint="default"/>
        </w:rPr>
      </w:pPr>
    </w:p>
    <w:p w14:paraId="068D1CA9">
      <w:pPr>
        <w:pStyle w:val="10"/>
        <w:rPr>
          <w:rFonts w:hint="default"/>
        </w:rPr>
      </w:pPr>
      <w:r>
        <w:drawing>
          <wp:inline distT="0" distB="0" distL="0" distR="0">
            <wp:extent cx="8876030" cy="2847975"/>
            <wp:effectExtent l="19050" t="0" r="76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1"/>
                    <a:srcRect/>
                    <a:stretch>
                      <a:fillRect/>
                    </a:stretch>
                  </pic:blipFill>
                  <pic:spPr>
                    <a:xfrm>
                      <a:off x="0" y="0"/>
                      <a:ext cx="8876535" cy="2847975"/>
                    </a:xfrm>
                    <a:prstGeom prst="rect">
                      <a:avLst/>
                    </a:prstGeom>
                    <a:noFill/>
                    <a:ln w="9525">
                      <a:noFill/>
                      <a:miter lim="800000"/>
                      <a:headEnd/>
                      <a:tailEnd/>
                    </a:ln>
                  </pic:spPr>
                </pic:pic>
              </a:graphicData>
            </a:graphic>
          </wp:inline>
        </w:drawing>
      </w:r>
    </w:p>
    <w:p w14:paraId="5E1E0047">
      <w:pPr>
        <w:pStyle w:val="10"/>
        <w:rPr>
          <w:rFonts w:hint="default"/>
        </w:rPr>
      </w:pPr>
    </w:p>
    <w:p w14:paraId="3AB516BA">
      <w:pPr>
        <w:pStyle w:val="10"/>
        <w:rPr>
          <w:rFonts w:hint="default"/>
        </w:rPr>
      </w:pPr>
    </w:p>
    <w:p w14:paraId="1E239AD2">
      <w:pPr>
        <w:pStyle w:val="10"/>
        <w:rPr>
          <w:rFonts w:hint="default"/>
        </w:rPr>
      </w:pPr>
    </w:p>
    <w:p w14:paraId="2B36931E">
      <w:pPr>
        <w:pStyle w:val="10"/>
        <w:rPr>
          <w:rFonts w:hint="default"/>
        </w:rPr>
      </w:pPr>
    </w:p>
    <w:p w14:paraId="7EA9AB5A">
      <w:pPr>
        <w:pStyle w:val="10"/>
        <w:rPr>
          <w:rFonts w:hint="default"/>
        </w:rPr>
      </w:pPr>
    </w:p>
    <w:p w14:paraId="61FD26DD">
      <w:pPr>
        <w:pStyle w:val="10"/>
        <w:rPr>
          <w:rFonts w:hint="default"/>
        </w:rPr>
      </w:pPr>
    </w:p>
    <w:p w14:paraId="6ABFA747">
      <w:pPr>
        <w:pStyle w:val="10"/>
        <w:rPr>
          <w:rFonts w:hint="default"/>
        </w:rPr>
      </w:pPr>
    </w:p>
    <w:p w14:paraId="3F5C71CC">
      <w:pPr>
        <w:pStyle w:val="10"/>
        <w:rPr>
          <w:rFonts w:hint="default"/>
        </w:rPr>
      </w:pPr>
    </w:p>
    <w:p w14:paraId="4FD51A13">
      <w:pPr>
        <w:pStyle w:val="10"/>
        <w:rPr>
          <w:rFonts w:hint="default"/>
        </w:rPr>
      </w:pPr>
    </w:p>
    <w:p w14:paraId="51B80BC1">
      <w:pPr>
        <w:pStyle w:val="10"/>
        <w:rPr>
          <w:rFonts w:hint="default"/>
        </w:rPr>
      </w:pPr>
    </w:p>
    <w:p w14:paraId="2CFF812F">
      <w:pPr>
        <w:pStyle w:val="10"/>
        <w:rPr>
          <w:rFonts w:hint="default"/>
        </w:rPr>
      </w:pPr>
    </w:p>
    <w:p w14:paraId="0B17D55D">
      <w:pPr>
        <w:pStyle w:val="10"/>
        <w:rPr>
          <w:rFonts w:hint="default"/>
        </w:rPr>
      </w:pPr>
      <w:r>
        <w:drawing>
          <wp:inline distT="0" distB="0" distL="0" distR="0">
            <wp:extent cx="8863330" cy="235331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a:srcRect/>
                    <a:stretch>
                      <a:fillRect/>
                    </a:stretch>
                  </pic:blipFill>
                  <pic:spPr>
                    <a:xfrm>
                      <a:off x="0" y="0"/>
                      <a:ext cx="8863330" cy="2353396"/>
                    </a:xfrm>
                    <a:prstGeom prst="rect">
                      <a:avLst/>
                    </a:prstGeom>
                    <a:noFill/>
                    <a:ln w="9525">
                      <a:noFill/>
                      <a:miter lim="800000"/>
                      <a:headEnd/>
                      <a:tailEnd/>
                    </a:ln>
                  </pic:spPr>
                </pic:pic>
              </a:graphicData>
            </a:graphic>
          </wp:inline>
        </w:drawing>
      </w:r>
    </w:p>
    <w:p w14:paraId="1E0FC9CB">
      <w:pPr>
        <w:pStyle w:val="10"/>
        <w:rPr>
          <w:rFonts w:hint="default"/>
        </w:rPr>
      </w:pPr>
    </w:p>
    <w:p w14:paraId="1B1DC9C5">
      <w:pPr>
        <w:pStyle w:val="10"/>
        <w:rPr>
          <w:rFonts w:hint="default"/>
        </w:rPr>
      </w:pPr>
    </w:p>
    <w:p w14:paraId="44B02311">
      <w:pPr>
        <w:pStyle w:val="10"/>
        <w:rPr>
          <w:rFonts w:hint="default"/>
        </w:rPr>
      </w:pPr>
    </w:p>
    <w:p w14:paraId="2133A3F2">
      <w:pPr>
        <w:pStyle w:val="10"/>
        <w:rPr>
          <w:rFonts w:hint="default"/>
        </w:rPr>
      </w:pPr>
    </w:p>
    <w:p w14:paraId="016E06A7">
      <w:pPr>
        <w:pStyle w:val="10"/>
        <w:rPr>
          <w:rFonts w:hint="default"/>
        </w:rPr>
      </w:pPr>
    </w:p>
    <w:p w14:paraId="60CB573B">
      <w:pPr>
        <w:pStyle w:val="10"/>
        <w:rPr>
          <w:rFonts w:hint="default"/>
        </w:rPr>
      </w:pPr>
    </w:p>
    <w:p w14:paraId="4825EAB2">
      <w:pPr>
        <w:pStyle w:val="10"/>
        <w:rPr>
          <w:rFonts w:hint="default"/>
        </w:rPr>
      </w:pPr>
    </w:p>
    <w:p w14:paraId="75237C16">
      <w:pPr>
        <w:pStyle w:val="10"/>
        <w:rPr>
          <w:rFonts w:hint="default"/>
        </w:rPr>
      </w:pPr>
    </w:p>
    <w:p w14:paraId="7C95205C">
      <w:pPr>
        <w:pStyle w:val="10"/>
        <w:rPr>
          <w:rFonts w:hint="default"/>
        </w:rPr>
      </w:pPr>
    </w:p>
    <w:p w14:paraId="4DE0602A">
      <w:pPr>
        <w:pStyle w:val="10"/>
        <w:rPr>
          <w:rFonts w:hint="default"/>
        </w:rPr>
      </w:pPr>
    </w:p>
    <w:p w14:paraId="187B4397">
      <w:pPr>
        <w:pStyle w:val="10"/>
        <w:rPr>
          <w:rFonts w:hint="default"/>
        </w:rPr>
      </w:pPr>
    </w:p>
    <w:p w14:paraId="7B46BE55">
      <w:pPr>
        <w:pStyle w:val="10"/>
        <w:rPr>
          <w:rFonts w:hint="default"/>
        </w:rPr>
      </w:pPr>
    </w:p>
    <w:p w14:paraId="2C7F07D3">
      <w:pPr>
        <w:pStyle w:val="10"/>
        <w:rPr>
          <w:rFonts w:hint="default"/>
        </w:rPr>
      </w:pPr>
    </w:p>
    <w:p w14:paraId="116CA297">
      <w:pPr>
        <w:pStyle w:val="10"/>
        <w:rPr>
          <w:rFonts w:hint="default"/>
        </w:rPr>
      </w:pPr>
    </w:p>
    <w:p w14:paraId="73B80AA2">
      <w:pPr>
        <w:pStyle w:val="10"/>
        <w:rPr>
          <w:rFonts w:hint="default"/>
        </w:rPr>
      </w:pPr>
      <w:r>
        <w:drawing>
          <wp:inline distT="0" distB="0" distL="0" distR="0">
            <wp:extent cx="8863330" cy="160528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
                    <a:srcRect/>
                    <a:stretch>
                      <a:fillRect/>
                    </a:stretch>
                  </pic:blipFill>
                  <pic:spPr>
                    <a:xfrm>
                      <a:off x="0" y="0"/>
                      <a:ext cx="8863330" cy="1605433"/>
                    </a:xfrm>
                    <a:prstGeom prst="rect">
                      <a:avLst/>
                    </a:prstGeom>
                    <a:noFill/>
                    <a:ln w="9525">
                      <a:noFill/>
                      <a:miter lim="800000"/>
                      <a:headEnd/>
                      <a:tailEnd/>
                    </a:ln>
                  </pic:spPr>
                </pic:pic>
              </a:graphicData>
            </a:graphic>
          </wp:inline>
        </w:drawing>
      </w:r>
    </w:p>
    <w:p w14:paraId="09AB5E65">
      <w:pPr>
        <w:pStyle w:val="10"/>
        <w:rPr>
          <w:rFonts w:hint="default"/>
        </w:rPr>
      </w:pPr>
    </w:p>
    <w:p w14:paraId="7F15B348">
      <w:pPr>
        <w:pStyle w:val="10"/>
        <w:rPr>
          <w:rFonts w:hint="default"/>
        </w:rPr>
      </w:pPr>
    </w:p>
    <w:p w14:paraId="03909B07">
      <w:pPr>
        <w:pStyle w:val="10"/>
        <w:rPr>
          <w:rFonts w:hint="default"/>
        </w:rPr>
      </w:pPr>
    </w:p>
    <w:p w14:paraId="2EA01B7C">
      <w:pPr>
        <w:pStyle w:val="10"/>
        <w:rPr>
          <w:rFonts w:hint="default"/>
        </w:rPr>
      </w:pPr>
    </w:p>
    <w:p w14:paraId="714D9F7F">
      <w:pPr>
        <w:pStyle w:val="10"/>
        <w:rPr>
          <w:rFonts w:hint="default"/>
        </w:rPr>
      </w:pPr>
    </w:p>
    <w:p w14:paraId="020461A5">
      <w:pPr>
        <w:pStyle w:val="10"/>
        <w:rPr>
          <w:rFonts w:hint="default"/>
        </w:rPr>
      </w:pPr>
    </w:p>
    <w:p w14:paraId="7745F96C">
      <w:pPr>
        <w:pStyle w:val="10"/>
        <w:rPr>
          <w:rFonts w:hint="default"/>
        </w:rPr>
      </w:pPr>
    </w:p>
    <w:p w14:paraId="4EC3DF9D">
      <w:pPr>
        <w:pStyle w:val="10"/>
        <w:rPr>
          <w:rFonts w:hint="default"/>
        </w:rPr>
      </w:pPr>
    </w:p>
    <w:p w14:paraId="280EB8B1">
      <w:pPr>
        <w:pStyle w:val="10"/>
        <w:rPr>
          <w:rFonts w:hint="default"/>
        </w:rPr>
      </w:pPr>
    </w:p>
    <w:p w14:paraId="3AD69C9E">
      <w:pPr>
        <w:pStyle w:val="10"/>
        <w:rPr>
          <w:rFonts w:hint="default"/>
        </w:rPr>
      </w:pPr>
    </w:p>
    <w:p w14:paraId="2E808131">
      <w:pPr>
        <w:pStyle w:val="10"/>
        <w:rPr>
          <w:rFonts w:hint="default"/>
        </w:rPr>
      </w:pPr>
    </w:p>
    <w:p w14:paraId="5A19033C">
      <w:pPr>
        <w:pStyle w:val="10"/>
        <w:rPr>
          <w:rFonts w:hint="default"/>
        </w:rPr>
      </w:pPr>
    </w:p>
    <w:p w14:paraId="1FEC7522">
      <w:pPr>
        <w:pStyle w:val="10"/>
        <w:rPr>
          <w:rFonts w:hint="default"/>
        </w:rPr>
      </w:pPr>
    </w:p>
    <w:p w14:paraId="09C95D60">
      <w:pPr>
        <w:pStyle w:val="10"/>
        <w:rPr>
          <w:rFonts w:hint="default"/>
        </w:rPr>
      </w:pPr>
    </w:p>
    <w:p w14:paraId="12BDFDAF">
      <w:pPr>
        <w:pStyle w:val="10"/>
        <w:rPr>
          <w:rFonts w:hint="default"/>
        </w:rPr>
      </w:pPr>
    </w:p>
    <w:p w14:paraId="73744305">
      <w:pPr>
        <w:pStyle w:val="10"/>
        <w:rPr>
          <w:rFonts w:hint="default"/>
        </w:rPr>
      </w:pPr>
    </w:p>
    <w:p w14:paraId="61C1213C">
      <w:pPr>
        <w:pStyle w:val="10"/>
        <w:rPr>
          <w:rFonts w:hint="default"/>
        </w:rPr>
      </w:pPr>
    </w:p>
    <w:p w14:paraId="0E5AA498">
      <w:pPr>
        <w:pStyle w:val="10"/>
        <w:rPr>
          <w:rFonts w:hint="default"/>
        </w:rPr>
      </w:pPr>
      <w:r>
        <w:drawing>
          <wp:inline distT="0" distB="0" distL="0" distR="0">
            <wp:extent cx="8863330" cy="2762250"/>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srcRect/>
                    <a:stretch>
                      <a:fillRect/>
                    </a:stretch>
                  </pic:blipFill>
                  <pic:spPr>
                    <a:xfrm>
                      <a:off x="0" y="0"/>
                      <a:ext cx="8863330" cy="2762495"/>
                    </a:xfrm>
                    <a:prstGeom prst="rect">
                      <a:avLst/>
                    </a:prstGeom>
                    <a:noFill/>
                    <a:ln w="9525">
                      <a:noFill/>
                      <a:miter lim="800000"/>
                      <a:headEnd/>
                      <a:tailEnd/>
                    </a:ln>
                  </pic:spPr>
                </pic:pic>
              </a:graphicData>
            </a:graphic>
          </wp:inline>
        </w:drawing>
      </w:r>
    </w:p>
    <w:p w14:paraId="68BF1E65">
      <w:pPr>
        <w:pStyle w:val="10"/>
        <w:rPr>
          <w:rFonts w:hint="default"/>
        </w:rPr>
      </w:pPr>
    </w:p>
    <w:p w14:paraId="7E3CED57">
      <w:pPr>
        <w:pStyle w:val="10"/>
        <w:rPr>
          <w:rFonts w:hint="default"/>
        </w:rPr>
      </w:pPr>
    </w:p>
    <w:p w14:paraId="6B9F95E4">
      <w:pPr>
        <w:pStyle w:val="10"/>
        <w:rPr>
          <w:rFonts w:hint="default"/>
        </w:rPr>
      </w:pPr>
    </w:p>
    <w:p w14:paraId="1AC2B834">
      <w:pPr>
        <w:pStyle w:val="10"/>
        <w:rPr>
          <w:rFonts w:hint="default"/>
        </w:rPr>
      </w:pPr>
    </w:p>
    <w:p w14:paraId="32CD578B">
      <w:pPr>
        <w:pStyle w:val="10"/>
        <w:rPr>
          <w:rFonts w:hint="default"/>
        </w:rPr>
      </w:pPr>
    </w:p>
    <w:p w14:paraId="2ECB20C6">
      <w:pPr>
        <w:pStyle w:val="10"/>
        <w:rPr>
          <w:rFonts w:hint="default"/>
        </w:rPr>
      </w:pPr>
    </w:p>
    <w:p w14:paraId="3945127E">
      <w:pPr>
        <w:pStyle w:val="10"/>
        <w:rPr>
          <w:rFonts w:hint="default"/>
        </w:rPr>
      </w:pPr>
    </w:p>
    <w:p w14:paraId="4321C278">
      <w:pPr>
        <w:pStyle w:val="10"/>
        <w:rPr>
          <w:rFonts w:hint="default"/>
        </w:rPr>
      </w:pPr>
    </w:p>
    <w:p w14:paraId="4E5246C8">
      <w:pPr>
        <w:pStyle w:val="10"/>
        <w:rPr>
          <w:rFonts w:hint="default"/>
        </w:rPr>
      </w:pPr>
    </w:p>
    <w:p w14:paraId="61FF60A2">
      <w:pPr>
        <w:pStyle w:val="10"/>
        <w:rPr>
          <w:rFonts w:hint="default"/>
        </w:rPr>
      </w:pPr>
    </w:p>
    <w:p w14:paraId="4E31162B">
      <w:pPr>
        <w:pStyle w:val="10"/>
        <w:rPr>
          <w:rFonts w:hint="default"/>
        </w:rPr>
      </w:pPr>
    </w:p>
    <w:p w14:paraId="7EF213C4">
      <w:pPr>
        <w:pStyle w:val="10"/>
        <w:rPr>
          <w:rFonts w:hint="default"/>
        </w:rPr>
      </w:pP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3B25D2-E55F-4A63-BD04-92FB232B80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8825A69-FD88-4A7D-BD69-0E1792AF56C8}"/>
  </w:font>
  <w:font w:name="仿宋_GB2312">
    <w:altName w:val="仿宋"/>
    <w:panose1 w:val="02010609030101010101"/>
    <w:charset w:val="86"/>
    <w:family w:val="modern"/>
    <w:pitch w:val="default"/>
    <w:sig w:usb0="00000000" w:usb1="00000000" w:usb2="00000010" w:usb3="00000000" w:csb0="00040000" w:csb1="00000000"/>
    <w:embedRegular r:id="rId3" w:fontKey="{A2943210-8D61-4345-BCE1-CA32C3B462A3}"/>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DEF063DB-C9DE-4DB2-88AA-37C55CBEF524}"/>
  </w:font>
  <w:font w:name="楷体_GB2312">
    <w:altName w:val="楷体"/>
    <w:panose1 w:val="00000000000000000000"/>
    <w:charset w:val="86"/>
    <w:family w:val="modern"/>
    <w:pitch w:val="default"/>
    <w:sig w:usb0="00000000" w:usb1="00000000" w:usb2="00000010" w:usb3="00000000" w:csb0="00040000" w:csb1="00000000"/>
    <w:embedRegular r:id="rId5" w:fontKey="{C3EA2F21-EAB3-44B1-8734-9C1C4DE4E146}"/>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C4390">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1C0DF"/>
    <w:multiLevelType w:val="singleLevel"/>
    <w:tmpl w:val="B151C0DF"/>
    <w:lvl w:ilvl="0" w:tentative="0">
      <w:start w:val="2"/>
      <w:numFmt w:val="decimal"/>
      <w:suff w:val="nothing"/>
      <w:lvlText w:val="%1、"/>
      <w:lvlJc w:val="left"/>
    </w:lvl>
  </w:abstractNum>
  <w:abstractNum w:abstractNumId="1">
    <w:nsid w:val="4EAD162F"/>
    <w:multiLevelType w:val="multilevel"/>
    <w:tmpl w:val="4EAD162F"/>
    <w:lvl w:ilvl="0" w:tentative="0">
      <w:start w:val="10"/>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895A99C"/>
    <w:multiLevelType w:val="singleLevel"/>
    <w:tmpl w:val="5895A99C"/>
    <w:lvl w:ilvl="0" w:tentative="0">
      <w:start w:val="5"/>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U0MjQwNjRkNGExNTA2ODFkMmQ5NDE4ODkwZDBmOTUifQ=="/>
  </w:docVars>
  <w:rsids>
    <w:rsidRoot w:val="0018453C"/>
    <w:rsid w:val="00005C64"/>
    <w:rsid w:val="000076C9"/>
    <w:rsid w:val="00010F0B"/>
    <w:rsid w:val="00011A1F"/>
    <w:rsid w:val="00034BE8"/>
    <w:rsid w:val="00037FBA"/>
    <w:rsid w:val="00041752"/>
    <w:rsid w:val="00077731"/>
    <w:rsid w:val="00077E7A"/>
    <w:rsid w:val="00080DDE"/>
    <w:rsid w:val="000811B9"/>
    <w:rsid w:val="000814D6"/>
    <w:rsid w:val="00084C3B"/>
    <w:rsid w:val="000A2ED4"/>
    <w:rsid w:val="000A49D8"/>
    <w:rsid w:val="000D1521"/>
    <w:rsid w:val="000E1E95"/>
    <w:rsid w:val="000F6704"/>
    <w:rsid w:val="00107427"/>
    <w:rsid w:val="00122740"/>
    <w:rsid w:val="00122ECD"/>
    <w:rsid w:val="00130F79"/>
    <w:rsid w:val="00142B53"/>
    <w:rsid w:val="0014553D"/>
    <w:rsid w:val="00151805"/>
    <w:rsid w:val="00174DE9"/>
    <w:rsid w:val="00183766"/>
    <w:rsid w:val="0018453C"/>
    <w:rsid w:val="00193D4D"/>
    <w:rsid w:val="001C6D6F"/>
    <w:rsid w:val="001C743F"/>
    <w:rsid w:val="001D07EC"/>
    <w:rsid w:val="001D19A9"/>
    <w:rsid w:val="001D7273"/>
    <w:rsid w:val="001D79F8"/>
    <w:rsid w:val="001E3F9C"/>
    <w:rsid w:val="001E588F"/>
    <w:rsid w:val="001F186B"/>
    <w:rsid w:val="00200C78"/>
    <w:rsid w:val="00206099"/>
    <w:rsid w:val="00206A8D"/>
    <w:rsid w:val="0022232E"/>
    <w:rsid w:val="002337DE"/>
    <w:rsid w:val="0025199F"/>
    <w:rsid w:val="00262BFB"/>
    <w:rsid w:val="00274B13"/>
    <w:rsid w:val="002832FE"/>
    <w:rsid w:val="0029547E"/>
    <w:rsid w:val="002A447F"/>
    <w:rsid w:val="002C3289"/>
    <w:rsid w:val="002D2FC2"/>
    <w:rsid w:val="002E190E"/>
    <w:rsid w:val="002F250F"/>
    <w:rsid w:val="002F7A44"/>
    <w:rsid w:val="003031F5"/>
    <w:rsid w:val="0030510E"/>
    <w:rsid w:val="00306AF6"/>
    <w:rsid w:val="00311F2B"/>
    <w:rsid w:val="00312421"/>
    <w:rsid w:val="003367E9"/>
    <w:rsid w:val="0034106B"/>
    <w:rsid w:val="00342414"/>
    <w:rsid w:val="0034320B"/>
    <w:rsid w:val="0035041B"/>
    <w:rsid w:val="00351027"/>
    <w:rsid w:val="00352D79"/>
    <w:rsid w:val="003533AA"/>
    <w:rsid w:val="00353D48"/>
    <w:rsid w:val="0036090F"/>
    <w:rsid w:val="00361B06"/>
    <w:rsid w:val="00372A55"/>
    <w:rsid w:val="00375F05"/>
    <w:rsid w:val="00377C02"/>
    <w:rsid w:val="003824B4"/>
    <w:rsid w:val="003A0CE8"/>
    <w:rsid w:val="003A54FF"/>
    <w:rsid w:val="003B6091"/>
    <w:rsid w:val="003C22B2"/>
    <w:rsid w:val="003C3CC0"/>
    <w:rsid w:val="003E06A9"/>
    <w:rsid w:val="003E68CE"/>
    <w:rsid w:val="003F303A"/>
    <w:rsid w:val="003F7C3F"/>
    <w:rsid w:val="00400D25"/>
    <w:rsid w:val="00404264"/>
    <w:rsid w:val="0041577C"/>
    <w:rsid w:val="00430D43"/>
    <w:rsid w:val="004348C4"/>
    <w:rsid w:val="00436DCD"/>
    <w:rsid w:val="004617B7"/>
    <w:rsid w:val="0046358E"/>
    <w:rsid w:val="00464894"/>
    <w:rsid w:val="00464EE4"/>
    <w:rsid w:val="004721FD"/>
    <w:rsid w:val="00477789"/>
    <w:rsid w:val="00487C09"/>
    <w:rsid w:val="0049157D"/>
    <w:rsid w:val="004B7963"/>
    <w:rsid w:val="004B79A7"/>
    <w:rsid w:val="004C1A7E"/>
    <w:rsid w:val="004C46CB"/>
    <w:rsid w:val="004E07B6"/>
    <w:rsid w:val="004E4E0D"/>
    <w:rsid w:val="004F0285"/>
    <w:rsid w:val="004F65D0"/>
    <w:rsid w:val="004F6D96"/>
    <w:rsid w:val="00500FCB"/>
    <w:rsid w:val="00503DCB"/>
    <w:rsid w:val="00506280"/>
    <w:rsid w:val="005234F4"/>
    <w:rsid w:val="005240C1"/>
    <w:rsid w:val="00534181"/>
    <w:rsid w:val="0054517F"/>
    <w:rsid w:val="00546761"/>
    <w:rsid w:val="0055355B"/>
    <w:rsid w:val="00566B32"/>
    <w:rsid w:val="00576237"/>
    <w:rsid w:val="00577D77"/>
    <w:rsid w:val="00584AFB"/>
    <w:rsid w:val="00590E6D"/>
    <w:rsid w:val="005A2EFA"/>
    <w:rsid w:val="005A4DCA"/>
    <w:rsid w:val="005B145F"/>
    <w:rsid w:val="005B3AF7"/>
    <w:rsid w:val="005B5020"/>
    <w:rsid w:val="005D0D77"/>
    <w:rsid w:val="005D0D9F"/>
    <w:rsid w:val="005D2F2F"/>
    <w:rsid w:val="005D78F0"/>
    <w:rsid w:val="005E0A27"/>
    <w:rsid w:val="005E3F24"/>
    <w:rsid w:val="005E47B3"/>
    <w:rsid w:val="005E7C0E"/>
    <w:rsid w:val="005E7D52"/>
    <w:rsid w:val="00605153"/>
    <w:rsid w:val="006168A5"/>
    <w:rsid w:val="0062480D"/>
    <w:rsid w:val="00650EC3"/>
    <w:rsid w:val="00650FD8"/>
    <w:rsid w:val="00655F61"/>
    <w:rsid w:val="006621CF"/>
    <w:rsid w:val="00663B5C"/>
    <w:rsid w:val="00665683"/>
    <w:rsid w:val="006750C4"/>
    <w:rsid w:val="00680AC7"/>
    <w:rsid w:val="00685C53"/>
    <w:rsid w:val="00692813"/>
    <w:rsid w:val="0069685D"/>
    <w:rsid w:val="006A1B0C"/>
    <w:rsid w:val="006A3DE8"/>
    <w:rsid w:val="006A3F3C"/>
    <w:rsid w:val="006B2E4F"/>
    <w:rsid w:val="006B6EB8"/>
    <w:rsid w:val="006B765A"/>
    <w:rsid w:val="006C39E2"/>
    <w:rsid w:val="006C7555"/>
    <w:rsid w:val="006D5442"/>
    <w:rsid w:val="006D5E52"/>
    <w:rsid w:val="006D7FE3"/>
    <w:rsid w:val="006E0351"/>
    <w:rsid w:val="006E085B"/>
    <w:rsid w:val="006E44BB"/>
    <w:rsid w:val="006E6961"/>
    <w:rsid w:val="006E7732"/>
    <w:rsid w:val="006F455E"/>
    <w:rsid w:val="006F5E55"/>
    <w:rsid w:val="007040FE"/>
    <w:rsid w:val="007072D9"/>
    <w:rsid w:val="00711F1C"/>
    <w:rsid w:val="00713139"/>
    <w:rsid w:val="00714FF0"/>
    <w:rsid w:val="00727B44"/>
    <w:rsid w:val="00731A0A"/>
    <w:rsid w:val="0073245A"/>
    <w:rsid w:val="007416C6"/>
    <w:rsid w:val="0075234D"/>
    <w:rsid w:val="00755A48"/>
    <w:rsid w:val="007715EF"/>
    <w:rsid w:val="007720B6"/>
    <w:rsid w:val="00780B8D"/>
    <w:rsid w:val="007972E2"/>
    <w:rsid w:val="007A0C65"/>
    <w:rsid w:val="007B431F"/>
    <w:rsid w:val="007B52F5"/>
    <w:rsid w:val="007D24B2"/>
    <w:rsid w:val="007E4CC3"/>
    <w:rsid w:val="007F00E1"/>
    <w:rsid w:val="00801E01"/>
    <w:rsid w:val="00806847"/>
    <w:rsid w:val="00817BF8"/>
    <w:rsid w:val="00823CCB"/>
    <w:rsid w:val="00830357"/>
    <w:rsid w:val="00834DDF"/>
    <w:rsid w:val="00835C39"/>
    <w:rsid w:val="00840192"/>
    <w:rsid w:val="00840CA0"/>
    <w:rsid w:val="00840CFD"/>
    <w:rsid w:val="0084715B"/>
    <w:rsid w:val="00850D7D"/>
    <w:rsid w:val="00850DC9"/>
    <w:rsid w:val="00867E91"/>
    <w:rsid w:val="0087357C"/>
    <w:rsid w:val="00877D8F"/>
    <w:rsid w:val="00880462"/>
    <w:rsid w:val="0088798B"/>
    <w:rsid w:val="00893E3D"/>
    <w:rsid w:val="0089440C"/>
    <w:rsid w:val="008B59F7"/>
    <w:rsid w:val="008C3ECA"/>
    <w:rsid w:val="008C4F92"/>
    <w:rsid w:val="008D5CF5"/>
    <w:rsid w:val="008D6698"/>
    <w:rsid w:val="008D6F14"/>
    <w:rsid w:val="008E4D34"/>
    <w:rsid w:val="008F767D"/>
    <w:rsid w:val="008F7B74"/>
    <w:rsid w:val="009062DB"/>
    <w:rsid w:val="00912E7E"/>
    <w:rsid w:val="00920DFE"/>
    <w:rsid w:val="00930EBA"/>
    <w:rsid w:val="00932EA3"/>
    <w:rsid w:val="00937AE8"/>
    <w:rsid w:val="009404CF"/>
    <w:rsid w:val="009415A1"/>
    <w:rsid w:val="009427F2"/>
    <w:rsid w:val="00943191"/>
    <w:rsid w:val="00946C52"/>
    <w:rsid w:val="00952491"/>
    <w:rsid w:val="00952BAD"/>
    <w:rsid w:val="00954986"/>
    <w:rsid w:val="00956DAA"/>
    <w:rsid w:val="00976F83"/>
    <w:rsid w:val="0098544B"/>
    <w:rsid w:val="009A7459"/>
    <w:rsid w:val="009B08E2"/>
    <w:rsid w:val="009B71E7"/>
    <w:rsid w:val="009C40E3"/>
    <w:rsid w:val="009D4DF3"/>
    <w:rsid w:val="009D66FA"/>
    <w:rsid w:val="009E47F2"/>
    <w:rsid w:val="009F4C30"/>
    <w:rsid w:val="009F53A4"/>
    <w:rsid w:val="009F60D5"/>
    <w:rsid w:val="009F7E5F"/>
    <w:rsid w:val="00A04607"/>
    <w:rsid w:val="00A20EC3"/>
    <w:rsid w:val="00A22464"/>
    <w:rsid w:val="00A23D0D"/>
    <w:rsid w:val="00A33077"/>
    <w:rsid w:val="00A57E66"/>
    <w:rsid w:val="00A62C9C"/>
    <w:rsid w:val="00A64F17"/>
    <w:rsid w:val="00A7279C"/>
    <w:rsid w:val="00A7517B"/>
    <w:rsid w:val="00A76362"/>
    <w:rsid w:val="00A824D2"/>
    <w:rsid w:val="00A840C1"/>
    <w:rsid w:val="00A86842"/>
    <w:rsid w:val="00AB14FB"/>
    <w:rsid w:val="00AB2741"/>
    <w:rsid w:val="00AB4295"/>
    <w:rsid w:val="00AC1A74"/>
    <w:rsid w:val="00AC203A"/>
    <w:rsid w:val="00AC551E"/>
    <w:rsid w:val="00AE1EBA"/>
    <w:rsid w:val="00AE4316"/>
    <w:rsid w:val="00AE5B83"/>
    <w:rsid w:val="00AF5473"/>
    <w:rsid w:val="00B00E1E"/>
    <w:rsid w:val="00B109C2"/>
    <w:rsid w:val="00B30B57"/>
    <w:rsid w:val="00B33A61"/>
    <w:rsid w:val="00B33ACC"/>
    <w:rsid w:val="00B64F9E"/>
    <w:rsid w:val="00B85FDA"/>
    <w:rsid w:val="00B9100D"/>
    <w:rsid w:val="00B9277C"/>
    <w:rsid w:val="00B95132"/>
    <w:rsid w:val="00B957F6"/>
    <w:rsid w:val="00BA6311"/>
    <w:rsid w:val="00BB2F75"/>
    <w:rsid w:val="00BB5E98"/>
    <w:rsid w:val="00BB7A33"/>
    <w:rsid w:val="00BC05C4"/>
    <w:rsid w:val="00BF563D"/>
    <w:rsid w:val="00BF6E86"/>
    <w:rsid w:val="00C010A7"/>
    <w:rsid w:val="00C1255C"/>
    <w:rsid w:val="00C152DC"/>
    <w:rsid w:val="00C163B8"/>
    <w:rsid w:val="00C24286"/>
    <w:rsid w:val="00C33FE1"/>
    <w:rsid w:val="00C35F38"/>
    <w:rsid w:val="00C35FDD"/>
    <w:rsid w:val="00C426D7"/>
    <w:rsid w:val="00C47BB8"/>
    <w:rsid w:val="00C50353"/>
    <w:rsid w:val="00C52D1F"/>
    <w:rsid w:val="00C83185"/>
    <w:rsid w:val="00C96F04"/>
    <w:rsid w:val="00CA1596"/>
    <w:rsid w:val="00CB13DA"/>
    <w:rsid w:val="00CC1B9F"/>
    <w:rsid w:val="00CD0B08"/>
    <w:rsid w:val="00CE3F52"/>
    <w:rsid w:val="00CF5307"/>
    <w:rsid w:val="00D02068"/>
    <w:rsid w:val="00D04E38"/>
    <w:rsid w:val="00D06EB9"/>
    <w:rsid w:val="00D7617F"/>
    <w:rsid w:val="00D81B35"/>
    <w:rsid w:val="00D8322F"/>
    <w:rsid w:val="00D8385F"/>
    <w:rsid w:val="00D90F8B"/>
    <w:rsid w:val="00DA6F5B"/>
    <w:rsid w:val="00DA7F84"/>
    <w:rsid w:val="00DB05CB"/>
    <w:rsid w:val="00DC1899"/>
    <w:rsid w:val="00DE62B2"/>
    <w:rsid w:val="00DF2207"/>
    <w:rsid w:val="00E001AE"/>
    <w:rsid w:val="00E11E5D"/>
    <w:rsid w:val="00E1517F"/>
    <w:rsid w:val="00E16F71"/>
    <w:rsid w:val="00E17DF1"/>
    <w:rsid w:val="00E20FB4"/>
    <w:rsid w:val="00E23D55"/>
    <w:rsid w:val="00E3286C"/>
    <w:rsid w:val="00E40834"/>
    <w:rsid w:val="00E429D8"/>
    <w:rsid w:val="00E44C58"/>
    <w:rsid w:val="00E5511C"/>
    <w:rsid w:val="00E61E40"/>
    <w:rsid w:val="00E74660"/>
    <w:rsid w:val="00E84588"/>
    <w:rsid w:val="00E925CD"/>
    <w:rsid w:val="00E9378F"/>
    <w:rsid w:val="00E94CFF"/>
    <w:rsid w:val="00E95C9E"/>
    <w:rsid w:val="00EA2806"/>
    <w:rsid w:val="00EC27FC"/>
    <w:rsid w:val="00ED0384"/>
    <w:rsid w:val="00EE092E"/>
    <w:rsid w:val="00EF0108"/>
    <w:rsid w:val="00EF23F3"/>
    <w:rsid w:val="00EF2B5C"/>
    <w:rsid w:val="00F01A37"/>
    <w:rsid w:val="00F14CD5"/>
    <w:rsid w:val="00F163E7"/>
    <w:rsid w:val="00F23B56"/>
    <w:rsid w:val="00F40E05"/>
    <w:rsid w:val="00F56A05"/>
    <w:rsid w:val="00F7116F"/>
    <w:rsid w:val="00F82B55"/>
    <w:rsid w:val="00F90747"/>
    <w:rsid w:val="00F91ADA"/>
    <w:rsid w:val="00F93ABE"/>
    <w:rsid w:val="00F9753C"/>
    <w:rsid w:val="00FA24A9"/>
    <w:rsid w:val="00FA677A"/>
    <w:rsid w:val="00FA7F05"/>
    <w:rsid w:val="00FB06B3"/>
    <w:rsid w:val="00FC0F57"/>
    <w:rsid w:val="01405C62"/>
    <w:rsid w:val="01F263DB"/>
    <w:rsid w:val="01F648EB"/>
    <w:rsid w:val="02094E3D"/>
    <w:rsid w:val="024C6702"/>
    <w:rsid w:val="026505B4"/>
    <w:rsid w:val="028630A1"/>
    <w:rsid w:val="02FD4879"/>
    <w:rsid w:val="038C7FF1"/>
    <w:rsid w:val="03AA3E3B"/>
    <w:rsid w:val="03EA5C50"/>
    <w:rsid w:val="04600135"/>
    <w:rsid w:val="05054F3D"/>
    <w:rsid w:val="05DF09C8"/>
    <w:rsid w:val="05F46152"/>
    <w:rsid w:val="05F835B0"/>
    <w:rsid w:val="06113422"/>
    <w:rsid w:val="063B27DE"/>
    <w:rsid w:val="065E25EC"/>
    <w:rsid w:val="06835E42"/>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106B2554"/>
    <w:rsid w:val="10807F49"/>
    <w:rsid w:val="1085571C"/>
    <w:rsid w:val="123C6861"/>
    <w:rsid w:val="12970A77"/>
    <w:rsid w:val="12D300E7"/>
    <w:rsid w:val="136B79EF"/>
    <w:rsid w:val="13811EEE"/>
    <w:rsid w:val="13FF3975"/>
    <w:rsid w:val="14861683"/>
    <w:rsid w:val="14887B46"/>
    <w:rsid w:val="14EF3497"/>
    <w:rsid w:val="153C45B3"/>
    <w:rsid w:val="157947AC"/>
    <w:rsid w:val="15DB09EF"/>
    <w:rsid w:val="1650535C"/>
    <w:rsid w:val="16B75B8F"/>
    <w:rsid w:val="16FE1938"/>
    <w:rsid w:val="170C3948"/>
    <w:rsid w:val="17EC7FC1"/>
    <w:rsid w:val="17F81734"/>
    <w:rsid w:val="180061CB"/>
    <w:rsid w:val="18154C5A"/>
    <w:rsid w:val="18EF380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FB5835"/>
    <w:rsid w:val="1F8A1433"/>
    <w:rsid w:val="1FD94E57"/>
    <w:rsid w:val="205247F6"/>
    <w:rsid w:val="206501BF"/>
    <w:rsid w:val="20C21B5F"/>
    <w:rsid w:val="20D8491F"/>
    <w:rsid w:val="2163103A"/>
    <w:rsid w:val="217D79B3"/>
    <w:rsid w:val="219B3B12"/>
    <w:rsid w:val="21F8300E"/>
    <w:rsid w:val="22D4227E"/>
    <w:rsid w:val="22FA27EC"/>
    <w:rsid w:val="230477A4"/>
    <w:rsid w:val="234550B7"/>
    <w:rsid w:val="2384696C"/>
    <w:rsid w:val="23B968AE"/>
    <w:rsid w:val="23CA7A53"/>
    <w:rsid w:val="240772FF"/>
    <w:rsid w:val="24183DF0"/>
    <w:rsid w:val="247778DD"/>
    <w:rsid w:val="247A77A8"/>
    <w:rsid w:val="24D6630F"/>
    <w:rsid w:val="24F84929"/>
    <w:rsid w:val="252A0A7B"/>
    <w:rsid w:val="257B506C"/>
    <w:rsid w:val="25AF42DB"/>
    <w:rsid w:val="25B348BA"/>
    <w:rsid w:val="25DE1005"/>
    <w:rsid w:val="25FD2566"/>
    <w:rsid w:val="26816946"/>
    <w:rsid w:val="26DB7398"/>
    <w:rsid w:val="27033FBD"/>
    <w:rsid w:val="2705728B"/>
    <w:rsid w:val="27417BF8"/>
    <w:rsid w:val="27693B45"/>
    <w:rsid w:val="283A129B"/>
    <w:rsid w:val="28FE78EF"/>
    <w:rsid w:val="29672817"/>
    <w:rsid w:val="29954B63"/>
    <w:rsid w:val="29A41943"/>
    <w:rsid w:val="29B831E7"/>
    <w:rsid w:val="29DF16A7"/>
    <w:rsid w:val="29F74F67"/>
    <w:rsid w:val="2A484907"/>
    <w:rsid w:val="2B755902"/>
    <w:rsid w:val="2BA81833"/>
    <w:rsid w:val="2BAC3F70"/>
    <w:rsid w:val="2BB02AB9"/>
    <w:rsid w:val="2BBA01EF"/>
    <w:rsid w:val="2C103151"/>
    <w:rsid w:val="2C56166B"/>
    <w:rsid w:val="2C772798"/>
    <w:rsid w:val="2CE33635"/>
    <w:rsid w:val="2D391980"/>
    <w:rsid w:val="2D7C6F9A"/>
    <w:rsid w:val="2ED263DE"/>
    <w:rsid w:val="2F312BD6"/>
    <w:rsid w:val="2F4F315F"/>
    <w:rsid w:val="2F5260FE"/>
    <w:rsid w:val="2F78760A"/>
    <w:rsid w:val="30463B64"/>
    <w:rsid w:val="30780EC9"/>
    <w:rsid w:val="31651329"/>
    <w:rsid w:val="31C46552"/>
    <w:rsid w:val="31EC7268"/>
    <w:rsid w:val="32691E0F"/>
    <w:rsid w:val="33722AF4"/>
    <w:rsid w:val="339F6CDD"/>
    <w:rsid w:val="344952F9"/>
    <w:rsid w:val="34F20284"/>
    <w:rsid w:val="3619346A"/>
    <w:rsid w:val="366152C5"/>
    <w:rsid w:val="37813F88"/>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EA3E5A"/>
    <w:rsid w:val="3CFD6A0C"/>
    <w:rsid w:val="3DDA1E4D"/>
    <w:rsid w:val="400943B7"/>
    <w:rsid w:val="40143523"/>
    <w:rsid w:val="406B2735"/>
    <w:rsid w:val="4171469C"/>
    <w:rsid w:val="42C454C8"/>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821494D"/>
    <w:rsid w:val="484652C3"/>
    <w:rsid w:val="489E735B"/>
    <w:rsid w:val="48EF215B"/>
    <w:rsid w:val="49547ADE"/>
    <w:rsid w:val="499358EA"/>
    <w:rsid w:val="49A70025"/>
    <w:rsid w:val="4A9518DB"/>
    <w:rsid w:val="4AB935E6"/>
    <w:rsid w:val="4AD52CE0"/>
    <w:rsid w:val="4B1F601E"/>
    <w:rsid w:val="4B65339C"/>
    <w:rsid w:val="4BE2220E"/>
    <w:rsid w:val="4CBF2857"/>
    <w:rsid w:val="4CF82AE4"/>
    <w:rsid w:val="4D097364"/>
    <w:rsid w:val="4D667BB3"/>
    <w:rsid w:val="4D7808AB"/>
    <w:rsid w:val="4DC87963"/>
    <w:rsid w:val="4E0626FD"/>
    <w:rsid w:val="4E0848F5"/>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4B2BA4"/>
    <w:rsid w:val="52AA23A8"/>
    <w:rsid w:val="52B7187A"/>
    <w:rsid w:val="52BF3A93"/>
    <w:rsid w:val="53A5465B"/>
    <w:rsid w:val="53B6028C"/>
    <w:rsid w:val="543903A5"/>
    <w:rsid w:val="54392B16"/>
    <w:rsid w:val="54442E65"/>
    <w:rsid w:val="545B2AA1"/>
    <w:rsid w:val="549B5701"/>
    <w:rsid w:val="54A9277D"/>
    <w:rsid w:val="54FA6421"/>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EC4DE1"/>
    <w:rsid w:val="596B72CE"/>
    <w:rsid w:val="59B3494A"/>
    <w:rsid w:val="59EB1B1F"/>
    <w:rsid w:val="59EC6E24"/>
    <w:rsid w:val="5A0B2520"/>
    <w:rsid w:val="5A186813"/>
    <w:rsid w:val="5A3B2376"/>
    <w:rsid w:val="5A40591F"/>
    <w:rsid w:val="5A6F0692"/>
    <w:rsid w:val="5ABF2E42"/>
    <w:rsid w:val="5B586398"/>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968F0"/>
    <w:rsid w:val="619E6355"/>
    <w:rsid w:val="61BD64DA"/>
    <w:rsid w:val="6215384D"/>
    <w:rsid w:val="627460EE"/>
    <w:rsid w:val="62AC06BC"/>
    <w:rsid w:val="633B4987"/>
    <w:rsid w:val="63525D55"/>
    <w:rsid w:val="63F321C7"/>
    <w:rsid w:val="64C20A08"/>
    <w:rsid w:val="64F06443"/>
    <w:rsid w:val="65737FB9"/>
    <w:rsid w:val="65DF5ECF"/>
    <w:rsid w:val="661D7FD4"/>
    <w:rsid w:val="665A45AE"/>
    <w:rsid w:val="66673D47"/>
    <w:rsid w:val="66A662C4"/>
    <w:rsid w:val="66DE2D4E"/>
    <w:rsid w:val="67222B8A"/>
    <w:rsid w:val="679D182D"/>
    <w:rsid w:val="67BB6396"/>
    <w:rsid w:val="68794E30"/>
    <w:rsid w:val="687B5327"/>
    <w:rsid w:val="688621C1"/>
    <w:rsid w:val="68905753"/>
    <w:rsid w:val="68C15BDE"/>
    <w:rsid w:val="6AD23ACD"/>
    <w:rsid w:val="6AE706B2"/>
    <w:rsid w:val="6B103823"/>
    <w:rsid w:val="6B315A81"/>
    <w:rsid w:val="6C3F4637"/>
    <w:rsid w:val="6C9D07C7"/>
    <w:rsid w:val="6CB426A8"/>
    <w:rsid w:val="6D3835CD"/>
    <w:rsid w:val="6D9B59D3"/>
    <w:rsid w:val="6DDF18A8"/>
    <w:rsid w:val="6E7742D5"/>
    <w:rsid w:val="6E947A29"/>
    <w:rsid w:val="6EFB1E55"/>
    <w:rsid w:val="701E0D35"/>
    <w:rsid w:val="708C2BAE"/>
    <w:rsid w:val="717A54B6"/>
    <w:rsid w:val="71E47115"/>
    <w:rsid w:val="72124418"/>
    <w:rsid w:val="72730565"/>
    <w:rsid w:val="72BF52A3"/>
    <w:rsid w:val="73520170"/>
    <w:rsid w:val="73B32D5B"/>
    <w:rsid w:val="74906E74"/>
    <w:rsid w:val="74D2633E"/>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2B1BAD"/>
    <w:rsid w:val="7AC02D1F"/>
    <w:rsid w:val="7AE80A7B"/>
    <w:rsid w:val="7AE861A8"/>
    <w:rsid w:val="7B452E9A"/>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Balloon Text"/>
    <w:basedOn w:val="1"/>
    <w:link w:val="17"/>
    <w:semiHidden/>
    <w:unhideWhenUsed/>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Default"/>
    <w:autoRedefine/>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1">
    <w:name w:val="Char"/>
    <w:basedOn w:val="1"/>
    <w:autoRedefine/>
    <w:qFormat/>
    <w:uiPriority w:val="0"/>
    <w:rPr>
      <w:rFonts w:ascii="宋体" w:hAnsi="宋体" w:cs="Courier New"/>
      <w:sz w:val="32"/>
      <w:szCs w:val="32"/>
    </w:rPr>
  </w:style>
  <w:style w:type="character" w:customStyle="1" w:styleId="12">
    <w:name w:val="页眉 Char"/>
    <w:link w:val="5"/>
    <w:qFormat/>
    <w:uiPriority w:val="0"/>
    <w:rPr>
      <w:kern w:val="2"/>
      <w:sz w:val="18"/>
      <w:szCs w:val="18"/>
    </w:rPr>
  </w:style>
  <w:style w:type="character" w:customStyle="1" w:styleId="13">
    <w:name w:val="页脚 Char"/>
    <w:link w:val="4"/>
    <w:autoRedefine/>
    <w:qFormat/>
    <w:uiPriority w:val="0"/>
    <w:rPr>
      <w:kern w:val="2"/>
      <w:sz w:val="18"/>
      <w:szCs w:val="18"/>
    </w:rPr>
  </w:style>
  <w:style w:type="paragraph" w:customStyle="1" w:styleId="14">
    <w:name w:val="[Normal]"/>
    <w:autoRedefine/>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 w:type="paragraph" w:styleId="16">
    <w:name w:val="List Paragraph"/>
    <w:basedOn w:val="1"/>
    <w:autoRedefine/>
    <w:unhideWhenUsed/>
    <w:qFormat/>
    <w:uiPriority w:val="99"/>
    <w:pPr>
      <w:ind w:firstLine="420" w:firstLineChars="200"/>
    </w:pPr>
  </w:style>
  <w:style w:type="character" w:customStyle="1" w:styleId="17">
    <w:name w:val="批注框文本 Char"/>
    <w:basedOn w:val="8"/>
    <w:link w:val="3"/>
    <w:semiHidden/>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6.emf"/>
  <Relationship Id="rId11" Type="http://schemas.openxmlformats.org/officeDocument/2006/relationships/image" Target="media/image7.emf"/>
  <Relationship Id="rId12" Type="http://schemas.openxmlformats.org/officeDocument/2006/relationships/image" Target="media/image8.emf"/>
  <Relationship Id="rId13" Type="http://schemas.openxmlformats.org/officeDocument/2006/relationships/image" Target="media/image9.emf"/>
  <Relationship Id="rId14" Type="http://schemas.openxmlformats.org/officeDocument/2006/relationships/image" Target="media/image10.emf"/>
  <Relationship Id="rId15" Type="http://schemas.openxmlformats.org/officeDocument/2006/relationships/numbering" Target="numbering.xml"/>
  <Relationship Id="rId16"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image" Target="media/image5.emf"/>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xc</Company>
  <Pages>21</Pages>
  <Words>4309</Words>
  <Characters>4732</Characters>
  <Lines>54</Lines>
  <Paragraphs>15</Paragraphs>
  <TotalTime>7</TotalTime>
  <ScaleCrop>false</ScaleCrop>
  <LinksUpToDate>false</LinksUpToDate>
  <CharactersWithSpaces>4756</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F</lastModifiedBy>
  <dcterms:modified xsi:type="dcterms:W3CDTF">2025-03-25T00:59:41Z</dcterms:modified>
  <revision>295</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E7E435903E954F16B3A6550F30CE4D1E</vt:lpwstr>
  </property>
  <property fmtid="{D5CDD505-2E9C-101B-9397-08002B2CF9AE}" pid="5" name="KSOTemplateDocerSaveRecord">
    <vt:lpwstr>eyJoZGlkIjoiMTE1YTA3YzY0MTNiNGEyMDY3OTRiYzQzMDFhZDE3MDQiLCJ1c2VySWQiOiIzMTM2ODI3ODYifQ==</vt:lpwstr>
  </property>
</Properties>
</file>