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A327BF">
      <w:pPr>
        <w:spacing w:line="560" w:lineRule="exact"/>
        <w:rPr>
          <w:rFonts w:ascii="黑体" w:hAnsi="黑体" w:eastAsia="黑体" w:cs="黑体"/>
          <w:spacing w:val="15"/>
          <w:sz w:val="32"/>
          <w:szCs w:val="32"/>
        </w:rPr>
      </w:pPr>
    </w:p>
    <w:p w14:paraId="24042B7B">
      <w:pPr>
        <w:spacing w:line="560" w:lineRule="exact"/>
        <w:jc w:val="center"/>
        <w:rPr>
          <w:rFonts w:ascii="方正小标宋简体" w:hAnsi="方正小标宋简体" w:eastAsia="方正小标宋简体" w:cs="方正小标宋简体"/>
          <w:spacing w:val="15"/>
          <w:sz w:val="44"/>
          <w:szCs w:val="44"/>
        </w:rPr>
      </w:pPr>
    </w:p>
    <w:p w14:paraId="12EFCE15">
      <w:pPr>
        <w:spacing w:line="560" w:lineRule="exact"/>
        <w:jc w:val="center"/>
        <w:rPr>
          <w:rFonts w:ascii="方正小标宋简体" w:hAnsi="方正小标宋简体" w:eastAsia="方正小标宋简体" w:cs="方正小标宋简体"/>
          <w:bCs/>
          <w:spacing w:val="15"/>
          <w:sz w:val="44"/>
          <w:szCs w:val="44"/>
        </w:rPr>
      </w:pPr>
    </w:p>
    <w:p w14:paraId="49E0CCDE">
      <w:pPr>
        <w:spacing w:line="560" w:lineRule="exact"/>
        <w:jc w:val="center"/>
        <w:rPr>
          <w:rFonts w:ascii="方正小标宋简体" w:hAnsi="方正小标宋简体" w:eastAsia="方正小标宋简体" w:cs="方正小标宋简体"/>
          <w:bCs/>
          <w:spacing w:val="15"/>
          <w:sz w:val="44"/>
          <w:szCs w:val="44"/>
        </w:rPr>
      </w:pPr>
    </w:p>
    <w:p w14:paraId="493DB141">
      <w:pPr>
        <w:spacing w:line="560" w:lineRule="exact"/>
        <w:jc w:val="center"/>
        <w:rPr>
          <w:rFonts w:ascii="方正小标宋简体" w:hAnsi="方正小标宋简体" w:eastAsia="方正小标宋简体" w:cs="方正小标宋简体"/>
          <w:bCs/>
          <w:spacing w:val="15"/>
          <w:sz w:val="44"/>
          <w:szCs w:val="44"/>
        </w:rPr>
      </w:pPr>
    </w:p>
    <w:p w14:paraId="648DF842">
      <w:pPr>
        <w:spacing w:line="560" w:lineRule="exact"/>
        <w:jc w:val="center"/>
        <w:rPr>
          <w:rFonts w:ascii="方正小标宋简体" w:hAnsi="方正小标宋简体" w:eastAsia="方正小标宋简体" w:cs="方正小标宋简体"/>
          <w:bCs/>
          <w:spacing w:val="15"/>
          <w:sz w:val="44"/>
          <w:szCs w:val="44"/>
        </w:rPr>
      </w:pPr>
    </w:p>
    <w:p w14:paraId="777D411A">
      <w:pPr>
        <w:spacing w:line="560" w:lineRule="exact"/>
        <w:jc w:val="center"/>
        <w:rPr>
          <w:rFonts w:ascii="方正小标宋简体" w:hAnsi="方正小标宋简体" w:eastAsia="方正小标宋简体" w:cs="方正小标宋简体"/>
          <w:bCs/>
          <w:spacing w:val="15"/>
          <w:sz w:val="44"/>
          <w:szCs w:val="44"/>
        </w:rPr>
      </w:pPr>
    </w:p>
    <w:p w14:paraId="03F3880B">
      <w:pPr>
        <w:spacing w:line="560" w:lineRule="exact"/>
        <w:jc w:val="center"/>
        <w:rPr>
          <w:rFonts w:ascii="方正小标宋简体" w:hAnsi="方正小标宋简体" w:eastAsia="方正小标宋简体" w:cs="方正小标宋简体"/>
          <w:bCs/>
          <w:spacing w:val="15"/>
          <w:sz w:val="44"/>
          <w:szCs w:val="44"/>
        </w:rPr>
      </w:pPr>
    </w:p>
    <w:p w14:paraId="7DEE2186">
      <w:pPr>
        <w:spacing w:line="560" w:lineRule="exact"/>
        <w:jc w:val="center"/>
        <w:rPr>
          <w:rFonts w:ascii="方正小标宋简体" w:hAnsi="方正小标宋简体" w:eastAsia="方正小标宋简体" w:cs="方正小标宋简体"/>
          <w:bCs/>
          <w:spacing w:val="15"/>
          <w:sz w:val="44"/>
          <w:szCs w:val="44"/>
        </w:rPr>
      </w:pPr>
      <w:r>
        <w:rPr>
          <w:rFonts w:ascii="方正小标宋简体" w:hAnsi="方正小标宋简体" w:eastAsia="方正小标宋简体" w:cs="方正小标宋简体"/>
          <w:bCs/>
          <w:spacing w:val="15"/>
          <w:sz w:val="44"/>
          <w:szCs w:val="44"/>
        </w:rPr>
        <w:fldChar w:fldCharType="begin"/>
      </w:r>
      <w:r>
        <w:rPr>
          <w:rFonts w:ascii="方正小标宋简体" w:hAnsi="方正小标宋简体" w:eastAsia="方正小标宋简体" w:cs="方正小标宋简体"/>
          <w:bCs/>
          <w:spacing w:val="15"/>
          <w:sz w:val="44"/>
          <w:szCs w:val="44"/>
        </w:rPr>
        <w:instrText xml:space="preserve">MERGEFIELD ${page855778723.ds388518707_V_RPT_BAS_AGENCY_INFO_NAME}</w:instrText>
      </w:r>
      <w:r>
        <w:rPr>
          <w:rFonts w:ascii="方正小标宋简体" w:hAnsi="方正小标宋简体" w:eastAsia="方正小标宋简体" w:cs="方正小标宋简体"/>
          <w:bCs/>
          <w:spacing w:val="15"/>
          <w:sz w:val="44"/>
          <w:szCs w:val="44"/>
        </w:rPr>
        <w:fldChar w:fldCharType="separate"/>
      </w:r>
      <w:r>
        <w:rPr>
          <w:rFonts w:hint="eastAsia" w:ascii="方正小标宋简体" w:hAnsi="方正小标宋简体" w:eastAsia="方正小标宋简体" w:cs="方正小标宋简体"/>
          <w:bCs/>
          <w:spacing w:val="15"/>
          <w:sz w:val="44"/>
          <w:szCs w:val="44"/>
        </w:rPr>
        <w:t>德清县舞阳街道社区卫生服务中心</w:t>
      </w:r>
      <w:r>
        <w:rPr>
          <w:rFonts w:ascii="方正小标宋简体" w:hAnsi="方正小标宋简体" w:eastAsia="方正小标宋简体" w:cs="方正小标宋简体"/>
          <w:bCs/>
          <w:spacing w:val="15"/>
          <w:sz w:val="44"/>
          <w:szCs w:val="44"/>
        </w:rPr>
        <w:fldChar w:fldCharType="end"/>
      </w:r>
      <w:r>
        <w:rPr>
          <w:rFonts w:hint="eastAsia" w:ascii="方正小标宋简体" w:hAnsi="方正小标宋简体" w:eastAsia="方正小标宋简体" w:cs="方正小标宋简体"/>
          <w:bCs/>
          <w:spacing w:val="15"/>
          <w:sz w:val="44"/>
          <w:szCs w:val="44"/>
        </w:rPr>
        <w:t>2025年单位预算</w:t>
      </w:r>
    </w:p>
    <w:p w14:paraId="0DF11F29">
      <w:pPr>
        <w:spacing w:line="560" w:lineRule="exact"/>
        <w:ind w:firstLine="590" w:firstLineChars="196"/>
        <w:rPr>
          <w:rStyle w:val="11"/>
          <w:color w:val="000000"/>
          <w:sz w:val="30"/>
          <w:szCs w:val="30"/>
        </w:rPr>
      </w:pPr>
    </w:p>
    <w:p w14:paraId="4281538F">
      <w:pPr>
        <w:spacing w:line="560" w:lineRule="exact"/>
        <w:ind w:firstLine="925" w:firstLineChars="196"/>
        <w:rPr>
          <w:rFonts w:ascii="方正小标宋简体" w:hAnsi="方正小标宋简体" w:eastAsia="方正小标宋简体" w:cs="方正小标宋简体"/>
          <w:b/>
          <w:spacing w:val="15"/>
          <w:sz w:val="44"/>
          <w:szCs w:val="44"/>
        </w:rPr>
      </w:pPr>
    </w:p>
    <w:p w14:paraId="35EA5D8E">
      <w:pPr>
        <w:spacing w:line="520" w:lineRule="exact"/>
        <w:ind w:firstLine="627" w:firstLineChars="196"/>
        <w:jc w:val="center"/>
        <w:rPr>
          <w:rStyle w:val="11"/>
          <w:rFonts w:ascii="黑体" w:eastAsia="黑体"/>
          <w:b w:val="0"/>
          <w:color w:val="000000"/>
          <w:sz w:val="32"/>
          <w:szCs w:val="32"/>
        </w:rPr>
      </w:pPr>
    </w:p>
    <w:p w14:paraId="5B767900">
      <w:pPr>
        <w:spacing w:line="520" w:lineRule="exact"/>
        <w:ind w:firstLine="627" w:firstLineChars="196"/>
        <w:jc w:val="center"/>
        <w:rPr>
          <w:rStyle w:val="11"/>
          <w:rFonts w:ascii="黑体" w:eastAsia="黑体"/>
          <w:b w:val="0"/>
          <w:color w:val="000000"/>
          <w:sz w:val="32"/>
          <w:szCs w:val="32"/>
        </w:rPr>
      </w:pPr>
    </w:p>
    <w:p w14:paraId="118E40E6">
      <w:pPr>
        <w:spacing w:line="520" w:lineRule="exact"/>
        <w:ind w:firstLine="627" w:firstLineChars="196"/>
        <w:jc w:val="center"/>
        <w:rPr>
          <w:rStyle w:val="11"/>
          <w:rFonts w:ascii="黑体" w:eastAsia="黑体"/>
          <w:b w:val="0"/>
          <w:color w:val="000000"/>
          <w:sz w:val="32"/>
          <w:szCs w:val="32"/>
        </w:rPr>
      </w:pPr>
    </w:p>
    <w:p w14:paraId="603707DF">
      <w:pPr>
        <w:spacing w:line="520" w:lineRule="exact"/>
        <w:ind w:firstLine="627" w:firstLineChars="196"/>
        <w:jc w:val="center"/>
        <w:rPr>
          <w:rStyle w:val="11"/>
          <w:rFonts w:ascii="黑体" w:eastAsia="黑体"/>
          <w:b w:val="0"/>
          <w:color w:val="000000"/>
          <w:sz w:val="32"/>
          <w:szCs w:val="32"/>
        </w:rPr>
      </w:pPr>
    </w:p>
    <w:p w14:paraId="2D90A74F">
      <w:pPr>
        <w:spacing w:line="520" w:lineRule="exact"/>
        <w:ind w:firstLine="627" w:firstLineChars="196"/>
        <w:jc w:val="center"/>
        <w:rPr>
          <w:rStyle w:val="11"/>
          <w:rFonts w:ascii="黑体" w:eastAsia="黑体"/>
          <w:b w:val="0"/>
          <w:color w:val="000000"/>
          <w:sz w:val="32"/>
          <w:szCs w:val="32"/>
        </w:rPr>
      </w:pPr>
    </w:p>
    <w:p w14:paraId="190159BA">
      <w:pPr>
        <w:spacing w:line="520" w:lineRule="exact"/>
        <w:ind w:firstLine="627" w:firstLineChars="196"/>
        <w:jc w:val="center"/>
        <w:rPr>
          <w:rStyle w:val="11"/>
          <w:rFonts w:ascii="黑体" w:eastAsia="黑体"/>
          <w:b w:val="0"/>
          <w:color w:val="000000"/>
          <w:sz w:val="32"/>
          <w:szCs w:val="32"/>
        </w:rPr>
      </w:pPr>
    </w:p>
    <w:p w14:paraId="2F831249">
      <w:pPr>
        <w:spacing w:line="520" w:lineRule="exact"/>
        <w:ind w:firstLine="627" w:firstLineChars="196"/>
        <w:jc w:val="center"/>
        <w:rPr>
          <w:rStyle w:val="11"/>
          <w:rFonts w:ascii="黑体" w:eastAsia="黑体"/>
          <w:b w:val="0"/>
          <w:color w:val="000000"/>
          <w:sz w:val="32"/>
          <w:szCs w:val="32"/>
        </w:rPr>
      </w:pPr>
    </w:p>
    <w:p w14:paraId="7E65DC2B">
      <w:pPr>
        <w:spacing w:line="520" w:lineRule="exact"/>
        <w:ind w:firstLine="627" w:firstLineChars="196"/>
        <w:jc w:val="center"/>
        <w:rPr>
          <w:rStyle w:val="11"/>
          <w:rFonts w:ascii="黑体" w:eastAsia="黑体"/>
          <w:b w:val="0"/>
          <w:color w:val="000000"/>
          <w:sz w:val="32"/>
          <w:szCs w:val="32"/>
        </w:rPr>
      </w:pPr>
    </w:p>
    <w:p w14:paraId="36674D16">
      <w:pPr>
        <w:spacing w:line="520" w:lineRule="exact"/>
        <w:ind w:firstLine="627" w:firstLineChars="196"/>
        <w:jc w:val="center"/>
        <w:rPr>
          <w:rStyle w:val="11"/>
          <w:rFonts w:ascii="黑体" w:eastAsia="黑体"/>
          <w:b w:val="0"/>
          <w:color w:val="000000"/>
          <w:sz w:val="32"/>
          <w:szCs w:val="32"/>
        </w:rPr>
      </w:pPr>
    </w:p>
    <w:p w14:paraId="74613CB6">
      <w:pPr>
        <w:spacing w:line="520" w:lineRule="exact"/>
        <w:ind w:firstLine="627" w:firstLineChars="196"/>
        <w:jc w:val="center"/>
        <w:rPr>
          <w:rStyle w:val="11"/>
          <w:rFonts w:ascii="黑体" w:eastAsia="黑体"/>
          <w:b w:val="0"/>
          <w:color w:val="000000"/>
          <w:sz w:val="32"/>
          <w:szCs w:val="32"/>
        </w:rPr>
      </w:pPr>
    </w:p>
    <w:p w14:paraId="4835E06D">
      <w:pPr>
        <w:spacing w:line="520" w:lineRule="exact"/>
        <w:ind w:firstLine="627" w:firstLineChars="196"/>
        <w:jc w:val="center"/>
        <w:rPr>
          <w:rStyle w:val="11"/>
          <w:rFonts w:ascii="黑体" w:eastAsia="黑体"/>
          <w:b w:val="0"/>
          <w:color w:val="000000"/>
          <w:sz w:val="32"/>
          <w:szCs w:val="32"/>
        </w:rPr>
      </w:pPr>
    </w:p>
    <w:p w14:paraId="58AF6BAF">
      <w:pPr>
        <w:spacing w:line="520" w:lineRule="exact"/>
        <w:ind w:firstLine="627" w:firstLineChars="196"/>
        <w:jc w:val="center"/>
        <w:rPr>
          <w:rStyle w:val="11"/>
          <w:rFonts w:ascii="黑体" w:eastAsia="黑体"/>
          <w:b w:val="0"/>
          <w:color w:val="000000"/>
          <w:sz w:val="32"/>
          <w:szCs w:val="32"/>
        </w:rPr>
      </w:pPr>
    </w:p>
    <w:p w14:paraId="2DE5D312">
      <w:pPr>
        <w:spacing w:line="520" w:lineRule="exact"/>
        <w:ind w:firstLine="627" w:firstLineChars="196"/>
        <w:jc w:val="center"/>
        <w:rPr>
          <w:rStyle w:val="11"/>
          <w:rFonts w:ascii="黑体" w:eastAsia="黑体"/>
          <w:b w:val="0"/>
          <w:color w:val="000000"/>
          <w:sz w:val="32"/>
          <w:szCs w:val="32"/>
        </w:rPr>
      </w:pPr>
    </w:p>
    <w:p w14:paraId="1929BCD7">
      <w:pPr>
        <w:spacing w:line="520" w:lineRule="exact"/>
        <w:rPr>
          <w:rStyle w:val="11"/>
          <w:rFonts w:ascii="黑体" w:eastAsia="黑体"/>
          <w:b w:val="0"/>
          <w:color w:val="000000"/>
          <w:sz w:val="32"/>
          <w:szCs w:val="32"/>
        </w:rPr>
      </w:pPr>
    </w:p>
    <w:p w14:paraId="7D660721">
      <w:pPr>
        <w:spacing w:line="520" w:lineRule="exact"/>
        <w:ind w:firstLine="627" w:firstLineChars="196"/>
        <w:jc w:val="center"/>
        <w:rPr>
          <w:rStyle w:val="11"/>
          <w:rFonts w:ascii="黑体" w:eastAsia="黑体"/>
          <w:b w:val="0"/>
          <w:color w:val="000000"/>
          <w:sz w:val="32"/>
          <w:szCs w:val="32"/>
        </w:rPr>
      </w:pPr>
      <w:r>
        <w:rPr>
          <w:rStyle w:val="11"/>
          <w:rFonts w:hint="eastAsia" w:ascii="黑体" w:eastAsia="黑体"/>
          <w:b w:val="0"/>
          <w:color w:val="000000"/>
          <w:sz w:val="32"/>
          <w:szCs w:val="32"/>
        </w:rPr>
        <w:t>目录</w:t>
      </w:r>
    </w:p>
    <w:p w14:paraId="1F020FEB">
      <w:pPr>
        <w:spacing w:line="520" w:lineRule="exact"/>
        <w:rPr>
          <w:rFonts w:eastAsia="黑体"/>
          <w:sz w:val="32"/>
        </w:rPr>
      </w:pPr>
      <w:r>
        <w:rPr>
          <w:rFonts w:hint="eastAsia" w:ascii="黑体" w:eastAsia="黑体"/>
          <w:color w:val="000000"/>
          <w:sz w:val="32"/>
          <w:highlight w:val="white"/>
        </w:rPr>
        <w:t>一、单位</w:t>
      </w:r>
      <w:r>
        <w:rPr>
          <w:rStyle w:val="11"/>
          <w:rFonts w:hint="eastAsia" w:ascii="黑体" w:eastAsia="黑体"/>
          <w:b w:val="0"/>
          <w:color w:val="000000"/>
          <w:sz w:val="32"/>
          <w:szCs w:val="32"/>
        </w:rPr>
        <w:t>概况</w:t>
      </w:r>
    </w:p>
    <w:p w14:paraId="65364307">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14:paraId="1365E881">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14:paraId="4558A0E9">
      <w:pPr>
        <w:spacing w:line="520" w:lineRule="exact"/>
        <w:rPr>
          <w:rStyle w:val="11"/>
          <w:rFonts w:ascii="黑体" w:eastAsia="黑体"/>
          <w:b w:val="0"/>
          <w:color w:val="000000"/>
          <w:sz w:val="32"/>
          <w:szCs w:val="32"/>
        </w:rPr>
      </w:pPr>
      <w:r>
        <w:rPr>
          <w:rStyle w:val="11"/>
          <w:rFonts w:hint="eastAsia" w:ascii="黑体" w:eastAsia="黑体"/>
          <w:b w:val="0"/>
          <w:color w:val="000000"/>
          <w:sz w:val="32"/>
          <w:szCs w:val="32"/>
        </w:rPr>
        <w:t>二、2025年德清县舞阳街道社区卫生服务中心单位预算安排情况说明</w:t>
      </w:r>
    </w:p>
    <w:p w14:paraId="1264A39C">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（一）关于德清县舞阳街道社区卫生服务中心2025年收支预算情况的总体说明</w:t>
      </w:r>
    </w:p>
    <w:p w14:paraId="62C7F232">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（二）关于德清县舞阳街道社区卫生服务中心2025年收入预算情况说明</w:t>
      </w:r>
    </w:p>
    <w:p w14:paraId="71587AF0">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（三）关于</w:t>
      </w:r>
      <w:r>
        <w:rPr>
          <w:rFonts w:hint="eastAsia" w:ascii="楷体_GB2312" w:hAnsi="楷体_GB2312" w:eastAsia="楷体_GB2312" w:cs="楷体_GB2312"/>
          <w:bCs/>
          <w:sz w:val="32"/>
          <w:szCs w:val="32"/>
        </w:rPr>
        <w:fldChar w:fldCharType="begin"/>
      </w:r>
      <w:r>
        <w:rPr>
          <w:rFonts w:hint="eastAsia" w:ascii="楷体_GB2312" w:hAnsi="楷体_GB2312" w:eastAsia="楷体_GB2312" w:cs="楷体_GB2312"/>
          <w:bCs/>
          <w:sz w:val="32"/>
          <w:szCs w:val="32"/>
        </w:rPr>
        <w:instrText xml:space="preserve">MERGEFIELD ${page855778723.ds388518707_V_RPT_BAS_AGENCY_INFO_NAME}</w:instrText>
      </w:r>
      <w:r>
        <w:rPr>
          <w:rFonts w:hint="eastAsia"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rPr>
        <w:t>德清县舞阳街道社区卫生服务中心»</w:t>
      </w:r>
      <w:r>
        <w:rPr>
          <w:rFonts w:hint="eastAsia"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rPr>
        <w:t>2025年支出预算情况说明</w:t>
      </w:r>
      <w:r>
        <w:rPr>
          <w:rFonts w:hint="eastAsia" w:ascii="楷体_GB2312" w:hAnsi="楷体_GB2312" w:eastAsia="楷体_GB2312" w:cs="楷体_GB2312"/>
          <w:bCs/>
          <w:sz w:val="32"/>
          <w:szCs w:val="32"/>
        </w:rPr>
        <w:br w:type="textWrapping"/>
      </w:r>
      <w:r>
        <w:rPr>
          <w:rFonts w:hint="eastAsia" w:ascii="楷体_GB2312" w:hAnsi="楷体_GB2312" w:eastAsia="楷体_GB2312" w:cs="楷体_GB2312"/>
          <w:bCs/>
          <w:sz w:val="32"/>
          <w:szCs w:val="32"/>
        </w:rPr>
        <w:t>（四）关于德清县舞阳街道社区卫生服务中心2025年财政拨款收支预算情况的总体说明</w:t>
      </w:r>
    </w:p>
    <w:p w14:paraId="27F1F165">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（五）关于德清县舞阳街道社区卫生服务中心2025年一般公共预算拨款情况说明</w:t>
      </w:r>
    </w:p>
    <w:p w14:paraId="7F669EF2">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（六）关于德清县舞阳街道社区卫生服务中心2025年一般公共预算基本支出情况说明</w:t>
      </w:r>
    </w:p>
    <w:p w14:paraId="2182B93F">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（七）关于德清县舞阳街道社区卫生服务中心2025年政府性基金预算支出情况说明</w:t>
      </w:r>
    </w:p>
    <w:p w14:paraId="01A17B3E">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（八）关于德清县舞阳街道社区卫生服务中心2025年国有资本经营预算支出情况说明</w:t>
      </w:r>
    </w:p>
    <w:p w14:paraId="0217A8FB">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（九）关于德清县舞阳街道社区卫生服务中心2025年一般公共预算“三公”经费预算情况说明</w:t>
      </w:r>
    </w:p>
    <w:p w14:paraId="487B43C7">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14:paraId="46CD7202">
      <w:pPr>
        <w:pStyle w:val="16"/>
        <w:spacing w:line="520" w:lineRule="exact"/>
        <w:rPr>
          <w:rStyle w:val="11"/>
          <w:rFonts w:ascii="黑体" w:hAnsi="Calibri" w:eastAsia="黑体"/>
          <w:b w:val="0"/>
          <w:color w:val="000000"/>
          <w:kern w:val="2"/>
          <w:sz w:val="32"/>
          <w:szCs w:val="32"/>
        </w:rPr>
      </w:pPr>
      <w:r>
        <w:rPr>
          <w:rStyle w:val="11"/>
          <w:rFonts w:hint="eastAsia" w:ascii="黑体" w:hAnsi="Calibri" w:eastAsia="黑体"/>
          <w:b w:val="0"/>
          <w:color w:val="000000"/>
          <w:kern w:val="2"/>
          <w:sz w:val="32"/>
          <w:szCs w:val="32"/>
        </w:rPr>
        <w:t>三、名词解释</w:t>
      </w:r>
    </w:p>
    <w:p w14:paraId="60E26DDF">
      <w:pPr>
        <w:spacing w:line="520" w:lineRule="exact"/>
        <w:rPr>
          <w:rStyle w:val="11"/>
          <w:rFonts w:ascii="黑体" w:eastAsia="黑体"/>
          <w:b w:val="0"/>
          <w:color w:val="000000"/>
          <w:sz w:val="32"/>
          <w:szCs w:val="32"/>
        </w:rPr>
      </w:pPr>
      <w:r>
        <w:rPr>
          <w:rStyle w:val="11"/>
          <w:rFonts w:hint="eastAsia" w:ascii="黑体" w:eastAsia="黑体"/>
          <w:b w:val="0"/>
          <w:color w:val="000000"/>
          <w:sz w:val="32"/>
          <w:szCs w:val="32"/>
        </w:rPr>
        <w:t>四、2025年德清县舞阳街道社区卫生服务中心单位预算表</w:t>
      </w:r>
    </w:p>
    <w:p w14:paraId="1AE0084E">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（一）2025年单位收支预算总表</w:t>
      </w:r>
    </w:p>
    <w:p w14:paraId="7A0E5993">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（二）2025年单位收入预算总表</w:t>
      </w:r>
    </w:p>
    <w:p w14:paraId="5CE2E5BE">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（三）2025年单位支出预算总表</w:t>
      </w:r>
    </w:p>
    <w:p w14:paraId="38D3742A">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（四）2025年单位财政拨款收支预算总表</w:t>
      </w:r>
    </w:p>
    <w:p w14:paraId="6A465D0C">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（五）2025年单位一般公共预算支出表</w:t>
      </w:r>
    </w:p>
    <w:p w14:paraId="5A0ECB93">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（六）2025年单位一般公共预算基本支出表</w:t>
      </w:r>
    </w:p>
    <w:p w14:paraId="5B472B45">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（七）2025年单位一般公共预算“三公”经费支出表</w:t>
      </w:r>
    </w:p>
    <w:p w14:paraId="1A2500F8">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（八）2025年单位政府性基金预算支出表</w:t>
      </w:r>
    </w:p>
    <w:p w14:paraId="0287B211">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（九）2025年单位国有资本经营预算支出表</w:t>
      </w:r>
    </w:p>
    <w:p w14:paraId="4FDA7FF0">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（十）2025年单位项目支出预算表</w:t>
      </w:r>
    </w:p>
    <w:p w14:paraId="61EFCEA8">
      <w:pPr>
        <w:pStyle w:val="2"/>
        <w:rPr>
          <w:rStyle w:val="11"/>
          <w:rFonts w:hint="default" w:ascii="黑体" w:eastAsia="黑体"/>
          <w:b w:val="0"/>
          <w:sz w:val="32"/>
          <w:szCs w:val="32"/>
        </w:rPr>
      </w:pPr>
    </w:p>
    <w:p w14:paraId="17AED62F">
      <w:pPr>
        <w:pStyle w:val="2"/>
        <w:rPr>
          <w:rStyle w:val="11"/>
          <w:rFonts w:hint="default" w:ascii="黑体" w:eastAsia="黑体"/>
          <w:b w:val="0"/>
          <w:sz w:val="32"/>
          <w:szCs w:val="32"/>
        </w:rPr>
      </w:pPr>
    </w:p>
    <w:p w14:paraId="541C5549">
      <w:pPr>
        <w:pStyle w:val="2"/>
        <w:rPr>
          <w:rStyle w:val="11"/>
          <w:rFonts w:hint="default" w:ascii="黑体" w:eastAsia="黑体"/>
          <w:b w:val="0"/>
          <w:sz w:val="32"/>
          <w:szCs w:val="32"/>
        </w:rPr>
      </w:pPr>
    </w:p>
    <w:p w14:paraId="39189028">
      <w:pPr>
        <w:pStyle w:val="2"/>
        <w:rPr>
          <w:rStyle w:val="11"/>
          <w:rFonts w:hint="default" w:ascii="黑体" w:eastAsia="黑体"/>
          <w:b w:val="0"/>
          <w:sz w:val="32"/>
          <w:szCs w:val="32"/>
        </w:rPr>
      </w:pPr>
    </w:p>
    <w:p w14:paraId="780BAC97">
      <w:pPr>
        <w:pStyle w:val="2"/>
        <w:rPr>
          <w:rStyle w:val="11"/>
          <w:rFonts w:hint="default" w:ascii="黑体" w:eastAsia="黑体"/>
          <w:b w:val="0"/>
          <w:sz w:val="32"/>
          <w:szCs w:val="32"/>
        </w:rPr>
      </w:pPr>
    </w:p>
    <w:p w14:paraId="3882ABE4">
      <w:pPr>
        <w:pStyle w:val="2"/>
        <w:rPr>
          <w:rStyle w:val="11"/>
          <w:rFonts w:hint="default" w:ascii="黑体" w:eastAsia="黑体"/>
          <w:b w:val="0"/>
          <w:sz w:val="32"/>
          <w:szCs w:val="32"/>
        </w:rPr>
      </w:pPr>
    </w:p>
    <w:p w14:paraId="45FF1763">
      <w:pPr>
        <w:pStyle w:val="2"/>
        <w:tabs>
          <w:tab w:val="left" w:pos="2608"/>
        </w:tabs>
        <w:rPr>
          <w:rStyle w:val="11"/>
          <w:rFonts w:hint="default" w:ascii="黑体" w:eastAsia="黑体"/>
          <w:b w:val="0"/>
          <w:sz w:val="32"/>
          <w:szCs w:val="32"/>
        </w:rPr>
      </w:pPr>
    </w:p>
    <w:p w14:paraId="2BAD72C3">
      <w:pPr>
        <w:spacing w:line="520" w:lineRule="exact"/>
        <w:ind w:firstLine="627" w:firstLineChars="196"/>
        <w:rPr>
          <w:rStyle w:val="11"/>
          <w:rFonts w:ascii="黑体" w:eastAsia="黑体"/>
          <w:b w:val="0"/>
          <w:color w:val="000000"/>
          <w:sz w:val="32"/>
          <w:szCs w:val="32"/>
        </w:rPr>
      </w:pPr>
      <w:r>
        <w:rPr>
          <w:rStyle w:val="11"/>
          <w:rFonts w:hint="eastAsia" w:ascii="黑体" w:eastAsia="黑体"/>
          <w:b w:val="0"/>
          <w:color w:val="000000"/>
          <w:sz w:val="32"/>
          <w:szCs w:val="32"/>
        </w:rPr>
        <w:t>一、单位概况</w:t>
      </w:r>
    </w:p>
    <w:p w14:paraId="58CEB0B1">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14:paraId="4556F5B2">
      <w:pPr>
        <w:spacing w:line="520" w:lineRule="exact"/>
        <w:ind w:firstLine="627" w:firstLineChars="196"/>
        <w:rPr>
          <w:rFonts w:ascii="仿宋_GB2312" w:eastAsia="仿宋_GB2312"/>
          <w:bCs/>
          <w:sz w:val="32"/>
          <w:szCs w:val="32"/>
        </w:rPr>
      </w:pPr>
      <w:r>
        <w:rPr>
          <w:rFonts w:hint="eastAsia" w:ascii="仿宋_GB2312" w:eastAsia="仿宋_GB2312"/>
          <w:bCs/>
          <w:sz w:val="32"/>
          <w:szCs w:val="32"/>
        </w:rPr>
        <w:t>1.贯彻执行国家、省、市卫生健康事业发展的法律法规和政策，为人民身体健康提供医疗和健康保健服务，医疗常见病、多发病、护理、预防保健、初级卫生规划保健实施。</w:t>
      </w:r>
    </w:p>
    <w:p w14:paraId="1F8015B2">
      <w:pPr>
        <w:spacing w:line="520" w:lineRule="exact"/>
        <w:ind w:firstLine="627" w:firstLineChars="196"/>
        <w:rPr>
          <w:rFonts w:ascii="仿宋_GB2312" w:eastAsia="仿宋_GB2312"/>
          <w:bCs/>
          <w:sz w:val="32"/>
          <w:szCs w:val="32"/>
        </w:rPr>
      </w:pPr>
      <w:r>
        <w:rPr>
          <w:rFonts w:hint="eastAsia" w:ascii="仿宋_GB2312" w:eastAsia="仿宋_GB2312"/>
          <w:bCs/>
          <w:sz w:val="32"/>
          <w:szCs w:val="32"/>
        </w:rPr>
        <w:t>2.基本医疗服务职能：设有临床科室：全科、儿科、妇产科、口腔科、针灸理疗科、中医全科、中西医结合骨伤科、康复科、五官科、全科-专科联合门诊、专科医生工作室等。医技科室：放射科、检验科、B超心电图室，为百姓提供基本医疗服务，是集医疗、预防、保健、教育为一体的综合性、非盈利性公立一级乙等医院，推进医共体建设，增强基层服务能力，提高基层就诊率，提高老百姓的满意度。</w:t>
      </w:r>
    </w:p>
    <w:p w14:paraId="1E370059">
      <w:pPr>
        <w:spacing w:line="520" w:lineRule="exact"/>
        <w:ind w:firstLine="627" w:firstLineChars="196"/>
        <w:rPr>
          <w:rFonts w:ascii="楷体_GB2312" w:hAnsi="楷体_GB2312" w:eastAsia="楷体_GB2312" w:cs="楷体_GB2312"/>
          <w:bCs/>
          <w:sz w:val="32"/>
          <w:szCs w:val="32"/>
        </w:rPr>
      </w:pPr>
      <w:r>
        <w:rPr>
          <w:rFonts w:hint="eastAsia" w:ascii="仿宋_GB2312" w:eastAsia="仿宋_GB2312"/>
          <w:bCs/>
          <w:sz w:val="32"/>
          <w:szCs w:val="32"/>
        </w:rPr>
        <w:t>3.</w:t>
      </w:r>
      <w:r>
        <w:rPr>
          <w:rFonts w:ascii="仿宋_GB2312" w:eastAsia="仿宋_GB2312"/>
          <w:bCs/>
          <w:sz w:val="32"/>
          <w:szCs w:val="32"/>
        </w:rPr>
        <w:t>公共卫生服务职能：城乡居民健档案管理服务、健康教育、预防接种、0-6岁儿童健康管理服务、孕产妇健康管理服务、老年人健康管理服务、慢性病患者健康管理服务、严重精神障碍患者管理服务、结核病患者健康管理服务、中医药健康管理服务、传染病和突发公共卫生事件报告和处理、卫生计生监督协管。</w:t>
      </w:r>
    </w:p>
    <w:p w14:paraId="10ACAD87">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14:paraId="29B341C9">
      <w:pPr>
        <w:spacing w:line="520" w:lineRule="exact"/>
        <w:ind w:firstLine="640" w:firstLineChars="200"/>
        <w:rPr>
          <w:rFonts w:ascii="仿宋_GB2312" w:eastAsia="仿宋_GB2312"/>
          <w:bCs/>
          <w:sz w:val="32"/>
          <w:szCs w:val="32"/>
        </w:rPr>
      </w:pPr>
      <w:r>
        <w:rPr>
          <w:rFonts w:hint="eastAsia" w:ascii="仿宋_GB2312" w:eastAsia="仿宋_GB2312"/>
          <w:bCs/>
          <w:sz w:val="32"/>
          <w:szCs w:val="32"/>
        </w:rPr>
        <w:t>从预算单位构成看，德清县舞阳街道社区卫生服务中心预算包括：德清县舞阳街道社区卫生服务中心单位预算。</w:t>
      </w:r>
    </w:p>
    <w:p w14:paraId="01BFDA4D">
      <w:pPr>
        <w:spacing w:line="520" w:lineRule="exact"/>
        <w:ind w:firstLine="640" w:firstLineChars="200"/>
        <w:rPr>
          <w:rFonts w:ascii="楷体_GB2312" w:hAnsi="楷体_GB2312" w:eastAsia="楷体_GB2312" w:cs="楷体_GB2312"/>
          <w:color w:val="000000"/>
          <w:sz w:val="32"/>
          <w:szCs w:val="32"/>
        </w:rPr>
      </w:pPr>
      <w:r>
        <w:rPr>
          <w:rStyle w:val="11"/>
          <w:rFonts w:hint="eastAsia" w:ascii="黑体" w:eastAsia="黑体"/>
          <w:b w:val="0"/>
          <w:color w:val="000000"/>
          <w:sz w:val="32"/>
          <w:szCs w:val="32"/>
        </w:rPr>
        <w:t>二、2025年德清县舞阳街道社区卫生服务中心单位预算安排情况说明</w:t>
      </w:r>
      <w:r>
        <w:rPr>
          <w:rFonts w:hint="eastAsia"/>
          <w:color w:val="000000"/>
          <w:sz w:val="32"/>
          <w:szCs w:val="32"/>
        </w:rPr>
        <w:br w:type="textWrapping"/>
      </w:r>
      <w:r>
        <w:rPr>
          <w:rFonts w:hint="eastAsia" w:ascii="仿宋_GB2312" w:eastAsia="仿宋_GB2312"/>
          <w:b/>
          <w:bCs/>
          <w:color w:val="000000"/>
          <w:sz w:val="32"/>
          <w:szCs w:val="32"/>
        </w:rPr>
        <w:t>　　</w:t>
      </w:r>
      <w:r>
        <w:rPr>
          <w:rFonts w:hint="eastAsia" w:ascii="楷体_GB2312" w:hAnsi="楷体_GB2312" w:eastAsia="楷体_GB2312" w:cs="楷体_GB2312"/>
          <w:color w:val="000000"/>
          <w:sz w:val="32"/>
          <w:szCs w:val="32"/>
        </w:rPr>
        <w:t>（一）关于德清县舞阳街道社区卫生服务中心</w:t>
      </w:r>
      <w:r>
        <w:rPr>
          <w:rStyle w:val="11"/>
          <w:rFonts w:hint="eastAsia" w:ascii="楷体_GB2312" w:hAnsi="楷体_GB2312" w:eastAsia="楷体_GB2312" w:cs="楷体_GB2312"/>
          <w:b w:val="0"/>
          <w:bCs w:val="0"/>
          <w:color w:val="000000"/>
          <w:sz w:val="32"/>
          <w:szCs w:val="32"/>
        </w:rPr>
        <w:t>2025年收支预算情况的总体说明</w:t>
      </w:r>
    </w:p>
    <w:p w14:paraId="0CB5E629">
      <w:pPr>
        <w:spacing w:line="520" w:lineRule="exact"/>
        <w:rPr>
          <w:rFonts w:ascii="仿宋_GB2312" w:eastAsia="仿宋_GB2312"/>
          <w:color w:val="000000"/>
          <w:sz w:val="32"/>
          <w:szCs w:val="32"/>
        </w:rPr>
      </w:pPr>
      <w:r>
        <w:rPr>
          <w:rFonts w:hint="eastAsia" w:ascii="仿宋_GB2312" w:eastAsia="仿宋_GB2312"/>
          <w:bCs/>
          <w:color w:val="000000"/>
          <w:sz w:val="32"/>
          <w:szCs w:val="32"/>
        </w:rPr>
        <w:t xml:space="preserve">   </w:t>
      </w:r>
      <w:r>
        <w:rPr>
          <w:rFonts w:hint="eastAsia" w:ascii="仿宋_GB2312" w:eastAsia="仿宋_GB2312"/>
          <w:color w:val="000000"/>
          <w:sz w:val="32"/>
          <w:szCs w:val="32"/>
        </w:rPr>
        <w:t xml:space="preserve"> 按照综合预算的原则，德清县舞阳街道社区卫生服务中心所有收入和支出均纳入部门预算管理。收入包括：一般公共预算收入805.88万元；支出包括：卫生健康支出805.88万元。德清县舞阳街道社区卫生服务中心2025年收支总预算</w:t>
      </w: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MERGEFIELD ${page855778723.ds388518707_V_REP_BGT_DEP_INCOME_DEP_BGT_REV}</w:instrText>
      </w:r>
      <w:r>
        <w:rPr>
          <w:rFonts w:hint="eastAsia" w:ascii="仿宋_GB2312" w:eastAsia="仿宋_GB2312"/>
          <w:color w:val="000000"/>
          <w:sz w:val="32"/>
          <w:szCs w:val="32"/>
        </w:rPr>
        <w:fldChar w:fldCharType="end"/>
      </w:r>
      <w:r>
        <w:rPr>
          <w:rFonts w:hint="eastAsia" w:ascii="仿宋_GB2312" w:eastAsia="仿宋_GB2312"/>
          <w:color w:val="000000"/>
          <w:sz w:val="32"/>
          <w:szCs w:val="32"/>
        </w:rPr>
        <w:t>805.88 万元。</w:t>
      </w:r>
    </w:p>
    <w:p w14:paraId="66AB8882">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（二）关于德清县舞阳街道社区卫生服务中心2025年收入预算情况说明</w:t>
      </w:r>
    </w:p>
    <w:p w14:paraId="6EC182DD">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MERGEFIELD ${page855778723.ds388518707_V_RPT_BAS_AGENCY_INFO_NAME}</w:instrText>
      </w:r>
      <w:r>
        <w:rPr>
          <w:rFonts w:hint="eastAsia" w:ascii="仿宋_GB2312" w:eastAsia="仿宋_GB2312"/>
          <w:color w:val="000000"/>
          <w:sz w:val="32"/>
          <w:szCs w:val="32"/>
        </w:rPr>
        <w:fldChar w:fldCharType="separate"/>
      </w:r>
      <w:r>
        <w:rPr>
          <w:rFonts w:hint="eastAsia" w:ascii="仿宋_GB2312" w:eastAsia="仿宋_GB2312"/>
          <w:color w:val="000000"/>
          <w:sz w:val="32"/>
          <w:szCs w:val="32"/>
        </w:rPr>
        <w:t>德清县舞阳街道社区卫生服务中心</w:t>
      </w:r>
      <w:r>
        <w:rPr>
          <w:rFonts w:hint="eastAsia" w:ascii="仿宋_GB2312" w:eastAsia="仿宋_GB2312"/>
          <w:color w:val="000000"/>
          <w:sz w:val="32"/>
          <w:szCs w:val="32"/>
        </w:rPr>
        <w:fldChar w:fldCharType="end"/>
      </w:r>
      <w:r>
        <w:rPr>
          <w:rFonts w:hint="eastAsia" w:ascii="仿宋_GB2312" w:eastAsia="仿宋_GB2312"/>
          <w:color w:val="000000"/>
          <w:sz w:val="32"/>
          <w:szCs w:val="32"/>
        </w:rPr>
        <w:t>2025年收入预算805.88万元，比上年执行数增加34.27万元，增长4.4%，主要是基层医疗卫生机构改革补助和基本公共卫生经费年初下达数增加。</w:t>
      </w:r>
    </w:p>
    <w:p w14:paraId="7764FC33">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其中：一般公共预算拨款收入805.88万元（上年结转0</w:t>
      </w:r>
      <w:r>
        <w:rPr>
          <w:rFonts w:hint="eastAsia" w:ascii="仿宋_GB2312" w:eastAsia="仿宋_GB2312"/>
          <w:color w:val="000000"/>
          <w:sz w:val="32"/>
          <w:szCs w:val="32"/>
          <w:lang w:val="en-US" w:eastAsia="zh-CN"/>
        </w:rPr>
        <w:t>.00</w:t>
      </w:r>
      <w:r>
        <w:rPr>
          <w:rFonts w:hint="eastAsia" w:ascii="仿宋_GB2312" w:eastAsia="仿宋_GB2312"/>
          <w:color w:val="000000"/>
          <w:sz w:val="32"/>
          <w:szCs w:val="32"/>
        </w:rPr>
        <w:t>万元），占100%。</w:t>
      </w:r>
      <w:r>
        <w:rPr>
          <w:rFonts w:hint="eastAsia" w:ascii="仿宋_GB2312" w:eastAsia="仿宋_GB2312"/>
          <w:color w:val="000000"/>
          <w:sz w:val="32"/>
          <w:szCs w:val="32"/>
        </w:rPr>
        <w:br w:type="textWrapping"/>
      </w:r>
      <w:r>
        <w:rPr>
          <w:rFonts w:hint="eastAsia" w:ascii="楷体_GB2312" w:hAnsi="楷体_GB2312" w:eastAsia="楷体_GB2312" w:cs="楷体_GB2312"/>
          <w:bCs/>
          <w:color w:val="000000"/>
          <w:sz w:val="32"/>
          <w:szCs w:val="32"/>
        </w:rPr>
        <w:t>　　（三）关于德清县舞阳街道社区卫生服务中心2025年支出预算情况说明</w:t>
      </w:r>
      <w:r>
        <w:rPr>
          <w:rFonts w:hint="eastAsia" w:ascii="楷体_GB2312" w:hAnsi="楷体_GB2312" w:eastAsia="楷体_GB2312" w:cs="楷体_GB2312"/>
          <w:bCs/>
          <w:color w:val="000000"/>
          <w:sz w:val="32"/>
          <w:szCs w:val="32"/>
        </w:rPr>
        <w:br w:type="textWrapping"/>
      </w:r>
      <w:r>
        <w:rPr>
          <w:rFonts w:hint="eastAsia" w:ascii="仿宋_GB2312" w:eastAsia="仿宋_GB2312"/>
          <w:color w:val="000000"/>
          <w:sz w:val="32"/>
          <w:szCs w:val="32"/>
        </w:rPr>
        <w:t>　</w:t>
      </w:r>
      <w:r>
        <w:rPr>
          <w:rFonts w:hint="eastAsia" w:ascii="仿宋_GB2312" w:hAnsi="仿宋_GB2312" w:eastAsia="仿宋_GB2312" w:cs="仿宋_GB2312"/>
          <w:color w:val="000000"/>
          <w:sz w:val="32"/>
          <w:szCs w:val="32"/>
        </w:rPr>
        <w:t>　德清县舞阳街道社区卫生服务中心2025年支出预算805.88万元，比上年执行数增加34.27万元，</w:t>
      </w:r>
      <w:r>
        <w:rPr>
          <w:rFonts w:hint="eastAsia" w:ascii="仿宋_GB2312" w:hAnsi="仿宋_GB2312" w:eastAsia="仿宋_GB2312" w:cs="仿宋_GB2312"/>
          <w:color w:val="000000"/>
          <w:sz w:val="32"/>
        </w:rPr>
        <w:t>增长4.4%，</w:t>
      </w:r>
      <w:r>
        <w:rPr>
          <w:rFonts w:hint="eastAsia" w:ascii="仿宋_GB2312" w:eastAsia="仿宋_GB2312"/>
          <w:color w:val="000000"/>
          <w:sz w:val="32"/>
          <w:szCs w:val="32"/>
        </w:rPr>
        <w:t>主要是基层医疗卫生机构改革补助和基本公共卫生经费年初下达数增加。</w:t>
      </w:r>
    </w:p>
    <w:p w14:paraId="3154F955">
      <w:pPr>
        <w:spacing w:line="520" w:lineRule="exact"/>
        <w:ind w:firstLine="642"/>
        <w:rPr>
          <w:rFonts w:hint="eastAsia" w:ascii="仿宋_GB2312" w:eastAsia="仿宋_GB2312"/>
          <w:color w:val="000000"/>
          <w:sz w:val="32"/>
          <w:szCs w:val="32"/>
          <w:lang w:val="en-US" w:eastAsia="zh-CN"/>
        </w:rPr>
      </w:pPr>
      <w:r>
        <w:rPr>
          <w:rFonts w:hint="eastAsia" w:ascii="仿宋_GB2312" w:eastAsia="仿宋_GB2312"/>
          <w:color w:val="000000"/>
          <w:sz w:val="32"/>
          <w:szCs w:val="32"/>
        </w:rPr>
        <w:t>1.按支出功能分类，包括</w:t>
      </w: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MERGEFIELD ${page991221988.ds669801938_ExpandCol61236023910}</w:instrText>
      </w:r>
      <w:r>
        <w:rPr>
          <w:rFonts w:hint="eastAsia" w:ascii="仿宋_GB2312" w:eastAsia="仿宋_GB2312"/>
          <w:color w:val="000000"/>
          <w:sz w:val="32"/>
          <w:szCs w:val="32"/>
        </w:rPr>
        <w:fldChar w:fldCharType="separate"/>
      </w:r>
      <w:r>
        <w:rPr>
          <w:rFonts w:hint="eastAsia" w:ascii="仿宋_GB2312" w:eastAsia="仿宋_GB2312"/>
          <w:color w:val="000000"/>
          <w:sz w:val="32"/>
          <w:szCs w:val="32"/>
        </w:rPr>
        <w:t>卫生健康支出805.88</w:t>
      </w:r>
      <w:r>
        <w:rPr>
          <w:rFonts w:hint="eastAsia" w:ascii="仿宋_GB2312" w:eastAsia="仿宋_GB2312"/>
          <w:color w:val="000000"/>
          <w:sz w:val="32"/>
          <w:szCs w:val="32"/>
        </w:rPr>
        <w:fldChar w:fldCharType="end"/>
      </w:r>
      <w:r>
        <w:rPr>
          <w:rFonts w:hint="eastAsia" w:ascii="仿宋_GB2312" w:eastAsia="仿宋_GB2312"/>
          <w:color w:val="000000"/>
          <w:sz w:val="32"/>
          <w:szCs w:val="32"/>
        </w:rPr>
        <w:t>万</w:t>
      </w:r>
      <w:r>
        <w:rPr>
          <w:rFonts w:hint="eastAsia" w:ascii="仿宋_GB2312" w:eastAsia="仿宋_GB2312"/>
          <w:color w:val="000000"/>
          <w:sz w:val="32"/>
          <w:szCs w:val="32"/>
          <w:lang w:val="en-US" w:eastAsia="zh-CN"/>
        </w:rPr>
        <w:t>元。</w:t>
      </w:r>
    </w:p>
    <w:p w14:paraId="631E472D">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2.按支出用途分类，包括人员支出28.85万元，占3.</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%；项目支出777.03万元，占</w:t>
      </w:r>
      <w:r>
        <w:rPr>
          <w:rFonts w:hint="eastAsia" w:ascii="仿宋_GB2312" w:eastAsia="仿宋_GB2312"/>
          <w:color w:val="000000"/>
          <w:sz w:val="32"/>
          <w:szCs w:val="32"/>
          <w:highlight w:val="none"/>
        </w:rPr>
        <w:t>96.4%</w:t>
      </w:r>
      <w:r>
        <w:rPr>
          <w:rFonts w:hint="eastAsia" w:ascii="仿宋_GB2312" w:eastAsia="仿宋_GB2312"/>
          <w:color w:val="000000"/>
          <w:sz w:val="32"/>
          <w:szCs w:val="32"/>
        </w:rPr>
        <w:t>。</w:t>
      </w:r>
    </w:p>
    <w:p w14:paraId="4C53AFFF">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年终结转结余0</w:t>
      </w:r>
      <w:r>
        <w:rPr>
          <w:rFonts w:hint="eastAsia" w:ascii="仿宋_GB2312" w:eastAsia="仿宋_GB2312"/>
          <w:color w:val="000000"/>
          <w:sz w:val="32"/>
          <w:szCs w:val="32"/>
          <w:lang w:val="en-US" w:eastAsia="zh-CN"/>
        </w:rPr>
        <w:t>.00</w:t>
      </w:r>
      <w:r>
        <w:rPr>
          <w:rFonts w:hint="eastAsia" w:ascii="仿宋_GB2312" w:eastAsia="仿宋_GB2312"/>
          <w:color w:val="000000"/>
          <w:sz w:val="32"/>
          <w:szCs w:val="32"/>
        </w:rPr>
        <w:t>万元。</w:t>
      </w:r>
    </w:p>
    <w:p w14:paraId="316B4EEE">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（四）关于德清县舞阳街道社区卫生服务中心2025年财政拨款收支预算情况的总体说明</w:t>
      </w:r>
    </w:p>
    <w:p w14:paraId="5F37C600">
      <w:pPr>
        <w:spacing w:line="520" w:lineRule="exact"/>
        <w:ind w:firstLine="640"/>
        <w:rPr>
          <w:rFonts w:ascii="仿宋_GB2312" w:eastAsia="仿宋_GB2312"/>
          <w:color w:val="000000"/>
          <w:sz w:val="32"/>
          <w:szCs w:val="32"/>
        </w:rPr>
      </w:pPr>
      <w:r>
        <w:rPr>
          <w:rFonts w:hint="eastAsia" w:ascii="仿宋_GB2312" w:eastAsia="仿宋_GB2312"/>
          <w:color w:val="000000"/>
          <w:sz w:val="32"/>
          <w:szCs w:val="32"/>
        </w:rPr>
        <w:t>德清县舞阳街道社区卫生服务中心2025年财政拨款收支总预算</w:t>
      </w: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MERGEFIELD ${page296906908.ds669801938_ComputeCol20220210154818}</w:instrText>
      </w:r>
      <w:r>
        <w:rPr>
          <w:rFonts w:hint="eastAsia" w:ascii="仿宋_GB2312" w:eastAsia="仿宋_GB2312"/>
          <w:color w:val="000000"/>
          <w:sz w:val="32"/>
          <w:szCs w:val="32"/>
        </w:rPr>
        <w:fldChar w:fldCharType="separate"/>
      </w:r>
      <w:r>
        <w:rPr>
          <w:rFonts w:hint="eastAsia" w:ascii="仿宋_GB2312" w:eastAsia="仿宋_GB2312"/>
          <w:color w:val="000000"/>
          <w:sz w:val="32"/>
          <w:szCs w:val="32"/>
        </w:rPr>
        <w:t>805.88</w:t>
      </w:r>
      <w:r>
        <w:rPr>
          <w:rFonts w:hint="eastAsia" w:ascii="仿宋_GB2312" w:eastAsia="仿宋_GB2312"/>
          <w:color w:val="000000"/>
          <w:sz w:val="32"/>
          <w:szCs w:val="32"/>
        </w:rPr>
        <w:fldChar w:fldCharType="end"/>
      </w:r>
      <w:r>
        <w:rPr>
          <w:rFonts w:hint="eastAsia" w:ascii="仿宋_GB2312" w:eastAsia="仿宋_GB2312"/>
          <w:color w:val="000000"/>
          <w:sz w:val="32"/>
          <w:szCs w:val="32"/>
        </w:rPr>
        <w:t>万元。收入包括：一般公共预算805.88万元；支出包括：卫生健康支出805.88万元。</w:t>
      </w:r>
    </w:p>
    <w:p w14:paraId="30AA7DA2">
      <w:pPr>
        <w:numPr>
          <w:ilvl w:val="0"/>
          <w:numId w:val="1"/>
        </w:numPr>
        <w:spacing w:line="520" w:lineRule="exact"/>
        <w:ind w:firstLine="64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关于德清县舞阳街道社区卫生服务中心2025年一般公共预算拨款情况说明</w:t>
      </w:r>
    </w:p>
    <w:p w14:paraId="14728C41">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1.一般公共预算拨款规模变化情况。</w:t>
      </w:r>
    </w:p>
    <w:p w14:paraId="3AE1EF69">
      <w:pPr>
        <w:spacing w:line="520" w:lineRule="exact"/>
        <w:ind w:firstLine="642"/>
        <w:rPr>
          <w:rFonts w:ascii="仿宋_GB2312" w:eastAsia="仿宋_GB2312"/>
          <w:color w:val="000000"/>
          <w:sz w:val="32"/>
          <w:szCs w:val="32"/>
        </w:rPr>
      </w:pPr>
      <w:r>
        <w:rPr>
          <w:rFonts w:hint="eastAsia" w:ascii="仿宋_GB2312" w:hAnsi="仿宋_GB2312" w:eastAsia="仿宋_GB2312" w:cs="仿宋_GB2312"/>
          <w:color w:val="000000"/>
          <w:sz w:val="32"/>
          <w:szCs w:val="32"/>
        </w:rPr>
        <w:t>德清县舞阳街道社区卫生服务中心2025年一般公共预算拨款</w:t>
      </w:r>
      <w:r>
        <w:rPr>
          <w:rFonts w:hint="eastAsia" w:ascii="仿宋_GB2312" w:hAnsi="仿宋_GB2312" w:eastAsia="仿宋_GB2312" w:cs="仿宋_GB2312"/>
          <w:bCs/>
          <w:color w:val="000000"/>
          <w:sz w:val="32"/>
          <w:szCs w:val="32"/>
        </w:rPr>
        <w:t>805.88</w:t>
      </w:r>
      <w:r>
        <w:rPr>
          <w:rFonts w:hint="eastAsia" w:ascii="仿宋_GB2312" w:hAnsi="仿宋_GB2312" w:eastAsia="仿宋_GB2312" w:cs="仿宋_GB2312"/>
          <w:color w:val="000000"/>
          <w:sz w:val="32"/>
          <w:szCs w:val="32"/>
        </w:rPr>
        <w:t>万元，比上年执行数增加34.27万元，</w:t>
      </w:r>
      <w:r>
        <w:rPr>
          <w:rFonts w:hint="eastAsia" w:ascii="仿宋_GB2312" w:hAnsi="仿宋_GB2312" w:eastAsia="仿宋_GB2312" w:cs="仿宋_GB2312"/>
          <w:color w:val="000000"/>
          <w:sz w:val="32"/>
        </w:rPr>
        <w:t>增长4.4%，</w:t>
      </w:r>
      <w:r>
        <w:rPr>
          <w:rFonts w:hint="eastAsia" w:ascii="仿宋_GB2312" w:eastAsia="仿宋_GB2312"/>
          <w:color w:val="000000"/>
          <w:sz w:val="32"/>
          <w:szCs w:val="32"/>
        </w:rPr>
        <w:t>主要是基层医疗卫生机构改革补助和基本公卫经费年初下达数增加。</w:t>
      </w:r>
    </w:p>
    <w:p w14:paraId="13648247">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2.一般公共预算拨款结构情况。</w:t>
      </w:r>
    </w:p>
    <w:p w14:paraId="3A540E26">
      <w:pPr>
        <w:spacing w:line="520" w:lineRule="exact"/>
        <w:ind w:firstLine="640" w:firstLineChars="200"/>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MERGEFIELD ${page296906908.ds669801938_ExpandCol16601952610}</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卫生健康支出805.88</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万元，占100</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w:t>
      </w:r>
    </w:p>
    <w:p w14:paraId="7687B02D">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3.一般公共预算拨款具体使用情况。</w:t>
      </w:r>
    </w:p>
    <w:p w14:paraId="273B9CD0">
      <w:pPr>
        <w:tabs>
          <w:tab w:val="left" w:pos="312"/>
        </w:tabs>
        <w:spacing w:line="520" w:lineRule="exact"/>
        <w:ind w:firstLine="627" w:firstLineChars="196"/>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（1）</w:t>
      </w:r>
      <w:r>
        <w:rPr>
          <w:rFonts w:hint="eastAsia" w:ascii="仿宋_GB2312" w:eastAsia="仿宋_GB2312"/>
          <w:color w:val="000000"/>
          <w:sz w:val="32"/>
          <w:szCs w:val="32"/>
        </w:rPr>
        <w:t>卫生健康支出（类）基层医疗卫生机构（款）乡镇卫生院（项）569.23万元，主要用于为民办实事项目经费(免费用药及免费疫苗)、医共体运行经费、基层医疗卫生机构补偿机制改革补助、校园医技补助、医共体运行经费、中医药事业专项经费、卫生健康证免费办理经费项目经费支出。</w:t>
      </w:r>
    </w:p>
    <w:p w14:paraId="371B450E">
      <w:pPr>
        <w:tabs>
          <w:tab w:val="left" w:pos="312"/>
        </w:tabs>
        <w:spacing w:line="520" w:lineRule="exact"/>
        <w:ind w:firstLine="627" w:firstLineChars="196"/>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（2）</w:t>
      </w:r>
      <w:r>
        <w:rPr>
          <w:rFonts w:hint="eastAsia" w:ascii="仿宋_GB2312" w:eastAsia="仿宋_GB2312"/>
          <w:color w:val="000000"/>
          <w:sz w:val="32"/>
          <w:szCs w:val="32"/>
        </w:rPr>
        <w:t>卫生健康支出（类）公共卫生（款）基本公共卫生服务（项）219.81万元，主要用于基本公共卫生服务、适龄儿童窝沟封闭、老年人健康服务专项行动和老年人健康与医养结合服务项目的支出</w:t>
      </w:r>
      <w:r>
        <w:rPr>
          <w:rFonts w:hint="eastAsia" w:ascii="仿宋_GB2312" w:hAnsi="仿宋_GB2312" w:eastAsia="仿宋_GB2312" w:cs="仿宋_GB2312"/>
          <w:color w:val="000000"/>
          <w:sz w:val="32"/>
          <w:szCs w:val="32"/>
        </w:rPr>
        <w:t>。</w:t>
      </w:r>
    </w:p>
    <w:p w14:paraId="40D83F00">
      <w:pPr>
        <w:tabs>
          <w:tab w:val="left" w:pos="312"/>
        </w:tabs>
        <w:spacing w:line="520" w:lineRule="exact"/>
        <w:ind w:firstLine="627" w:firstLineChars="196"/>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（3）</w:t>
      </w:r>
      <w:r>
        <w:rPr>
          <w:rFonts w:hint="eastAsia" w:ascii="仿宋_GB2312" w:eastAsia="仿宋_GB2312"/>
          <w:color w:val="000000"/>
          <w:sz w:val="32"/>
          <w:szCs w:val="32"/>
        </w:rPr>
        <w:t>卫生健康支出（类）行政事业单位医疗（款）公务员医疗补助（项）15</w:t>
      </w:r>
      <w:r>
        <w:rPr>
          <w:rFonts w:hint="eastAsia" w:ascii="仿宋_GB2312" w:eastAsia="仿宋_GB2312"/>
          <w:color w:val="000000"/>
          <w:sz w:val="32"/>
          <w:szCs w:val="32"/>
          <w:lang w:val="en-US" w:eastAsia="zh-CN"/>
        </w:rPr>
        <w:t>.00</w:t>
      </w:r>
      <w:r>
        <w:rPr>
          <w:rFonts w:hint="eastAsia" w:ascii="仿宋_GB2312" w:eastAsia="仿宋_GB2312"/>
          <w:color w:val="000000"/>
          <w:sz w:val="32"/>
          <w:szCs w:val="32"/>
        </w:rPr>
        <w:t>万元，主要用于公务员医疗补助缴费。</w:t>
      </w:r>
    </w:p>
    <w:p w14:paraId="1E38A20A">
      <w:pPr>
        <w:ind w:firstLine="640" w:firstLineChars="200"/>
        <w:rPr>
          <w:rFonts w:ascii="宋体" w:hAnsi="宋体" w:cs="Arial"/>
          <w:color w:val="000000"/>
          <w:kern w:val="0"/>
          <w:sz w:val="20"/>
        </w:rPr>
      </w:pPr>
      <w:r>
        <w:rPr>
          <w:rFonts w:hint="eastAsia" w:ascii="仿宋_GB2312" w:hAnsi="仿宋_GB2312" w:eastAsia="仿宋_GB2312" w:cs="仿宋_GB2312"/>
          <w:color w:val="000000"/>
          <w:sz w:val="32"/>
          <w:szCs w:val="32"/>
        </w:rPr>
        <w:t>（4）</w:t>
      </w:r>
      <w:r>
        <w:rPr>
          <w:rFonts w:ascii="仿宋_GB2312" w:eastAsia="仿宋_GB2312"/>
          <w:color w:val="000000"/>
          <w:sz w:val="32"/>
          <w:szCs w:val="32"/>
        </w:rPr>
        <w:t>卫生健康支出（类）其他卫生健康支出（款）其他卫生健康支出（项）</w:t>
      </w:r>
      <w:r>
        <w:rPr>
          <w:rFonts w:hint="eastAsia" w:ascii="仿宋_GB2312" w:eastAsia="仿宋_GB2312"/>
          <w:color w:val="000000"/>
          <w:sz w:val="32"/>
          <w:szCs w:val="32"/>
        </w:rPr>
        <w:t>1.84</w:t>
      </w:r>
      <w:r>
        <w:rPr>
          <w:rFonts w:ascii="仿宋_GB2312" w:eastAsia="仿宋_GB2312"/>
          <w:color w:val="000000"/>
          <w:sz w:val="32"/>
          <w:szCs w:val="32"/>
        </w:rPr>
        <w:t>万元，主要用于</w:t>
      </w:r>
      <w:r>
        <w:rPr>
          <w:rFonts w:hint="eastAsia" w:ascii="仿宋_GB2312" w:eastAsia="仿宋_GB2312"/>
          <w:color w:val="000000"/>
          <w:sz w:val="32"/>
          <w:szCs w:val="32"/>
        </w:rPr>
        <w:t>农村社区医生定向培养补助经费。</w:t>
      </w:r>
    </w:p>
    <w:p w14:paraId="6A6FFCA8">
      <w:pPr>
        <w:spacing w:line="520" w:lineRule="exact"/>
        <w:ind w:firstLine="640" w:firstLineChars="20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（六）关于德清县舞阳街道社区卫生服务中心2025年一般公共预算基本支出情况说明</w:t>
      </w:r>
    </w:p>
    <w:p w14:paraId="36B700C0">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德清县舞阳街道社区卫生服务中心2025年一般公共预算基本支出28.85万元，其中：</w:t>
      </w:r>
    </w:p>
    <w:p w14:paraId="50354702">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人员支出28.85万元，主要包括：绩效工资、公务员医疗补助缴费；</w:t>
      </w:r>
    </w:p>
    <w:p w14:paraId="182ED8DC">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日常公用支出0</w:t>
      </w:r>
      <w:r>
        <w:rPr>
          <w:rFonts w:hint="eastAsia" w:ascii="仿宋_GB2312" w:eastAsia="仿宋_GB2312"/>
          <w:color w:val="000000"/>
          <w:sz w:val="32"/>
          <w:szCs w:val="32"/>
          <w:lang w:val="en-US" w:eastAsia="zh-CN"/>
        </w:rPr>
        <w:t>.00</w:t>
      </w:r>
      <w:r>
        <w:rPr>
          <w:rFonts w:hint="eastAsia" w:ascii="仿宋_GB2312" w:eastAsia="仿宋_GB2312"/>
          <w:color w:val="000000"/>
          <w:sz w:val="32"/>
          <w:szCs w:val="32"/>
        </w:rPr>
        <w:t>万元。</w:t>
      </w:r>
    </w:p>
    <w:p w14:paraId="243C5F58">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（七）关于德清县舞阳街道社区卫生服务中心2025年政府性基金预算支出情况说明</w:t>
      </w:r>
    </w:p>
    <w:p w14:paraId="582241EF">
      <w:pPr>
        <w:ind w:firstLine="640" w:firstLineChars="200"/>
      </w:pPr>
      <w:r>
        <w:rPr>
          <w:rFonts w:hint="eastAsia" w:ascii="仿宋_GB2312" w:hAnsi="仿宋_GB2312" w:eastAsia="仿宋_GB2312" w:cs="仿宋_GB2312"/>
          <w:sz w:val="32"/>
          <w:szCs w:val="32"/>
        </w:rPr>
        <w:t>德清县舞阳街道社区卫生服务中心2025年没有使用政府性基金预算拨款安排的支出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与上年持平</w:t>
      </w:r>
      <w:r>
        <w:rPr>
          <w:rFonts w:hint="eastAsia" w:ascii="仿宋_GB2312" w:eastAsia="仿宋_GB2312"/>
          <w:sz w:val="32"/>
          <w:szCs w:val="32"/>
        </w:rPr>
        <w:t>。</w:t>
      </w:r>
    </w:p>
    <w:p w14:paraId="036E475B">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（八）关于德清县舞阳街道社区卫生服务中心2025年国有资本经营预算支出情况说明</w:t>
      </w:r>
    </w:p>
    <w:p w14:paraId="20AA7734">
      <w:pPr>
        <w:ind w:firstLine="640" w:firstLineChars="200"/>
      </w:pPr>
      <w:r>
        <w:rPr>
          <w:rFonts w:hint="eastAsia" w:ascii="仿宋_GB2312" w:hAnsi="仿宋_GB2312" w:eastAsia="仿宋_GB2312" w:cs="仿宋_GB2312"/>
          <w:sz w:val="32"/>
          <w:szCs w:val="32"/>
        </w:rPr>
        <w:t>德清县舞阳街道社区卫生服务中心</w:t>
      </w:r>
      <w:r>
        <w:rPr>
          <w:rFonts w:hint="eastAsia" w:ascii="仿宋_GB2312" w:hAnsi="仿宋_GB2312" w:eastAsia="仿宋_GB2312" w:cs="仿宋_GB2312"/>
          <w:color w:val="000000"/>
          <w:sz w:val="32"/>
          <w:szCs w:val="32"/>
        </w:rPr>
        <w:t>2025年没有使用国有资本经营预算拨款安排的支出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与上年持平</w:t>
      </w:r>
      <w:r>
        <w:rPr>
          <w:rFonts w:hint="eastAsia" w:ascii="仿宋_GB2312" w:hAnsi="仿宋_GB2312" w:eastAsia="仿宋_GB2312" w:cs="仿宋_GB2312"/>
          <w:color w:val="000000"/>
          <w:sz w:val="32"/>
          <w:szCs w:val="32"/>
        </w:rPr>
        <w:t>。</w:t>
      </w:r>
    </w:p>
    <w:p w14:paraId="61171702">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（九）关于</w:t>
      </w:r>
      <w:r>
        <w:rPr>
          <w:rFonts w:hint="eastAsia" w:ascii="楷体_GB2312" w:hAnsi="楷体_GB2312" w:eastAsia="楷体_GB2312" w:cs="楷体_GB2312"/>
          <w:bCs/>
          <w:color w:val="000000"/>
          <w:sz w:val="32"/>
          <w:szCs w:val="32"/>
        </w:rPr>
        <w:fldChar w:fldCharType="begin"/>
      </w:r>
      <w:r>
        <w:rPr>
          <w:rFonts w:hint="eastAsia" w:ascii="楷体_GB2312" w:hAnsi="楷体_GB2312" w:eastAsia="楷体_GB2312" w:cs="楷体_GB2312"/>
          <w:bCs/>
          <w:color w:val="000000"/>
          <w:sz w:val="32"/>
          <w:szCs w:val="32"/>
        </w:rPr>
        <w:instrText xml:space="preserve">MERGEFIELD ${page855778723.ds388518707_V_RPT_BAS_AGENCY_INFO_NAME}</w:instrText>
      </w:r>
      <w:r>
        <w:rPr>
          <w:rFonts w:hint="eastAsia" w:ascii="楷体_GB2312" w:hAnsi="楷体_GB2312" w:eastAsia="楷体_GB2312" w:cs="楷体_GB2312"/>
          <w:bCs/>
          <w:color w:val="000000"/>
          <w:sz w:val="32"/>
          <w:szCs w:val="32"/>
        </w:rPr>
        <w:fldChar w:fldCharType="separate"/>
      </w:r>
      <w:r>
        <w:rPr>
          <w:rFonts w:hint="eastAsia" w:ascii="楷体_GB2312" w:hAnsi="楷体_GB2312" w:eastAsia="楷体_GB2312" w:cs="楷体_GB2312"/>
          <w:bCs/>
          <w:color w:val="000000"/>
          <w:sz w:val="32"/>
          <w:szCs w:val="32"/>
        </w:rPr>
        <w:t>德清县舞阳街道社区卫生服务中心</w:t>
      </w:r>
      <w:r>
        <w:rPr>
          <w:rFonts w:hint="eastAsia" w:ascii="楷体_GB2312" w:hAnsi="楷体_GB2312" w:eastAsia="楷体_GB2312" w:cs="楷体_GB2312"/>
          <w:bCs/>
          <w:color w:val="000000"/>
          <w:sz w:val="32"/>
          <w:szCs w:val="32"/>
        </w:rPr>
        <w:fldChar w:fldCharType="end"/>
      </w:r>
      <w:r>
        <w:rPr>
          <w:rFonts w:hint="eastAsia" w:ascii="楷体_GB2312" w:hAnsi="楷体_GB2312" w:eastAsia="楷体_GB2312" w:cs="楷体_GB2312"/>
          <w:bCs/>
          <w:color w:val="000000"/>
          <w:sz w:val="32"/>
          <w:szCs w:val="32"/>
        </w:rPr>
        <w:t>2025年</w:t>
      </w:r>
      <w:r>
        <w:rPr>
          <w:rFonts w:hint="eastAsia" w:ascii="楷体_GB2312" w:hAnsi="楷体_GB2312" w:eastAsia="楷体_GB2312" w:cs="楷体_GB2312"/>
          <w:bCs/>
          <w:sz w:val="32"/>
          <w:szCs w:val="32"/>
        </w:rPr>
        <w:t>一般公共预算</w:t>
      </w:r>
      <w:r>
        <w:rPr>
          <w:rFonts w:hint="eastAsia" w:ascii="楷体_GB2312" w:hAnsi="楷体_GB2312" w:eastAsia="楷体_GB2312" w:cs="楷体_GB2312"/>
          <w:bCs/>
          <w:color w:val="000000"/>
          <w:sz w:val="32"/>
          <w:szCs w:val="32"/>
        </w:rPr>
        <w:t>“三公”经费预算情况说明</w:t>
      </w:r>
    </w:p>
    <w:p w14:paraId="0DB6FC67">
      <w:pPr>
        <w:spacing w:line="360" w:lineRule="auto"/>
        <w:ind w:firstLine="640" w:firstLineChars="200"/>
        <w:jc w:val="left"/>
        <w:rPr>
          <w:rFonts w:cs="仿宋_GB2312" w:asciiTheme="majorEastAsia" w:hAnsiTheme="majorEastAsia" w:eastAsiaTheme="majorEastAsia"/>
          <w:color w:val="000000"/>
          <w:sz w:val="28"/>
          <w:szCs w:val="28"/>
        </w:rPr>
      </w:pPr>
      <w:r>
        <w:rPr>
          <w:rFonts w:hint="eastAsia" w:ascii="仿宋_GB2312" w:hAnsi="仿宋_GB2312" w:eastAsia="仿宋_GB2312" w:cs="仿宋_GB2312"/>
          <w:sz w:val="32"/>
          <w:szCs w:val="32"/>
        </w:rPr>
        <w:t>德清县舞阳街道社区卫生服务中心</w:t>
      </w:r>
      <w:r>
        <w:rPr>
          <w:rFonts w:hint="eastAsia" w:ascii="仿宋_GB2312" w:hAnsi="仿宋_GB2312" w:eastAsia="仿宋_GB2312"/>
          <w:sz w:val="32"/>
        </w:rPr>
        <w:t>2025年“三公”经费预算数为0</w:t>
      </w:r>
      <w:r>
        <w:rPr>
          <w:rFonts w:hint="eastAsia" w:ascii="仿宋_GB2312" w:hAnsi="仿宋_GB2312" w:eastAsia="仿宋_GB2312"/>
          <w:sz w:val="32"/>
          <w:lang w:val="en-US" w:eastAsia="zh-CN"/>
        </w:rPr>
        <w:t>.00</w:t>
      </w:r>
      <w:r>
        <w:rPr>
          <w:rFonts w:hint="eastAsia" w:ascii="仿宋_GB2312" w:hAnsi="仿宋_GB2312" w:eastAsia="仿宋_GB2312"/>
          <w:sz w:val="32"/>
        </w:rPr>
        <w:t>万元，与上年预算数持平</w:t>
      </w:r>
      <w:r>
        <w:rPr>
          <w:rFonts w:hint="eastAsia" w:ascii="仿宋_GB2312" w:hAnsi="仿宋_GB2312" w:eastAsia="仿宋_GB2312"/>
          <w:sz w:val="32"/>
          <w:lang w:eastAsia="zh-CN"/>
        </w:rPr>
        <w:t>，</w:t>
      </w:r>
      <w:r>
        <w:rPr>
          <w:rFonts w:hint="eastAsia" w:ascii="仿宋_GB2312" w:hAnsi="仿宋_GB2312" w:eastAsia="仿宋_GB2312"/>
          <w:sz w:val="32"/>
        </w:rPr>
        <w:t>具体如下：</w:t>
      </w:r>
    </w:p>
    <w:p w14:paraId="4F504492">
      <w:pPr>
        <w:spacing w:line="5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1.因公出国（境）费用：</w:t>
      </w:r>
      <w:r>
        <w:rPr>
          <w:rFonts w:hint="eastAsia" w:ascii="仿宋_GB2312" w:hAnsi="仿宋_GB2312" w:eastAsia="仿宋_GB2312" w:cs="仿宋_GB2312"/>
          <w:sz w:val="32"/>
          <w:szCs w:val="32"/>
        </w:rPr>
        <w:t>根据因公出国计划和实际工作需要，2025年安排因公出国（境）费用预算0</w:t>
      </w:r>
      <w:r>
        <w:rPr>
          <w:rFonts w:hint="eastAsia" w:ascii="仿宋_GB2312" w:hAnsi="仿宋_GB2312" w:eastAsia="仿宋_GB2312" w:cs="仿宋_GB2312"/>
          <w:sz w:val="32"/>
          <w:szCs w:val="32"/>
          <w:lang w:val="en-US" w:eastAsia="zh-CN"/>
        </w:rPr>
        <w:t>.00万</w:t>
      </w:r>
      <w:r>
        <w:rPr>
          <w:rFonts w:hint="eastAsia" w:ascii="仿宋_GB2312" w:hAnsi="仿宋_GB2312" w:eastAsia="仿宋_GB2312" w:cs="仿宋_GB2312"/>
          <w:sz w:val="32"/>
          <w:szCs w:val="32"/>
        </w:rPr>
        <w:t>元，</w:t>
      </w:r>
      <w:r>
        <w:rPr>
          <w:rFonts w:hint="eastAsia" w:ascii="仿宋_GB2312" w:eastAsia="仿宋_GB2312"/>
          <w:color w:val="000000"/>
          <w:sz w:val="32"/>
          <w:szCs w:val="32"/>
        </w:rPr>
        <w:t>与上年</w:t>
      </w:r>
      <w:r>
        <w:rPr>
          <w:rFonts w:hint="eastAsia" w:ascii="仿宋_GB2312" w:eastAsia="仿宋_GB2312"/>
          <w:color w:val="000000"/>
          <w:sz w:val="32"/>
          <w:szCs w:val="32"/>
          <w:lang w:val="en-US" w:eastAsia="zh-CN"/>
        </w:rPr>
        <w:t>预算</w:t>
      </w:r>
      <w:r>
        <w:rPr>
          <w:rFonts w:hint="eastAsia" w:ascii="仿宋_GB2312" w:eastAsia="仿宋_GB2312"/>
          <w:color w:val="000000"/>
          <w:sz w:val="32"/>
          <w:szCs w:val="32"/>
        </w:rPr>
        <w:t>数持平</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持平的</w:t>
      </w:r>
      <w:r>
        <w:rPr>
          <w:rFonts w:hint="eastAsia" w:ascii="仿宋_GB2312" w:hAnsi="仿宋_GB2312" w:eastAsia="仿宋_GB2312" w:cs="仿宋_GB2312"/>
          <w:sz w:val="32"/>
          <w:szCs w:val="32"/>
        </w:rPr>
        <w:t>主要原因是由相关部门从严审批控制，根据实际情况调整，年初未纳入部门预算。</w:t>
      </w:r>
    </w:p>
    <w:p w14:paraId="3C84A9C8">
      <w:pPr>
        <w:spacing w:line="5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2.公务接待费：2025年安排公务接待费预算0</w:t>
      </w:r>
      <w:r>
        <w:rPr>
          <w:rFonts w:hint="eastAsia" w:ascii="仿宋_GB2312" w:hAnsi="仿宋_GB2312" w:eastAsia="仿宋_GB2312" w:cs="仿宋_GB2312"/>
          <w:sz w:val="32"/>
          <w:szCs w:val="32"/>
          <w:lang w:val="en-US" w:eastAsia="zh-CN"/>
        </w:rPr>
        <w:t>.00万</w:t>
      </w:r>
      <w:r>
        <w:rPr>
          <w:rFonts w:hint="eastAsia" w:ascii="仿宋_GB2312" w:hAnsi="仿宋_GB2312" w:eastAsia="仿宋_GB2312" w:cs="仿宋_GB2312"/>
          <w:sz w:val="32"/>
          <w:szCs w:val="32"/>
        </w:rPr>
        <w:t>元，</w:t>
      </w:r>
      <w:r>
        <w:rPr>
          <w:rFonts w:hint="eastAsia" w:ascii="仿宋_GB2312" w:eastAsia="仿宋_GB2312"/>
          <w:color w:val="000000"/>
          <w:sz w:val="32"/>
          <w:szCs w:val="32"/>
        </w:rPr>
        <w:t>与上年</w:t>
      </w:r>
      <w:r>
        <w:rPr>
          <w:rFonts w:hint="eastAsia" w:ascii="仿宋_GB2312" w:eastAsia="仿宋_GB2312"/>
          <w:color w:val="000000"/>
          <w:sz w:val="32"/>
          <w:szCs w:val="32"/>
          <w:lang w:val="en-US" w:eastAsia="zh-CN"/>
        </w:rPr>
        <w:t>预算</w:t>
      </w:r>
      <w:r>
        <w:rPr>
          <w:rFonts w:hint="eastAsia" w:ascii="仿宋_GB2312" w:eastAsia="仿宋_GB2312"/>
          <w:color w:val="000000"/>
          <w:sz w:val="32"/>
          <w:szCs w:val="32"/>
        </w:rPr>
        <w:t>数持平</w:t>
      </w:r>
      <w:r>
        <w:rPr>
          <w:rFonts w:hint="eastAsia" w:ascii="仿宋_GB2312" w:hAnsi="仿宋_GB2312" w:eastAsia="仿宋_GB2312" w:cs="仿宋_GB2312"/>
          <w:sz w:val="32"/>
          <w:szCs w:val="32"/>
        </w:rPr>
        <w:t>。</w:t>
      </w:r>
      <w:r>
        <w:rPr>
          <w:rFonts w:ascii="仿宋_GB2312" w:hAnsi="仿宋_GB2312" w:eastAsia="仿宋_GB2312" w:cs="仿宋_GB2312"/>
          <w:kern w:val="0"/>
          <w:sz w:val="32"/>
          <w:szCs w:val="32"/>
        </w:rPr>
        <w:t>持平的主要原因是</w:t>
      </w:r>
      <w:r>
        <w:rPr>
          <w:rFonts w:hint="eastAsia" w:ascii="仿宋" w:hAnsi="仿宋" w:eastAsia="仿宋"/>
          <w:color w:val="000000"/>
          <w:sz w:val="32"/>
          <w:szCs w:val="32"/>
          <w:lang w:val="zh-CN"/>
        </w:rPr>
        <w:t>由相关部门从严审批控制</w:t>
      </w:r>
      <w:r>
        <w:rPr>
          <w:rFonts w:hint="eastAsia" w:ascii="仿宋" w:hAnsi="仿宋" w:eastAsia="仿宋"/>
          <w:color w:val="000000"/>
          <w:sz w:val="32"/>
          <w:szCs w:val="32"/>
        </w:rPr>
        <w:t>，年初未列部门预算</w:t>
      </w:r>
      <w:r>
        <w:rPr>
          <w:rFonts w:ascii="仿宋_GB2312" w:hAnsi="仿宋_GB2312" w:eastAsia="仿宋_GB2312" w:cs="仿宋_GB2312"/>
          <w:kern w:val="0"/>
          <w:sz w:val="32"/>
          <w:szCs w:val="32"/>
        </w:rPr>
        <w:t>。</w:t>
      </w:r>
    </w:p>
    <w:p w14:paraId="18FC83E6">
      <w:pPr>
        <w:pStyle w:val="16"/>
        <w:spacing w:line="520" w:lineRule="exact"/>
        <w:ind w:firstLine="640" w:firstLineChars="200"/>
        <w:rPr>
          <w:rFonts w:ascii="仿宋_GB2312" w:eastAsia="仿宋_GB2312"/>
          <w:b/>
          <w:bCs/>
          <w:sz w:val="32"/>
          <w:szCs w:val="32"/>
        </w:rPr>
      </w:pPr>
      <w:r>
        <w:rPr>
          <w:rFonts w:hint="eastAsia" w:ascii="仿宋_GB2312" w:eastAsia="仿宋_GB2312"/>
          <w:sz w:val="32"/>
          <w:szCs w:val="32"/>
        </w:rPr>
        <w:t>3.公务用车购置及运行维护费：2025年安排公务用车购置及运行维护费预算0.00万元，与上年预算数持平。其中，公务用车购置支出0.00万元（含购置税等附加费用），主要用于经批准购置的</w:t>
      </w:r>
      <w:r>
        <w:rPr>
          <w:rFonts w:hint="eastAsia" w:ascii="仿宋_GB2312" w:eastAsia="仿宋_GB2312"/>
          <w:color w:val="000000"/>
          <w:sz w:val="32"/>
          <w:szCs w:val="32"/>
        </w:rPr>
        <w:t>0</w:t>
      </w:r>
      <w:r>
        <w:rPr>
          <w:rFonts w:hint="eastAsia" w:ascii="仿宋_GB2312" w:eastAsia="仿宋_GB2312"/>
          <w:sz w:val="32"/>
          <w:szCs w:val="32"/>
        </w:rPr>
        <w:t>辆公务用车，与上年预算数持平，主要原因是</w:t>
      </w:r>
      <w:r>
        <w:rPr>
          <w:rFonts w:ascii="仿宋_GB2312" w:hAnsi="仿宋_GB2312" w:eastAsia="仿宋_GB2312" w:cs="仿宋_GB2312"/>
          <w:sz w:val="32"/>
          <w:szCs w:val="32"/>
        </w:rPr>
        <w:t>预算未安排购置车辆</w:t>
      </w:r>
      <w:r>
        <w:rPr>
          <w:rFonts w:hint="eastAsia" w:ascii="仿宋_GB2312" w:eastAsia="仿宋_GB2312"/>
          <w:sz w:val="32"/>
          <w:szCs w:val="32"/>
        </w:rPr>
        <w:t>；公务用车运行维护费支出0.00万元，主要用于公务用车燃料费、新能源汽车充电费、维修费、过桥过路费、保险费、安全奖励费用等支出。与上年预算数持平，主要原因是预算未安排公务用车运行维护费。</w:t>
      </w:r>
    </w:p>
    <w:p w14:paraId="01596692">
      <w:pPr>
        <w:pStyle w:val="17"/>
        <w:numPr>
          <w:ilvl w:val="0"/>
          <w:numId w:val="2"/>
        </w:numPr>
        <w:spacing w:line="520" w:lineRule="exact"/>
        <w:ind w:firstLineChars="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其他重要事项的情况说明</w:t>
      </w:r>
    </w:p>
    <w:p w14:paraId="4D6C7132">
      <w:pPr>
        <w:pStyle w:val="16"/>
        <w:spacing w:line="520" w:lineRule="exact"/>
        <w:ind w:firstLine="642"/>
        <w:rPr>
          <w:rFonts w:ascii="仿宋_GB2312" w:eastAsia="仿宋_GB2312"/>
          <w:b/>
          <w:bCs/>
          <w:sz w:val="32"/>
          <w:szCs w:val="32"/>
        </w:rPr>
      </w:pPr>
      <w:r>
        <w:rPr>
          <w:rFonts w:hint="eastAsia" w:ascii="仿宋_GB2312" w:eastAsia="仿宋_GB2312"/>
          <w:b/>
          <w:bCs/>
          <w:sz w:val="32"/>
          <w:szCs w:val="32"/>
          <w:lang w:val="en-US" w:eastAsia="zh-CN"/>
        </w:rPr>
        <w:t>1</w:t>
      </w:r>
      <w:r>
        <w:rPr>
          <w:rFonts w:hint="eastAsia" w:ascii="仿宋_GB2312" w:eastAsia="仿宋_GB2312"/>
          <w:b/>
          <w:bCs/>
          <w:sz w:val="32"/>
          <w:szCs w:val="32"/>
        </w:rPr>
        <w:t>.</w:t>
      </w:r>
      <w:r>
        <w:rPr>
          <w:rFonts w:hint="eastAsia" w:ascii="仿宋_GB2312" w:eastAsia="仿宋_GB2312"/>
          <w:b/>
          <w:bCs/>
          <w:sz w:val="32"/>
          <w:szCs w:val="32"/>
          <w:lang w:val="en-US" w:eastAsia="zh-CN"/>
        </w:rPr>
        <w:t>政府</w:t>
      </w:r>
      <w:r>
        <w:rPr>
          <w:rFonts w:hint="eastAsia" w:ascii="仿宋_GB2312" w:eastAsia="仿宋_GB2312"/>
          <w:b/>
          <w:bCs/>
          <w:sz w:val="32"/>
          <w:szCs w:val="32"/>
        </w:rPr>
        <w:t>采购情况。</w:t>
      </w:r>
    </w:p>
    <w:p w14:paraId="564C4655">
      <w:pPr>
        <w:pStyle w:val="16"/>
        <w:spacing w:line="520" w:lineRule="exact"/>
        <w:ind w:firstLine="640" w:firstLineChars="200"/>
        <w:rPr>
          <w:rFonts w:ascii="仿宋_GB2312" w:eastAsia="仿宋_GB2312"/>
          <w:sz w:val="32"/>
          <w:szCs w:val="32"/>
        </w:rPr>
      </w:pPr>
      <w:r>
        <w:rPr>
          <w:rFonts w:hint="eastAsia" w:ascii="仿宋_GB2312" w:eastAsia="仿宋_GB2312"/>
          <w:sz w:val="32"/>
          <w:szCs w:val="32"/>
        </w:rPr>
        <w:t>2025德清县舞阳街道社区卫生服务中心</w:t>
      </w:r>
      <w:r>
        <w:rPr>
          <w:rFonts w:hint="eastAsia" w:ascii="仿宋_GB2312" w:eastAsia="仿宋_GB2312"/>
          <w:color w:val="000000"/>
          <w:sz w:val="32"/>
          <w:szCs w:val="32"/>
        </w:rPr>
        <w:t>政府采购预算总额10.32万元，其中：政府采购货物预算0</w:t>
      </w:r>
      <w:r>
        <w:rPr>
          <w:rFonts w:hint="eastAsia" w:ascii="仿宋_GB2312" w:eastAsia="仿宋_GB2312"/>
          <w:color w:val="000000"/>
          <w:sz w:val="32"/>
          <w:szCs w:val="32"/>
          <w:lang w:val="en-US" w:eastAsia="zh-CN"/>
        </w:rPr>
        <w:t>.00</w:t>
      </w:r>
      <w:r>
        <w:rPr>
          <w:rFonts w:hint="eastAsia" w:ascii="仿宋_GB2312" w:eastAsia="仿宋_GB2312"/>
          <w:color w:val="000000"/>
          <w:sz w:val="32"/>
          <w:szCs w:val="32"/>
        </w:rPr>
        <w:t>万元、政府采购工程预算0</w:t>
      </w:r>
      <w:r>
        <w:rPr>
          <w:rFonts w:hint="eastAsia" w:ascii="仿宋_GB2312" w:eastAsia="仿宋_GB2312"/>
          <w:color w:val="000000"/>
          <w:sz w:val="32"/>
          <w:szCs w:val="32"/>
          <w:lang w:val="en-US" w:eastAsia="zh-CN"/>
        </w:rPr>
        <w:t>.00</w:t>
      </w:r>
      <w:r>
        <w:rPr>
          <w:rFonts w:hint="eastAsia" w:ascii="仿宋_GB2312" w:eastAsia="仿宋_GB2312"/>
          <w:color w:val="000000"/>
          <w:sz w:val="32"/>
          <w:szCs w:val="32"/>
        </w:rPr>
        <w:t>万元、政府采购服务预算10.32万元。</w:t>
      </w:r>
    </w:p>
    <w:p w14:paraId="502A6F96">
      <w:pPr>
        <w:pStyle w:val="16"/>
        <w:spacing w:line="520" w:lineRule="exact"/>
        <w:ind w:firstLine="642"/>
        <w:rPr>
          <w:rFonts w:ascii="仿宋_GB2312" w:eastAsia="仿宋_GB2312"/>
          <w:sz w:val="32"/>
          <w:szCs w:val="32"/>
        </w:rPr>
      </w:pPr>
      <w:r>
        <w:rPr>
          <w:rFonts w:hint="eastAsia" w:ascii="仿宋_GB2312" w:eastAsia="仿宋_GB2312"/>
          <w:b/>
          <w:bCs/>
          <w:sz w:val="32"/>
          <w:szCs w:val="32"/>
          <w:lang w:val="en-US" w:eastAsia="zh-CN"/>
        </w:rPr>
        <w:t>2</w:t>
      </w:r>
      <w:r>
        <w:rPr>
          <w:rFonts w:hint="eastAsia" w:ascii="仿宋_GB2312" w:eastAsia="仿宋_GB2312"/>
          <w:b/>
          <w:bCs/>
          <w:sz w:val="32"/>
          <w:szCs w:val="32"/>
        </w:rPr>
        <w:t>.国有资产占有使用情况。</w:t>
      </w:r>
    </w:p>
    <w:p w14:paraId="61509B3A">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pacing w:val="6"/>
          <w:sz w:val="32"/>
          <w:szCs w:val="32"/>
        </w:rPr>
        <w:t>截至2024年12月31日，德清县舞阳街道社区卫生服务中心所属各预算单位共有车辆</w:t>
      </w:r>
      <w:r>
        <w:rPr>
          <w:rFonts w:hint="eastAsia" w:ascii="仿宋_GB2312" w:hAnsi="仿宋_GB2312" w:eastAsia="仿宋_GB2312" w:cs="仿宋_GB2312"/>
          <w:sz w:val="32"/>
          <w:szCs w:val="32"/>
        </w:rPr>
        <w:t xml:space="preserve">1辆，其中，应急保障用车0辆、老干部服务用车0辆、执法执勤用车0辆、特种专业技术用车1辆、行政执法专用车0辆。单位价值100万元以上设备1台（套）。 </w:t>
      </w:r>
    </w:p>
    <w:p w14:paraId="478A8DB7">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2025年</w:t>
      </w:r>
      <w:r>
        <w:rPr>
          <w:rFonts w:ascii="仿宋_GB2312" w:hAnsi="仿宋_GB2312" w:eastAsia="仿宋_GB2312" w:cs="仿宋_GB2312"/>
          <w:sz w:val="32"/>
          <w:szCs w:val="32"/>
        </w:rPr>
        <w:t>部门预算未安排购置车辆、单位价值100万元以上设备</w:t>
      </w:r>
      <w:r>
        <w:rPr>
          <w:rFonts w:hint="eastAsia" w:ascii="仿宋_GB2312" w:hAnsi="仿宋_GB2312" w:eastAsia="仿宋_GB2312" w:cs="仿宋_GB2312"/>
          <w:sz w:val="32"/>
          <w:szCs w:val="32"/>
        </w:rPr>
        <w:t>。</w:t>
      </w:r>
    </w:p>
    <w:p w14:paraId="1E0FAF20">
      <w:pPr>
        <w:pStyle w:val="16"/>
        <w:spacing w:line="520" w:lineRule="exact"/>
        <w:rPr>
          <w:rFonts w:ascii="仿宋_GB2312" w:eastAsia="仿宋_GB2312"/>
          <w:b/>
          <w:bCs/>
          <w:sz w:val="32"/>
          <w:szCs w:val="32"/>
        </w:rPr>
      </w:pPr>
      <w:r>
        <w:rPr>
          <w:rFonts w:hint="eastAsia" w:ascii="仿宋_GB2312" w:eastAsia="仿宋_GB2312"/>
          <w:b/>
          <w:bCs/>
          <w:sz w:val="32"/>
          <w:szCs w:val="32"/>
        </w:rPr>
        <w:t xml:space="preserve">    </w:t>
      </w:r>
      <w:r>
        <w:rPr>
          <w:rFonts w:hint="eastAsia" w:ascii="仿宋_GB2312" w:eastAsia="仿宋_GB2312"/>
          <w:b/>
          <w:bCs/>
          <w:sz w:val="32"/>
          <w:szCs w:val="32"/>
          <w:lang w:val="en-US" w:eastAsia="zh-CN"/>
        </w:rPr>
        <w:t>3</w:t>
      </w:r>
      <w:r>
        <w:rPr>
          <w:rFonts w:hint="eastAsia" w:ascii="仿宋_GB2312" w:eastAsia="仿宋_GB2312"/>
          <w:b/>
          <w:bCs/>
          <w:sz w:val="32"/>
          <w:szCs w:val="32"/>
        </w:rPr>
        <w:t>.预算绩效情况说明。</w:t>
      </w:r>
    </w:p>
    <w:p w14:paraId="580F61D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德清县舞阳街道社区卫生服务中心</w:t>
      </w:r>
      <w:r>
        <w:rPr>
          <w:rFonts w:ascii="仿宋_GB2312" w:hAnsi="仿宋_GB2312" w:eastAsia="仿宋_GB2312" w:cs="仿宋_GB2312"/>
          <w:sz w:val="32"/>
          <w:szCs w:val="32"/>
        </w:rPr>
        <w:t>其他运转类项目和特定目标类项目均实行绩效目标管理，共计</w:t>
      </w:r>
      <w:r>
        <w:rPr>
          <w:rFonts w:hint="eastAsia" w:ascii="仿宋_GB2312" w:hAnsi="仿宋_GB2312" w:eastAsia="仿宋_GB2312" w:cs="仿宋_GB2312"/>
          <w:sz w:val="32"/>
          <w:szCs w:val="32"/>
        </w:rPr>
        <w:t>4个</w:t>
      </w:r>
      <w:r>
        <w:rPr>
          <w:rFonts w:ascii="仿宋_GB2312" w:hAnsi="仿宋_GB2312" w:eastAsia="仿宋_GB2312" w:cs="仿宋_GB2312"/>
          <w:sz w:val="32"/>
          <w:szCs w:val="32"/>
        </w:rPr>
        <w:t>一级项目，涉及当年资金</w:t>
      </w:r>
      <w:r>
        <w:rPr>
          <w:rFonts w:hint="eastAsia" w:ascii="仿宋_GB2312" w:hAnsi="仿宋_GB2312" w:eastAsia="仿宋_GB2312" w:cs="仿宋_GB2312"/>
          <w:sz w:val="32"/>
          <w:szCs w:val="32"/>
        </w:rPr>
        <w:t>777.03</w:t>
      </w:r>
      <w:r>
        <w:rPr>
          <w:rFonts w:ascii="仿宋_GB2312" w:hAnsi="仿宋_GB2312" w:eastAsia="仿宋_GB2312" w:cs="仿宋_GB2312"/>
          <w:sz w:val="32"/>
          <w:szCs w:val="32"/>
        </w:rPr>
        <w:t>万元。同时，将按照相关制度规定开展绩效自评。一级项目绩效目标表，详见“</w:t>
      </w:r>
      <w:r>
        <w:rPr>
          <w:rFonts w:hint="eastAsia" w:ascii="仿宋_GB2312" w:hAnsi="仿宋_GB2312" w:eastAsia="仿宋_GB2312" w:cs="仿宋_GB2312"/>
          <w:sz w:val="32"/>
          <w:szCs w:val="32"/>
          <w:lang w:val="en-US" w:eastAsia="zh-CN"/>
        </w:rPr>
        <w:t>部门</w:t>
      </w:r>
      <w:bookmarkStart w:id="2" w:name="_GoBack"/>
      <w:bookmarkEnd w:id="2"/>
      <w:r>
        <w:rPr>
          <w:rFonts w:ascii="仿宋_GB2312" w:hAnsi="仿宋_GB2312" w:eastAsia="仿宋_GB2312" w:cs="仿宋_GB2312"/>
          <w:sz w:val="32"/>
          <w:szCs w:val="32"/>
        </w:rPr>
        <w:t>项目支出绩效表”</w:t>
      </w:r>
      <w:r>
        <w:rPr>
          <w:rFonts w:hint="eastAsia" w:ascii="仿宋_GB2312" w:hAnsi="仿宋_GB2312" w:eastAsia="仿宋_GB2312" w:cs="仿宋_GB2312"/>
          <w:sz w:val="32"/>
          <w:szCs w:val="32"/>
        </w:rPr>
        <w:t>。</w:t>
      </w:r>
    </w:p>
    <w:p w14:paraId="3F479470">
      <w:pPr>
        <w:pStyle w:val="16"/>
        <w:spacing w:line="520" w:lineRule="exact"/>
        <w:ind w:firstLine="640" w:firstLineChars="200"/>
        <w:rPr>
          <w:rFonts w:ascii="黑体" w:hAnsi="黑体" w:eastAsia="黑体" w:cs="黑体"/>
          <w:bCs/>
          <w:kern w:val="2"/>
          <w:sz w:val="32"/>
          <w:szCs w:val="32"/>
        </w:rPr>
      </w:pPr>
      <w:r>
        <w:rPr>
          <w:rFonts w:hint="eastAsia" w:ascii="黑体" w:hAnsi="黑体" w:eastAsia="黑体" w:cs="黑体"/>
          <w:bCs/>
          <w:kern w:val="2"/>
          <w:sz w:val="32"/>
          <w:szCs w:val="32"/>
        </w:rPr>
        <w:t>三、名词解释</w:t>
      </w:r>
    </w:p>
    <w:p w14:paraId="7F9FB735">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1.财政拨款收入：本级财政部门当年拨付的财政预算资金，包括一般公共预算财政拨款</w:t>
      </w:r>
      <w:r>
        <w:rPr>
          <w:rFonts w:hint="eastAsia" w:ascii="仿宋_GB2312" w:eastAsia="仿宋_GB2312"/>
          <w:color w:val="000000"/>
          <w:sz w:val="32"/>
          <w:szCs w:val="32"/>
        </w:rPr>
        <w:t>、</w:t>
      </w:r>
      <w:r>
        <w:rPr>
          <w:rFonts w:hint="eastAsia" w:ascii="仿宋_GB2312" w:hAnsi="仿宋_GB2312" w:eastAsia="仿宋_GB2312" w:cs="仿宋_GB2312"/>
          <w:sz w:val="32"/>
          <w:szCs w:val="32"/>
        </w:rPr>
        <w:t>政府性基金预算和国有资本经营预算财政拨款。</w:t>
      </w:r>
    </w:p>
    <w:p w14:paraId="3813117B">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2.财政专户管理资金:教育收费作为本部门的事业收入，纳入财政专户管理的资金。</w:t>
      </w:r>
    </w:p>
    <w:p w14:paraId="291FAEF5">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3.事业收入：事业单位开展专业业务活动及辅助活动所取得的收入，不含财政专户管理资金收入。</w:t>
      </w:r>
    </w:p>
    <w:p w14:paraId="781E8C8D">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4.事业单位经营收入：事业单位在专业业务活动及辅助活动之外开展非独立核算经营活动取得的收入。</w:t>
      </w:r>
    </w:p>
    <w:p w14:paraId="5C5E179A">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收入：预算单位在“一般公共预算”“政府性基金预算”“国有资本经营预算”“财政专户管理资金”“事业收入”“事业单位经营收入”“上级补助收入”和“附属单位上缴收入”等之外取得的各项收入。</w:t>
      </w:r>
    </w:p>
    <w:p w14:paraId="772903D5">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6.上年结转结余：包括财政拨款结转结余、财政专户管理结转结余和单位资金结转结余。</w:t>
      </w:r>
    </w:p>
    <w:p w14:paraId="6F5573BB">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7.基本支出：是预算单位为保障其正常运转，完成日常工作任务所发生的支出，包括人员支出和日常公用支出。</w:t>
      </w:r>
    </w:p>
    <w:p w14:paraId="5D1664FD">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8.项目支出：是预算单位为完成其特定的行政工作任务或事业发展目标所发生的支出。</w:t>
      </w:r>
    </w:p>
    <w:p w14:paraId="5562F1DC">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三公”经费：纳入财政预决算管理的“三公”经费，是指部门用一般公共预算财政拨款安排的因公出国（境）费用、公务用车购置及运行费和公务接待费。其中，因公出国（境）费用反映单位公务出国（境）的国际旅费、国外城市间交通费、住宿费、伙食费、培训费、公杂费等支出，不含教学科研人员学术交流出国（境）费用；公务用车购置及运行费反映单位公务用车车辆购置支出（含车辆购置税）及燃料费、新能源汽车充电费、维修费、过桥过路费、保险费、安全奖励费用等支出；公务接待费反映单位按规定开支的各类公务接待（含外宾接待）支出。</w:t>
      </w:r>
    </w:p>
    <w:p w14:paraId="5447E8B1">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 卫生健康支出（类）基层医疗卫生机构（款）乡镇卫生院（项）：指反映用于乡镇卫生院的支出。。</w:t>
      </w:r>
    </w:p>
    <w:p w14:paraId="4A2E1762">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 卫生健康支出（类）公共卫生（款）基本公共卫生服务（项）：指反映基本公共卫生服务的支出。</w:t>
      </w:r>
    </w:p>
    <w:p w14:paraId="79C2AC93">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 卫生健康支出（类）公共卫生（款）基本公共卫生服务（项）：指反映基本公共卫生服务支出；卫生健康支出（类）公共卫生（款）其他公共卫生支出（项）：指反映其他公共卫生服务支出；</w:t>
      </w:r>
    </w:p>
    <w:p w14:paraId="16686C6E">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 卫生健康支出（类）行政事业单位医疗（款）公务员医疗补助（项）：指反映财政部门安排的事业单位基本医疗保险缴费经费，未参加医疗保险的事业单位的公费医疗经费，按国家规定享受离休人员待遇的医疗经费。</w:t>
      </w:r>
    </w:p>
    <w:p w14:paraId="14AB0646">
      <w:pPr>
        <w:pStyle w:val="2"/>
      </w:pPr>
    </w:p>
    <w:p w14:paraId="3721598E">
      <w:pPr>
        <w:pStyle w:val="2"/>
        <w:rPr>
          <w:rFonts w:hint="default"/>
        </w:rPr>
      </w:pPr>
    </w:p>
    <w:p w14:paraId="72CE8AA0"/>
    <w:p w14:paraId="41234939">
      <w:pPr>
        <w:pStyle w:val="2"/>
        <w:rPr>
          <w:rFonts w:hint="default"/>
        </w:rPr>
      </w:pPr>
    </w:p>
    <w:p w14:paraId="4AD81A5E">
      <w:pPr>
        <w:pStyle w:val="2"/>
        <w:rPr>
          <w:rFonts w:hint="default"/>
        </w:rPr>
      </w:pPr>
    </w:p>
    <w:p w14:paraId="4AE6B091">
      <w:pPr>
        <w:pStyle w:val="2"/>
        <w:rPr>
          <w:rFonts w:hint="default"/>
        </w:rPr>
      </w:pPr>
    </w:p>
    <w:p w14:paraId="0883A0D2">
      <w:pPr>
        <w:pStyle w:val="2"/>
        <w:rPr>
          <w:rFonts w:hint="default"/>
        </w:rPr>
      </w:pPr>
    </w:p>
    <w:p w14:paraId="226AD99D">
      <w:pPr>
        <w:pStyle w:val="2"/>
        <w:rPr>
          <w:rFonts w:hint="default"/>
        </w:rPr>
      </w:pPr>
    </w:p>
    <w:p w14:paraId="44B6B20C">
      <w:pPr>
        <w:pStyle w:val="2"/>
        <w:rPr>
          <w:rFonts w:hint="default"/>
        </w:rPr>
      </w:pPr>
    </w:p>
    <w:p w14:paraId="03151ED1">
      <w:pPr>
        <w:pStyle w:val="2"/>
        <w:rPr>
          <w:rFonts w:hint="default"/>
        </w:rPr>
      </w:pPr>
    </w:p>
    <w:p w14:paraId="738ACE56">
      <w:pPr>
        <w:pStyle w:val="2"/>
        <w:rPr>
          <w:rFonts w:hint="default"/>
        </w:rPr>
        <w:sectPr>
          <w:headerReference r:id="rId3" w:type="default"/>
          <w:pgSz w:w="11906" w:h="16838"/>
          <w:pgMar w:top="1440" w:right="1800" w:bottom="1440" w:left="1800" w:header="851" w:footer="992" w:gutter="0"/>
          <w:pgNumType w:start="6"/>
          <w:cols w:space="425" w:num="1"/>
          <w:docGrid w:type="lines" w:linePitch="312" w:charSpace="0"/>
        </w:sectPr>
      </w:pPr>
    </w:p>
    <w:p w14:paraId="54618BD1">
      <w:pPr>
        <w:widowControl/>
        <w:jc w:val="left"/>
        <w:rPr>
          <w:rFonts w:ascii="仿宋_GB2312" w:hAnsi="仿宋_GB2312" w:eastAsia="仿宋_GB2312"/>
          <w:color w:val="000000"/>
          <w:kern w:val="0"/>
          <w:sz w:val="24"/>
          <w:szCs w:val="22"/>
        </w:rPr>
      </w:pPr>
    </w:p>
    <w:p w14:paraId="5E4BA484">
      <w:pPr>
        <w:widowControl/>
        <w:jc w:val="left"/>
        <w:rPr>
          <w:rFonts w:hint="eastAsia" w:ascii="仿宋_GB2312" w:hAnsi="仿宋_GB2312" w:eastAsia="仿宋_GB2312"/>
          <w:color w:val="000000"/>
          <w:kern w:val="0"/>
          <w:sz w:val="24"/>
          <w:szCs w:val="22"/>
        </w:rPr>
      </w:pPr>
      <w:bookmarkStart w:id="0" w:name="RANGE!A1:D22"/>
      <w:bookmarkEnd w:id="0"/>
      <w:r>
        <w:rPr>
          <w:szCs w:val="22"/>
        </w:rPr>
        <w:drawing>
          <wp:inline distT="0" distB="0" distL="0" distR="0">
            <wp:extent cx="8867775" cy="4448175"/>
            <wp:effectExtent l="19050" t="0" r="952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5"/>
                    <a:srcRect/>
                    <a:stretch>
                      <a:fillRect/>
                    </a:stretch>
                  </pic:blipFill>
                  <pic:spPr>
                    <a:xfrm>
                      <a:off x="0" y="0"/>
                      <a:ext cx="8863330" cy="4445945"/>
                    </a:xfrm>
                    <a:prstGeom prst="rect">
                      <a:avLst/>
                    </a:prstGeom>
                    <a:noFill/>
                    <a:ln w="9525">
                      <a:noFill/>
                      <a:miter lim="800000"/>
                      <a:headEnd/>
                      <a:tailEnd/>
                    </a:ln>
                  </pic:spPr>
                </pic:pic>
              </a:graphicData>
            </a:graphic>
          </wp:inline>
        </w:drawing>
      </w:r>
    </w:p>
    <w:p w14:paraId="3DCE335F">
      <w:pPr>
        <w:pStyle w:val="2"/>
      </w:pPr>
    </w:p>
    <w:p w14:paraId="133B5412">
      <w:pPr>
        <w:pStyle w:val="2"/>
      </w:pPr>
    </w:p>
    <w:p w14:paraId="253612D8">
      <w:pPr>
        <w:pStyle w:val="2"/>
      </w:pPr>
    </w:p>
    <w:p w14:paraId="242F6B63">
      <w:pPr>
        <w:pStyle w:val="2"/>
      </w:pPr>
      <w:r>
        <w:drawing>
          <wp:inline distT="0" distB="0" distL="0" distR="0">
            <wp:extent cx="9229725" cy="2752725"/>
            <wp:effectExtent l="1905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
                    <a:srcRect/>
                    <a:stretch>
                      <a:fillRect/>
                    </a:stretch>
                  </pic:blipFill>
                  <pic:spPr>
                    <a:xfrm>
                      <a:off x="0" y="0"/>
                      <a:ext cx="9225100" cy="2751346"/>
                    </a:xfrm>
                    <a:prstGeom prst="rect">
                      <a:avLst/>
                    </a:prstGeom>
                    <a:noFill/>
                    <a:ln w="9525">
                      <a:noFill/>
                      <a:miter lim="800000"/>
                      <a:headEnd/>
                      <a:tailEnd/>
                    </a:ln>
                  </pic:spPr>
                </pic:pic>
              </a:graphicData>
            </a:graphic>
          </wp:inline>
        </w:drawing>
      </w:r>
    </w:p>
    <w:p w14:paraId="033C9DE7">
      <w:pPr>
        <w:pStyle w:val="2"/>
      </w:pPr>
    </w:p>
    <w:p w14:paraId="167DA759">
      <w:pPr>
        <w:pStyle w:val="2"/>
      </w:pPr>
    </w:p>
    <w:p w14:paraId="144F3621">
      <w:pPr>
        <w:pStyle w:val="2"/>
      </w:pPr>
    </w:p>
    <w:p w14:paraId="055CC31B">
      <w:pPr>
        <w:pStyle w:val="2"/>
      </w:pPr>
    </w:p>
    <w:p w14:paraId="3A4AB935">
      <w:pPr>
        <w:pStyle w:val="2"/>
      </w:pPr>
    </w:p>
    <w:p w14:paraId="5652363D">
      <w:pPr>
        <w:pStyle w:val="2"/>
      </w:pPr>
    </w:p>
    <w:p w14:paraId="0AC3ADB5">
      <w:pPr>
        <w:pStyle w:val="2"/>
      </w:pPr>
    </w:p>
    <w:p w14:paraId="5AEC4663">
      <w:pPr>
        <w:pStyle w:val="2"/>
      </w:pPr>
    </w:p>
    <w:p w14:paraId="77418E32">
      <w:pPr>
        <w:pStyle w:val="2"/>
      </w:pPr>
    </w:p>
    <w:p w14:paraId="74BF943F">
      <w:pPr>
        <w:pStyle w:val="2"/>
      </w:pPr>
    </w:p>
    <w:p w14:paraId="3C28F7E8">
      <w:pPr>
        <w:pStyle w:val="2"/>
      </w:pPr>
    </w:p>
    <w:p w14:paraId="1C016699">
      <w:pPr>
        <w:pStyle w:val="2"/>
      </w:pPr>
    </w:p>
    <w:p w14:paraId="21C87EA7">
      <w:pPr>
        <w:pStyle w:val="2"/>
      </w:pPr>
      <w:r>
        <w:drawing>
          <wp:inline distT="0" distB="0" distL="0" distR="0">
            <wp:extent cx="9267825" cy="3962400"/>
            <wp:effectExtent l="1905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7"/>
                    <a:srcRect/>
                    <a:stretch>
                      <a:fillRect/>
                    </a:stretch>
                  </pic:blipFill>
                  <pic:spPr>
                    <a:xfrm>
                      <a:off x="0" y="0"/>
                      <a:ext cx="9268988" cy="3962897"/>
                    </a:xfrm>
                    <a:prstGeom prst="rect">
                      <a:avLst/>
                    </a:prstGeom>
                    <a:noFill/>
                    <a:ln w="9525">
                      <a:noFill/>
                      <a:miter lim="800000"/>
                      <a:headEnd/>
                      <a:tailEnd/>
                    </a:ln>
                  </pic:spPr>
                </pic:pic>
              </a:graphicData>
            </a:graphic>
          </wp:inline>
        </w:drawing>
      </w:r>
    </w:p>
    <w:p w14:paraId="549EBFC4">
      <w:pPr>
        <w:pStyle w:val="2"/>
      </w:pPr>
    </w:p>
    <w:p w14:paraId="1F133E50">
      <w:pPr>
        <w:pStyle w:val="2"/>
      </w:pPr>
    </w:p>
    <w:p w14:paraId="6991A7A0">
      <w:pPr>
        <w:pStyle w:val="2"/>
      </w:pPr>
    </w:p>
    <w:p w14:paraId="764731CD">
      <w:pPr>
        <w:pStyle w:val="2"/>
      </w:pPr>
    </w:p>
    <w:p w14:paraId="6A6E22C1">
      <w:pPr>
        <w:pStyle w:val="2"/>
      </w:pPr>
      <w:r>
        <w:drawing>
          <wp:inline distT="0" distB="0" distL="0" distR="0">
            <wp:extent cx="9239250" cy="4829175"/>
            <wp:effectExtent l="1905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8"/>
                    <a:srcRect/>
                    <a:stretch>
                      <a:fillRect/>
                    </a:stretch>
                  </pic:blipFill>
                  <pic:spPr>
                    <a:xfrm>
                      <a:off x="0" y="0"/>
                      <a:ext cx="9244548" cy="4831944"/>
                    </a:xfrm>
                    <a:prstGeom prst="rect">
                      <a:avLst/>
                    </a:prstGeom>
                    <a:noFill/>
                    <a:ln w="9525">
                      <a:noFill/>
                      <a:miter lim="800000"/>
                      <a:headEnd/>
                      <a:tailEnd/>
                    </a:ln>
                  </pic:spPr>
                </pic:pic>
              </a:graphicData>
            </a:graphic>
          </wp:inline>
        </w:drawing>
      </w:r>
    </w:p>
    <w:p w14:paraId="40BAD6BD">
      <w:pPr>
        <w:pStyle w:val="2"/>
      </w:pPr>
    </w:p>
    <w:p w14:paraId="7BFE49D7">
      <w:pPr>
        <w:pStyle w:val="2"/>
        <w:sectPr>
          <w:pgSz w:w="16838" w:h="11906" w:orient="landscape"/>
          <w:pgMar w:top="1800" w:right="1440" w:bottom="1800" w:left="1440" w:header="851" w:footer="992" w:gutter="0"/>
          <w:pgNumType w:start="6"/>
          <w:cols w:space="425" w:num="1"/>
          <w:docGrid w:type="lines" w:linePitch="312" w:charSpace="0"/>
        </w:sectPr>
      </w:pPr>
    </w:p>
    <w:p w14:paraId="2E2E38F1">
      <w:pPr>
        <w:pStyle w:val="2"/>
      </w:pPr>
      <w:bookmarkStart w:id="1" w:name="RANGE!A1:D15"/>
      <w:bookmarkEnd w:id="1"/>
      <w:r>
        <w:drawing>
          <wp:inline distT="0" distB="0" distL="0" distR="0">
            <wp:extent cx="8856345" cy="4495800"/>
            <wp:effectExtent l="19050" t="0" r="132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9"/>
                    <a:srcRect/>
                    <a:stretch>
                      <a:fillRect/>
                    </a:stretch>
                  </pic:blipFill>
                  <pic:spPr>
                    <a:xfrm>
                      <a:off x="0" y="0"/>
                      <a:ext cx="8863330" cy="4499049"/>
                    </a:xfrm>
                    <a:prstGeom prst="rect">
                      <a:avLst/>
                    </a:prstGeom>
                    <a:noFill/>
                    <a:ln w="9525">
                      <a:noFill/>
                      <a:miter lim="800000"/>
                      <a:headEnd/>
                      <a:tailEnd/>
                    </a:ln>
                  </pic:spPr>
                </pic:pic>
              </a:graphicData>
            </a:graphic>
          </wp:inline>
        </w:drawing>
      </w:r>
    </w:p>
    <w:p w14:paraId="19010DFB">
      <w:pPr>
        <w:pStyle w:val="2"/>
      </w:pPr>
    </w:p>
    <w:p w14:paraId="669B7F32">
      <w:pPr>
        <w:pStyle w:val="2"/>
      </w:pPr>
    </w:p>
    <w:p w14:paraId="68A2B8FC">
      <w:pPr>
        <w:pStyle w:val="2"/>
      </w:pPr>
    </w:p>
    <w:p w14:paraId="103853B7">
      <w:pPr>
        <w:pStyle w:val="2"/>
      </w:pPr>
      <w:r>
        <w:drawing>
          <wp:inline distT="0" distB="0" distL="0" distR="0">
            <wp:extent cx="8854440" cy="2943225"/>
            <wp:effectExtent l="19050" t="0" r="353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0"/>
                    <a:srcRect/>
                    <a:stretch>
                      <a:fillRect/>
                    </a:stretch>
                  </pic:blipFill>
                  <pic:spPr>
                    <a:xfrm>
                      <a:off x="0" y="0"/>
                      <a:ext cx="8863330" cy="2946088"/>
                    </a:xfrm>
                    <a:prstGeom prst="rect">
                      <a:avLst/>
                    </a:prstGeom>
                    <a:noFill/>
                    <a:ln w="9525">
                      <a:noFill/>
                      <a:miter lim="800000"/>
                      <a:headEnd/>
                      <a:tailEnd/>
                    </a:ln>
                  </pic:spPr>
                </pic:pic>
              </a:graphicData>
            </a:graphic>
          </wp:inline>
        </w:drawing>
      </w:r>
    </w:p>
    <w:p w14:paraId="443C31D6">
      <w:pPr>
        <w:pStyle w:val="2"/>
      </w:pPr>
    </w:p>
    <w:p w14:paraId="3779AE48">
      <w:pPr>
        <w:pStyle w:val="2"/>
      </w:pPr>
    </w:p>
    <w:p w14:paraId="6FB2FB9A">
      <w:pPr>
        <w:pStyle w:val="2"/>
      </w:pPr>
    </w:p>
    <w:p w14:paraId="4829BCBC">
      <w:pPr>
        <w:pStyle w:val="2"/>
      </w:pPr>
    </w:p>
    <w:p w14:paraId="093BA212">
      <w:pPr>
        <w:pStyle w:val="2"/>
      </w:pPr>
    </w:p>
    <w:p w14:paraId="1F2EE755">
      <w:pPr>
        <w:pStyle w:val="2"/>
      </w:pPr>
    </w:p>
    <w:p w14:paraId="0AAA6F6E">
      <w:pPr>
        <w:pStyle w:val="2"/>
      </w:pPr>
    </w:p>
    <w:p w14:paraId="15BCB35A">
      <w:pPr>
        <w:pStyle w:val="2"/>
      </w:pPr>
    </w:p>
    <w:p w14:paraId="46F069F2">
      <w:pPr>
        <w:pStyle w:val="2"/>
      </w:pPr>
    </w:p>
    <w:p w14:paraId="5BF18C39">
      <w:pPr>
        <w:pStyle w:val="2"/>
      </w:pPr>
    </w:p>
    <w:p w14:paraId="0ACCAF80">
      <w:pPr>
        <w:pStyle w:val="2"/>
      </w:pPr>
    </w:p>
    <w:p w14:paraId="6E8B715E">
      <w:pPr>
        <w:pStyle w:val="2"/>
      </w:pPr>
      <w:r>
        <w:drawing>
          <wp:inline distT="0" distB="0" distL="0" distR="0">
            <wp:extent cx="9039225" cy="2657475"/>
            <wp:effectExtent l="19050" t="0" r="952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1"/>
                    <a:srcRect/>
                    <a:stretch>
                      <a:fillRect/>
                    </a:stretch>
                  </pic:blipFill>
                  <pic:spPr>
                    <a:xfrm>
                      <a:off x="0" y="0"/>
                      <a:ext cx="9039225" cy="2657475"/>
                    </a:xfrm>
                    <a:prstGeom prst="rect">
                      <a:avLst/>
                    </a:prstGeom>
                    <a:noFill/>
                    <a:ln w="9525">
                      <a:noFill/>
                      <a:miter lim="800000"/>
                      <a:headEnd/>
                      <a:tailEnd/>
                    </a:ln>
                  </pic:spPr>
                </pic:pic>
              </a:graphicData>
            </a:graphic>
          </wp:inline>
        </w:drawing>
      </w:r>
    </w:p>
    <w:p w14:paraId="206154FB">
      <w:pPr>
        <w:pStyle w:val="2"/>
      </w:pPr>
    </w:p>
    <w:p w14:paraId="02D2DD10">
      <w:pPr>
        <w:pStyle w:val="2"/>
      </w:pPr>
      <w:r>
        <w:t>德清县舞阳街道社区卫生服务中心当年没有一般公共预算“三公”经费拨款安排的支出，故本表无数据。</w:t>
      </w:r>
    </w:p>
    <w:p w14:paraId="6812EEC7">
      <w:pPr>
        <w:pStyle w:val="2"/>
      </w:pPr>
    </w:p>
    <w:p w14:paraId="75635C91">
      <w:pPr>
        <w:pStyle w:val="2"/>
      </w:pPr>
    </w:p>
    <w:p w14:paraId="63ABD06F">
      <w:pPr>
        <w:pStyle w:val="2"/>
      </w:pPr>
    </w:p>
    <w:p w14:paraId="64B4FB29">
      <w:pPr>
        <w:pStyle w:val="2"/>
      </w:pPr>
    </w:p>
    <w:p w14:paraId="27F55916">
      <w:pPr>
        <w:pStyle w:val="2"/>
      </w:pPr>
    </w:p>
    <w:p w14:paraId="3B632B18">
      <w:pPr>
        <w:pStyle w:val="2"/>
      </w:pPr>
    </w:p>
    <w:p w14:paraId="20F7DEFB">
      <w:pPr>
        <w:pStyle w:val="2"/>
      </w:pPr>
    </w:p>
    <w:p w14:paraId="17A84D53">
      <w:pPr>
        <w:pStyle w:val="2"/>
      </w:pPr>
    </w:p>
    <w:p w14:paraId="4C8E275E">
      <w:pPr>
        <w:pStyle w:val="2"/>
      </w:pPr>
    </w:p>
    <w:p w14:paraId="1E442CB6">
      <w:pPr>
        <w:pStyle w:val="2"/>
      </w:pPr>
    </w:p>
    <w:p w14:paraId="453F12C0">
      <w:pPr>
        <w:pStyle w:val="2"/>
      </w:pPr>
      <w:r>
        <w:drawing>
          <wp:inline distT="0" distB="0" distL="0" distR="0">
            <wp:extent cx="8867775" cy="2124075"/>
            <wp:effectExtent l="19050" t="0" r="952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2"/>
                    <a:srcRect/>
                    <a:stretch>
                      <a:fillRect/>
                    </a:stretch>
                  </pic:blipFill>
                  <pic:spPr>
                    <a:xfrm>
                      <a:off x="0" y="0"/>
                      <a:ext cx="8863330" cy="2123010"/>
                    </a:xfrm>
                    <a:prstGeom prst="rect">
                      <a:avLst/>
                    </a:prstGeom>
                    <a:noFill/>
                    <a:ln w="9525">
                      <a:noFill/>
                      <a:miter lim="800000"/>
                      <a:headEnd/>
                      <a:tailEnd/>
                    </a:ln>
                  </pic:spPr>
                </pic:pic>
              </a:graphicData>
            </a:graphic>
          </wp:inline>
        </w:drawing>
      </w:r>
    </w:p>
    <w:p w14:paraId="51EA626C">
      <w:pPr>
        <w:pStyle w:val="2"/>
      </w:pPr>
    </w:p>
    <w:p w14:paraId="5698DE44">
      <w:pPr>
        <w:pStyle w:val="2"/>
      </w:pPr>
    </w:p>
    <w:p w14:paraId="4840E5AE">
      <w:pPr>
        <w:pStyle w:val="2"/>
      </w:pPr>
      <w:r>
        <w:t>德清县舞阳街道社区卫生服务中心当年没有政府性基金拨款安排的支出，故本表无数据。</w:t>
      </w:r>
      <w:r>
        <w:cr/>
      </w:r>
    </w:p>
    <w:p w14:paraId="63A8F474">
      <w:pPr>
        <w:pStyle w:val="2"/>
      </w:pPr>
    </w:p>
    <w:p w14:paraId="4276D19F">
      <w:pPr>
        <w:pStyle w:val="2"/>
      </w:pPr>
    </w:p>
    <w:p w14:paraId="021A89A4">
      <w:pPr>
        <w:pStyle w:val="2"/>
      </w:pPr>
    </w:p>
    <w:p w14:paraId="387DF1B2">
      <w:pPr>
        <w:pStyle w:val="2"/>
      </w:pPr>
    </w:p>
    <w:p w14:paraId="619D7E05">
      <w:pPr>
        <w:pStyle w:val="2"/>
      </w:pPr>
    </w:p>
    <w:p w14:paraId="18990CE9">
      <w:pPr>
        <w:pStyle w:val="2"/>
      </w:pPr>
    </w:p>
    <w:p w14:paraId="43D32369">
      <w:pPr>
        <w:pStyle w:val="2"/>
      </w:pPr>
    </w:p>
    <w:p w14:paraId="5EF8740D">
      <w:pPr>
        <w:pStyle w:val="2"/>
      </w:pPr>
    </w:p>
    <w:p w14:paraId="07BD1FCC">
      <w:pPr>
        <w:pStyle w:val="2"/>
      </w:pPr>
    </w:p>
    <w:p w14:paraId="16DFF16F">
      <w:pPr>
        <w:pStyle w:val="2"/>
      </w:pPr>
    </w:p>
    <w:p w14:paraId="4C72C828">
      <w:pPr>
        <w:pStyle w:val="2"/>
      </w:pPr>
    </w:p>
    <w:p w14:paraId="32297395">
      <w:pPr>
        <w:pStyle w:val="2"/>
      </w:pPr>
    </w:p>
    <w:p w14:paraId="50EF231D">
      <w:pPr>
        <w:pStyle w:val="2"/>
      </w:pPr>
      <w:r>
        <w:drawing>
          <wp:inline distT="0" distB="0" distL="0" distR="0">
            <wp:extent cx="8863330" cy="1828800"/>
            <wp:effectExtent l="1905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3"/>
                    <a:srcRect/>
                    <a:stretch>
                      <a:fillRect/>
                    </a:stretch>
                  </pic:blipFill>
                  <pic:spPr>
                    <a:xfrm>
                      <a:off x="0" y="0"/>
                      <a:ext cx="8863330" cy="1828706"/>
                    </a:xfrm>
                    <a:prstGeom prst="rect">
                      <a:avLst/>
                    </a:prstGeom>
                    <a:noFill/>
                    <a:ln w="9525">
                      <a:noFill/>
                      <a:miter lim="800000"/>
                      <a:headEnd/>
                      <a:tailEnd/>
                    </a:ln>
                  </pic:spPr>
                </pic:pic>
              </a:graphicData>
            </a:graphic>
          </wp:inline>
        </w:drawing>
      </w:r>
    </w:p>
    <w:p w14:paraId="2026E07F">
      <w:pPr>
        <w:pStyle w:val="2"/>
      </w:pPr>
    </w:p>
    <w:p w14:paraId="72DE0B81">
      <w:pPr>
        <w:pStyle w:val="2"/>
      </w:pPr>
      <w:r>
        <w:t>德清县舞阳街道社区卫生服务中心当年没有国有资本经营预算拨款安排的支出，故本表无数据。</w:t>
      </w:r>
      <w:r>
        <w:cr/>
      </w:r>
    </w:p>
    <w:p w14:paraId="152D3894">
      <w:pPr>
        <w:pStyle w:val="2"/>
      </w:pPr>
    </w:p>
    <w:p w14:paraId="4E7E1F38">
      <w:pPr>
        <w:pStyle w:val="2"/>
      </w:pPr>
    </w:p>
    <w:p w14:paraId="6ED508DC">
      <w:pPr>
        <w:pStyle w:val="2"/>
      </w:pPr>
    </w:p>
    <w:p w14:paraId="03147E64">
      <w:pPr>
        <w:pStyle w:val="2"/>
      </w:pPr>
    </w:p>
    <w:p w14:paraId="0863F975">
      <w:pPr>
        <w:pStyle w:val="2"/>
      </w:pPr>
    </w:p>
    <w:p w14:paraId="28A95B17">
      <w:pPr>
        <w:pStyle w:val="2"/>
      </w:pPr>
    </w:p>
    <w:p w14:paraId="079BD441">
      <w:pPr>
        <w:pStyle w:val="2"/>
      </w:pPr>
    </w:p>
    <w:p w14:paraId="0627E995">
      <w:pPr>
        <w:pStyle w:val="2"/>
      </w:pPr>
    </w:p>
    <w:p w14:paraId="17C47275">
      <w:pPr>
        <w:pStyle w:val="2"/>
      </w:pPr>
    </w:p>
    <w:p w14:paraId="523423E3">
      <w:pPr>
        <w:pStyle w:val="2"/>
      </w:pPr>
    </w:p>
    <w:p w14:paraId="1E7024DE">
      <w:pPr>
        <w:pStyle w:val="2"/>
      </w:pPr>
    </w:p>
    <w:p w14:paraId="61B65788">
      <w:pPr>
        <w:pStyle w:val="2"/>
      </w:pPr>
    </w:p>
    <w:p w14:paraId="6EE6E118">
      <w:pPr>
        <w:pStyle w:val="2"/>
      </w:pPr>
      <w:r>
        <w:drawing>
          <wp:inline distT="0" distB="0" distL="0" distR="0">
            <wp:extent cx="8867775" cy="3095625"/>
            <wp:effectExtent l="19050" t="0" r="952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4"/>
                    <a:srcRect/>
                    <a:stretch>
                      <a:fillRect/>
                    </a:stretch>
                  </pic:blipFill>
                  <pic:spPr>
                    <a:xfrm>
                      <a:off x="0" y="0"/>
                      <a:ext cx="8863330" cy="3094073"/>
                    </a:xfrm>
                    <a:prstGeom prst="rect">
                      <a:avLst/>
                    </a:prstGeom>
                    <a:noFill/>
                    <a:ln w="9525">
                      <a:noFill/>
                      <a:miter lim="800000"/>
                      <a:headEnd/>
                      <a:tailEnd/>
                    </a:ln>
                  </pic:spPr>
                </pic:pic>
              </a:graphicData>
            </a:graphic>
          </wp:inline>
        </w:drawing>
      </w:r>
    </w:p>
    <w:p w14:paraId="1D11E198">
      <w:pPr>
        <w:pStyle w:val="2"/>
      </w:pPr>
    </w:p>
    <w:p w14:paraId="756CFC09">
      <w:pPr>
        <w:pStyle w:val="2"/>
      </w:pPr>
    </w:p>
    <w:p w14:paraId="27F6ACBF">
      <w:pPr>
        <w:pStyle w:val="2"/>
      </w:pPr>
    </w:p>
    <w:p w14:paraId="246C035D">
      <w:pPr>
        <w:pStyle w:val="2"/>
      </w:pPr>
    </w:p>
    <w:p w14:paraId="06E86088">
      <w:pPr>
        <w:pStyle w:val="2"/>
      </w:pPr>
    </w:p>
    <w:p w14:paraId="5B0A8D61">
      <w:pPr>
        <w:pStyle w:val="2"/>
      </w:pPr>
    </w:p>
    <w:p w14:paraId="62A62823">
      <w:pPr>
        <w:pStyle w:val="2"/>
      </w:pPr>
    </w:p>
    <w:p w14:paraId="7B06514B">
      <w:pPr>
        <w:pStyle w:val="2"/>
      </w:pPr>
    </w:p>
    <w:p w14:paraId="6E0654E1">
      <w:pPr>
        <w:pStyle w:val="2"/>
      </w:pPr>
    </w:p>
    <w:p w14:paraId="6862A95D">
      <w:pPr>
        <w:pStyle w:val="2"/>
        <w:rPr>
          <w:rFonts w:hint="default"/>
        </w:rPr>
      </w:pPr>
    </w:p>
    <w:sectPr>
      <w:pgSz w:w="16838" w:h="11906" w:orient="landscape"/>
      <w:pgMar w:top="1800" w:right="1440" w:bottom="1800" w:left="1440" w:header="851" w:footer="992" w:gutter="0"/>
      <w:pgNumType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1C8EB4B-4331-4519-A55C-229A11FC5C9D}"/>
  </w:font>
  <w:font w:name="黑体">
    <w:panose1 w:val="02010609060101010101"/>
    <w:charset w:val="86"/>
    <w:family w:val="auto"/>
    <w:pitch w:val="default"/>
    <w:sig w:usb0="800002BF" w:usb1="38CF7CFA" w:usb2="00000016" w:usb3="00000000" w:csb0="00040001" w:csb1="00000000"/>
    <w:embedRegular r:id="rId2" w:fontKey="{0DCB136A-4C7A-4736-BDBD-B323266706D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4AA42F0A-9E52-4ED7-97C6-604A3C7A08E2}"/>
  </w:font>
  <w:font w:name="仿宋_GB2312">
    <w:altName w:val="仿宋"/>
    <w:panose1 w:val="02010609030101010101"/>
    <w:charset w:val="86"/>
    <w:family w:val="modern"/>
    <w:pitch w:val="default"/>
    <w:sig w:usb0="00000000" w:usb1="00000000" w:usb2="00000010" w:usb3="00000000" w:csb0="00040000" w:csb1="00000000"/>
    <w:embedRegular r:id="rId4" w:fontKey="{D05C1E5E-F8EF-4F94-A0FE-7050581F4297}"/>
  </w:font>
  <w:font w:name="仿宋">
    <w:panose1 w:val="02010609060101010101"/>
    <w:charset w:val="86"/>
    <w:family w:val="modern"/>
    <w:pitch w:val="default"/>
    <w:sig w:usb0="800002BF" w:usb1="38CF7CFA" w:usb2="00000016" w:usb3="00000000" w:csb0="00040001" w:csb1="00000000"/>
    <w:embedRegular r:id="rId5" w:fontKey="{D94B312E-5DFE-467F-8D02-680FFF4CA34C}"/>
  </w:font>
  <w:font w:name="方正小标宋简体">
    <w:panose1 w:val="02000000000000000000"/>
    <w:charset w:val="86"/>
    <w:family w:val="script"/>
    <w:pitch w:val="default"/>
    <w:sig w:usb0="00000001" w:usb1="08000000" w:usb2="00000000" w:usb3="00000000" w:csb0="00040000" w:csb1="00000000"/>
    <w:embedRegular r:id="rId6" w:fontKey="{EF21D5A4-D832-491B-B58A-5ED3C97D47FF}"/>
  </w:font>
  <w:font w:name="楷体_GB2312">
    <w:altName w:val="楷体"/>
    <w:panose1 w:val="00000000000000000000"/>
    <w:charset w:val="86"/>
    <w:family w:val="modern"/>
    <w:pitch w:val="default"/>
    <w:sig w:usb0="00000000" w:usb1="00000000" w:usb2="00000010" w:usb3="00000000" w:csb0="00040000" w:csb1="00000000"/>
    <w:embedRegular r:id="rId7" w:fontKey="{BE37CE1B-9299-4F7C-8AE2-15043C281D9D}"/>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6BA41">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661A50"/>
    <w:multiLevelType w:val="multilevel"/>
    <w:tmpl w:val="24661A50"/>
    <w:lvl w:ilvl="0" w:tentative="0">
      <w:start w:val="10"/>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5895A99C"/>
    <w:multiLevelType w:val="singleLevel"/>
    <w:tmpl w:val="5895A99C"/>
    <w:lvl w:ilvl="0" w:tentative="0">
      <w:start w:val="5"/>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453C"/>
    <w:rsid w:val="0002618A"/>
    <w:rsid w:val="000368E8"/>
    <w:rsid w:val="00037FBA"/>
    <w:rsid w:val="00084C3B"/>
    <w:rsid w:val="00096212"/>
    <w:rsid w:val="000F6704"/>
    <w:rsid w:val="0014553D"/>
    <w:rsid w:val="00151805"/>
    <w:rsid w:val="0018453C"/>
    <w:rsid w:val="001C6D6F"/>
    <w:rsid w:val="001D7273"/>
    <w:rsid w:val="001F186B"/>
    <w:rsid w:val="0025199F"/>
    <w:rsid w:val="00262BFB"/>
    <w:rsid w:val="002E190E"/>
    <w:rsid w:val="00312421"/>
    <w:rsid w:val="0034320B"/>
    <w:rsid w:val="0035041B"/>
    <w:rsid w:val="00352D79"/>
    <w:rsid w:val="003533AA"/>
    <w:rsid w:val="00372A55"/>
    <w:rsid w:val="003A4F57"/>
    <w:rsid w:val="003A54FF"/>
    <w:rsid w:val="003E1037"/>
    <w:rsid w:val="003E68CE"/>
    <w:rsid w:val="004B7073"/>
    <w:rsid w:val="004C1A7E"/>
    <w:rsid w:val="004E07B6"/>
    <w:rsid w:val="004E5EDF"/>
    <w:rsid w:val="004F65D0"/>
    <w:rsid w:val="004F6D96"/>
    <w:rsid w:val="0050748D"/>
    <w:rsid w:val="005153D0"/>
    <w:rsid w:val="0053393F"/>
    <w:rsid w:val="00536356"/>
    <w:rsid w:val="0054517F"/>
    <w:rsid w:val="0055355B"/>
    <w:rsid w:val="00576237"/>
    <w:rsid w:val="00596087"/>
    <w:rsid w:val="005B18C7"/>
    <w:rsid w:val="005B1AB5"/>
    <w:rsid w:val="005D0D77"/>
    <w:rsid w:val="005E0A27"/>
    <w:rsid w:val="005E47B3"/>
    <w:rsid w:val="005E7D52"/>
    <w:rsid w:val="005F2E0B"/>
    <w:rsid w:val="00655F61"/>
    <w:rsid w:val="00676E4D"/>
    <w:rsid w:val="006B2E4F"/>
    <w:rsid w:val="006C39E2"/>
    <w:rsid w:val="006D42B7"/>
    <w:rsid w:val="006D5442"/>
    <w:rsid w:val="006D7FE3"/>
    <w:rsid w:val="006E085B"/>
    <w:rsid w:val="006F455E"/>
    <w:rsid w:val="007072D9"/>
    <w:rsid w:val="00731A0A"/>
    <w:rsid w:val="0073245A"/>
    <w:rsid w:val="00755A48"/>
    <w:rsid w:val="007715EF"/>
    <w:rsid w:val="007760A5"/>
    <w:rsid w:val="00792854"/>
    <w:rsid w:val="007A0C65"/>
    <w:rsid w:val="007B431F"/>
    <w:rsid w:val="007D24B2"/>
    <w:rsid w:val="007E4CC3"/>
    <w:rsid w:val="007F00B8"/>
    <w:rsid w:val="00801E01"/>
    <w:rsid w:val="00823268"/>
    <w:rsid w:val="00827975"/>
    <w:rsid w:val="00834DDF"/>
    <w:rsid w:val="00850DC9"/>
    <w:rsid w:val="0089440C"/>
    <w:rsid w:val="008B19D6"/>
    <w:rsid w:val="008C511B"/>
    <w:rsid w:val="008F510E"/>
    <w:rsid w:val="00927CAB"/>
    <w:rsid w:val="00937AE8"/>
    <w:rsid w:val="009415A1"/>
    <w:rsid w:val="009427F2"/>
    <w:rsid w:val="009A7459"/>
    <w:rsid w:val="009B71E7"/>
    <w:rsid w:val="009F08DC"/>
    <w:rsid w:val="00A76362"/>
    <w:rsid w:val="00A86842"/>
    <w:rsid w:val="00A91C21"/>
    <w:rsid w:val="00AB2741"/>
    <w:rsid w:val="00AC05E0"/>
    <w:rsid w:val="00B109C2"/>
    <w:rsid w:val="00B34304"/>
    <w:rsid w:val="00B366D4"/>
    <w:rsid w:val="00B511CF"/>
    <w:rsid w:val="00B85FDA"/>
    <w:rsid w:val="00BA6311"/>
    <w:rsid w:val="00BC4AF9"/>
    <w:rsid w:val="00C35F38"/>
    <w:rsid w:val="00C35FDD"/>
    <w:rsid w:val="00C47BB8"/>
    <w:rsid w:val="00C50353"/>
    <w:rsid w:val="00C52D1F"/>
    <w:rsid w:val="00C60923"/>
    <w:rsid w:val="00C873B6"/>
    <w:rsid w:val="00CC1B9F"/>
    <w:rsid w:val="00CE3F52"/>
    <w:rsid w:val="00D06BF9"/>
    <w:rsid w:val="00D632B4"/>
    <w:rsid w:val="00D7617F"/>
    <w:rsid w:val="00D81B35"/>
    <w:rsid w:val="00DA4451"/>
    <w:rsid w:val="00DA6F5B"/>
    <w:rsid w:val="00DA7F84"/>
    <w:rsid w:val="00DF037C"/>
    <w:rsid w:val="00E16F71"/>
    <w:rsid w:val="00E20FB4"/>
    <w:rsid w:val="00E40834"/>
    <w:rsid w:val="00E429D8"/>
    <w:rsid w:val="00E44C58"/>
    <w:rsid w:val="00E61E40"/>
    <w:rsid w:val="00E829A3"/>
    <w:rsid w:val="00E925CD"/>
    <w:rsid w:val="00E95C9E"/>
    <w:rsid w:val="00EC2AB3"/>
    <w:rsid w:val="00ED0384"/>
    <w:rsid w:val="00ED7521"/>
    <w:rsid w:val="00F23B56"/>
    <w:rsid w:val="00F34444"/>
    <w:rsid w:val="00F56A05"/>
    <w:rsid w:val="00F64B31"/>
    <w:rsid w:val="00F7116F"/>
    <w:rsid w:val="00FE1842"/>
    <w:rsid w:val="01405C62"/>
    <w:rsid w:val="01F263DB"/>
    <w:rsid w:val="01F648EB"/>
    <w:rsid w:val="024C6702"/>
    <w:rsid w:val="026505B4"/>
    <w:rsid w:val="028630A1"/>
    <w:rsid w:val="02FD4879"/>
    <w:rsid w:val="038C7FF1"/>
    <w:rsid w:val="03AA3E3B"/>
    <w:rsid w:val="03BB6100"/>
    <w:rsid w:val="03EA5C50"/>
    <w:rsid w:val="0458580D"/>
    <w:rsid w:val="04600135"/>
    <w:rsid w:val="05054F3D"/>
    <w:rsid w:val="05F46152"/>
    <w:rsid w:val="05F835B0"/>
    <w:rsid w:val="06113422"/>
    <w:rsid w:val="063B27DE"/>
    <w:rsid w:val="065E25EC"/>
    <w:rsid w:val="06835E42"/>
    <w:rsid w:val="06F965CB"/>
    <w:rsid w:val="07487AC1"/>
    <w:rsid w:val="07623DA7"/>
    <w:rsid w:val="07D93B4F"/>
    <w:rsid w:val="081119C7"/>
    <w:rsid w:val="08DE4DFD"/>
    <w:rsid w:val="0A1D1E06"/>
    <w:rsid w:val="0A4C7CCD"/>
    <w:rsid w:val="0B486D9D"/>
    <w:rsid w:val="0B4F52A1"/>
    <w:rsid w:val="0B652DFD"/>
    <w:rsid w:val="0B654246"/>
    <w:rsid w:val="0BD448F3"/>
    <w:rsid w:val="0C7B7749"/>
    <w:rsid w:val="0CE2397A"/>
    <w:rsid w:val="0CE57E5A"/>
    <w:rsid w:val="0CEE5818"/>
    <w:rsid w:val="0DDF3EA9"/>
    <w:rsid w:val="0F0A0BC6"/>
    <w:rsid w:val="0F216C64"/>
    <w:rsid w:val="0F3E23E2"/>
    <w:rsid w:val="0F5C4EB1"/>
    <w:rsid w:val="0F662B81"/>
    <w:rsid w:val="0F760C96"/>
    <w:rsid w:val="0F8B51E9"/>
    <w:rsid w:val="0FEA06B3"/>
    <w:rsid w:val="106B2554"/>
    <w:rsid w:val="1085571C"/>
    <w:rsid w:val="10AD6224"/>
    <w:rsid w:val="10F72A22"/>
    <w:rsid w:val="113F7BA5"/>
    <w:rsid w:val="12970A77"/>
    <w:rsid w:val="12D300E7"/>
    <w:rsid w:val="136B79EF"/>
    <w:rsid w:val="1370543F"/>
    <w:rsid w:val="13811EEE"/>
    <w:rsid w:val="13FF3975"/>
    <w:rsid w:val="14861683"/>
    <w:rsid w:val="14887B46"/>
    <w:rsid w:val="14EF3497"/>
    <w:rsid w:val="153C45B3"/>
    <w:rsid w:val="157947AC"/>
    <w:rsid w:val="15DB09EF"/>
    <w:rsid w:val="1650535C"/>
    <w:rsid w:val="16B75B8F"/>
    <w:rsid w:val="16FE1938"/>
    <w:rsid w:val="170C3948"/>
    <w:rsid w:val="178056C8"/>
    <w:rsid w:val="17EC7FC1"/>
    <w:rsid w:val="17F81734"/>
    <w:rsid w:val="180061CB"/>
    <w:rsid w:val="18154C5A"/>
    <w:rsid w:val="18EF3804"/>
    <w:rsid w:val="19001E74"/>
    <w:rsid w:val="195C3A7E"/>
    <w:rsid w:val="1A2375F0"/>
    <w:rsid w:val="1AA71539"/>
    <w:rsid w:val="1AC0275A"/>
    <w:rsid w:val="1AE500E3"/>
    <w:rsid w:val="1B1D1342"/>
    <w:rsid w:val="1B2A6629"/>
    <w:rsid w:val="1BBC2184"/>
    <w:rsid w:val="1C103D2D"/>
    <w:rsid w:val="1C1965EC"/>
    <w:rsid w:val="1C7701B9"/>
    <w:rsid w:val="1CEA3F89"/>
    <w:rsid w:val="1CF73295"/>
    <w:rsid w:val="1D451326"/>
    <w:rsid w:val="1D5F4748"/>
    <w:rsid w:val="1D99665F"/>
    <w:rsid w:val="1E621D9B"/>
    <w:rsid w:val="1E9448CB"/>
    <w:rsid w:val="1E945AB3"/>
    <w:rsid w:val="1EA3498E"/>
    <w:rsid w:val="1EFB5835"/>
    <w:rsid w:val="1F5052F4"/>
    <w:rsid w:val="1F8A1433"/>
    <w:rsid w:val="1FD94E57"/>
    <w:rsid w:val="205247F6"/>
    <w:rsid w:val="205508A0"/>
    <w:rsid w:val="206501BF"/>
    <w:rsid w:val="20C21B5F"/>
    <w:rsid w:val="20D8491F"/>
    <w:rsid w:val="2163103A"/>
    <w:rsid w:val="217D79B3"/>
    <w:rsid w:val="219B3B12"/>
    <w:rsid w:val="219E2440"/>
    <w:rsid w:val="21F8300E"/>
    <w:rsid w:val="22D4227E"/>
    <w:rsid w:val="22FA27EC"/>
    <w:rsid w:val="230477A4"/>
    <w:rsid w:val="234550B7"/>
    <w:rsid w:val="2384696C"/>
    <w:rsid w:val="23B968AE"/>
    <w:rsid w:val="240772FF"/>
    <w:rsid w:val="24183DF0"/>
    <w:rsid w:val="247778DD"/>
    <w:rsid w:val="247A77A8"/>
    <w:rsid w:val="24912B68"/>
    <w:rsid w:val="24D6630F"/>
    <w:rsid w:val="24F84929"/>
    <w:rsid w:val="252A0A7B"/>
    <w:rsid w:val="257B506C"/>
    <w:rsid w:val="259F7519"/>
    <w:rsid w:val="25AF42DB"/>
    <w:rsid w:val="25B348BA"/>
    <w:rsid w:val="25DE1005"/>
    <w:rsid w:val="25FD2566"/>
    <w:rsid w:val="26146B0C"/>
    <w:rsid w:val="26816946"/>
    <w:rsid w:val="26DB7398"/>
    <w:rsid w:val="27033FBD"/>
    <w:rsid w:val="2705728B"/>
    <w:rsid w:val="27417BF8"/>
    <w:rsid w:val="27693B45"/>
    <w:rsid w:val="283A129B"/>
    <w:rsid w:val="28FE78EF"/>
    <w:rsid w:val="29672817"/>
    <w:rsid w:val="29763DAA"/>
    <w:rsid w:val="29954B63"/>
    <w:rsid w:val="29A41943"/>
    <w:rsid w:val="29B831E7"/>
    <w:rsid w:val="29D8316A"/>
    <w:rsid w:val="29DF16A7"/>
    <w:rsid w:val="29F74F67"/>
    <w:rsid w:val="2A484907"/>
    <w:rsid w:val="2B755902"/>
    <w:rsid w:val="2BA81833"/>
    <w:rsid w:val="2BAC3F70"/>
    <w:rsid w:val="2BB02AB9"/>
    <w:rsid w:val="2C56166B"/>
    <w:rsid w:val="2C772798"/>
    <w:rsid w:val="2CE33635"/>
    <w:rsid w:val="2D391980"/>
    <w:rsid w:val="2D7C6F9A"/>
    <w:rsid w:val="2ED263DE"/>
    <w:rsid w:val="2F312BD6"/>
    <w:rsid w:val="2F4F315F"/>
    <w:rsid w:val="2F5260FE"/>
    <w:rsid w:val="2F78760A"/>
    <w:rsid w:val="30780EC9"/>
    <w:rsid w:val="309A0801"/>
    <w:rsid w:val="31651329"/>
    <w:rsid w:val="31C46552"/>
    <w:rsid w:val="31EC7268"/>
    <w:rsid w:val="32691E0F"/>
    <w:rsid w:val="33722AF4"/>
    <w:rsid w:val="339F6CDD"/>
    <w:rsid w:val="344952F9"/>
    <w:rsid w:val="34962644"/>
    <w:rsid w:val="34E402F2"/>
    <w:rsid w:val="34F20284"/>
    <w:rsid w:val="3619346A"/>
    <w:rsid w:val="366152C5"/>
    <w:rsid w:val="37DD34EA"/>
    <w:rsid w:val="3859649B"/>
    <w:rsid w:val="386D2696"/>
    <w:rsid w:val="38CA384A"/>
    <w:rsid w:val="39227B1B"/>
    <w:rsid w:val="39406911"/>
    <w:rsid w:val="39850296"/>
    <w:rsid w:val="39C26750"/>
    <w:rsid w:val="3A7F1D43"/>
    <w:rsid w:val="3A8D223E"/>
    <w:rsid w:val="3B19451F"/>
    <w:rsid w:val="3B291386"/>
    <w:rsid w:val="3B563038"/>
    <w:rsid w:val="3B7A306D"/>
    <w:rsid w:val="3B80307E"/>
    <w:rsid w:val="3BCA7BD7"/>
    <w:rsid w:val="3C6C37E2"/>
    <w:rsid w:val="3C7D1C3F"/>
    <w:rsid w:val="3CDF42B5"/>
    <w:rsid w:val="3CE05DC4"/>
    <w:rsid w:val="3CEA3E5A"/>
    <w:rsid w:val="3CFD6A0C"/>
    <w:rsid w:val="3DDA1E4D"/>
    <w:rsid w:val="400943B7"/>
    <w:rsid w:val="40143523"/>
    <w:rsid w:val="406B2735"/>
    <w:rsid w:val="4171469C"/>
    <w:rsid w:val="41857EAB"/>
    <w:rsid w:val="42C454C8"/>
    <w:rsid w:val="42EC4BA0"/>
    <w:rsid w:val="43482ADF"/>
    <w:rsid w:val="43497E11"/>
    <w:rsid w:val="438C52D1"/>
    <w:rsid w:val="43AF1DC7"/>
    <w:rsid w:val="442360D8"/>
    <w:rsid w:val="444924A1"/>
    <w:rsid w:val="450B3104"/>
    <w:rsid w:val="45374F70"/>
    <w:rsid w:val="45A32D85"/>
    <w:rsid w:val="45E922E2"/>
    <w:rsid w:val="46181B9F"/>
    <w:rsid w:val="46B73DB3"/>
    <w:rsid w:val="46B85A12"/>
    <w:rsid w:val="46C20ABF"/>
    <w:rsid w:val="471C5409"/>
    <w:rsid w:val="475E76EE"/>
    <w:rsid w:val="47B54AE2"/>
    <w:rsid w:val="47C24104"/>
    <w:rsid w:val="484652C3"/>
    <w:rsid w:val="489E735B"/>
    <w:rsid w:val="48EF215B"/>
    <w:rsid w:val="49547ADE"/>
    <w:rsid w:val="499358EA"/>
    <w:rsid w:val="49A70025"/>
    <w:rsid w:val="4A9518DB"/>
    <w:rsid w:val="4AB935E6"/>
    <w:rsid w:val="4B1F601E"/>
    <w:rsid w:val="4B65339C"/>
    <w:rsid w:val="4BE2220E"/>
    <w:rsid w:val="4CBF2857"/>
    <w:rsid w:val="4CF82AE4"/>
    <w:rsid w:val="4D097364"/>
    <w:rsid w:val="4D667BB3"/>
    <w:rsid w:val="4D7808AB"/>
    <w:rsid w:val="4DC87963"/>
    <w:rsid w:val="4E0626FD"/>
    <w:rsid w:val="4EA45B39"/>
    <w:rsid w:val="4EED2017"/>
    <w:rsid w:val="4F2E2211"/>
    <w:rsid w:val="4F4E78CD"/>
    <w:rsid w:val="4FA62E1E"/>
    <w:rsid w:val="4FAC0AB2"/>
    <w:rsid w:val="4FC809F8"/>
    <w:rsid w:val="4FE85961"/>
    <w:rsid w:val="50072C4D"/>
    <w:rsid w:val="50341189"/>
    <w:rsid w:val="50837233"/>
    <w:rsid w:val="514C5668"/>
    <w:rsid w:val="51513799"/>
    <w:rsid w:val="518C29B6"/>
    <w:rsid w:val="52170DB7"/>
    <w:rsid w:val="52AA23A8"/>
    <w:rsid w:val="52B7187A"/>
    <w:rsid w:val="52BF3A93"/>
    <w:rsid w:val="53A5465B"/>
    <w:rsid w:val="53B6028C"/>
    <w:rsid w:val="54392B16"/>
    <w:rsid w:val="54442E65"/>
    <w:rsid w:val="545B2AA1"/>
    <w:rsid w:val="549B5701"/>
    <w:rsid w:val="54A9277D"/>
    <w:rsid w:val="55182E77"/>
    <w:rsid w:val="553F16B7"/>
    <w:rsid w:val="558856A9"/>
    <w:rsid w:val="55CA2A9E"/>
    <w:rsid w:val="55CA3B80"/>
    <w:rsid w:val="55E50F1B"/>
    <w:rsid w:val="565F6886"/>
    <w:rsid w:val="56BC237C"/>
    <w:rsid w:val="56CD4B4D"/>
    <w:rsid w:val="575C7815"/>
    <w:rsid w:val="5798381B"/>
    <w:rsid w:val="57D4447A"/>
    <w:rsid w:val="57F759F2"/>
    <w:rsid w:val="585447AE"/>
    <w:rsid w:val="58AF736D"/>
    <w:rsid w:val="58D704D4"/>
    <w:rsid w:val="58EC4DE1"/>
    <w:rsid w:val="596B72CE"/>
    <w:rsid w:val="59B3494A"/>
    <w:rsid w:val="59EB1B1F"/>
    <w:rsid w:val="59EC6E24"/>
    <w:rsid w:val="5A0B2520"/>
    <w:rsid w:val="5A186813"/>
    <w:rsid w:val="5A3B2376"/>
    <w:rsid w:val="5A40591F"/>
    <w:rsid w:val="5A6F0692"/>
    <w:rsid w:val="5ABF2E42"/>
    <w:rsid w:val="5B586398"/>
    <w:rsid w:val="5B5E26D5"/>
    <w:rsid w:val="5B916903"/>
    <w:rsid w:val="5BEF472E"/>
    <w:rsid w:val="5C932202"/>
    <w:rsid w:val="5CC87E6F"/>
    <w:rsid w:val="5CD918EA"/>
    <w:rsid w:val="5D247D3D"/>
    <w:rsid w:val="5DAE1AC9"/>
    <w:rsid w:val="5E153AF5"/>
    <w:rsid w:val="5F0E1E7F"/>
    <w:rsid w:val="5F112305"/>
    <w:rsid w:val="5F2767B3"/>
    <w:rsid w:val="5FE31F70"/>
    <w:rsid w:val="60045498"/>
    <w:rsid w:val="614C1844"/>
    <w:rsid w:val="617A6C2D"/>
    <w:rsid w:val="61855523"/>
    <w:rsid w:val="618968F0"/>
    <w:rsid w:val="619E6355"/>
    <w:rsid w:val="61BD64DA"/>
    <w:rsid w:val="6215384D"/>
    <w:rsid w:val="627460EE"/>
    <w:rsid w:val="62AC06BC"/>
    <w:rsid w:val="633B4987"/>
    <w:rsid w:val="63525D55"/>
    <w:rsid w:val="63F321C7"/>
    <w:rsid w:val="64BD699D"/>
    <w:rsid w:val="64C20A08"/>
    <w:rsid w:val="64F06443"/>
    <w:rsid w:val="65737FB9"/>
    <w:rsid w:val="65DF5ECF"/>
    <w:rsid w:val="661D7FD4"/>
    <w:rsid w:val="665A45AE"/>
    <w:rsid w:val="66A662C4"/>
    <w:rsid w:val="66DE2D4E"/>
    <w:rsid w:val="67222B8A"/>
    <w:rsid w:val="679D182D"/>
    <w:rsid w:val="67BB6396"/>
    <w:rsid w:val="68794E30"/>
    <w:rsid w:val="687B5327"/>
    <w:rsid w:val="688621C1"/>
    <w:rsid w:val="68C15BDE"/>
    <w:rsid w:val="6AD23ACD"/>
    <w:rsid w:val="6AE706B2"/>
    <w:rsid w:val="6B103823"/>
    <w:rsid w:val="6B315A81"/>
    <w:rsid w:val="6B4E7636"/>
    <w:rsid w:val="6C3F4637"/>
    <w:rsid w:val="6C9D07C7"/>
    <w:rsid w:val="6CB426A8"/>
    <w:rsid w:val="6D3835CD"/>
    <w:rsid w:val="6D9B59D3"/>
    <w:rsid w:val="6DDF18A8"/>
    <w:rsid w:val="6E7742D5"/>
    <w:rsid w:val="6E947A29"/>
    <w:rsid w:val="6EFB1E55"/>
    <w:rsid w:val="701E0D35"/>
    <w:rsid w:val="708C2BAE"/>
    <w:rsid w:val="717A54B6"/>
    <w:rsid w:val="71E47115"/>
    <w:rsid w:val="72124418"/>
    <w:rsid w:val="721537F2"/>
    <w:rsid w:val="72BF52A3"/>
    <w:rsid w:val="73520170"/>
    <w:rsid w:val="73B32D5B"/>
    <w:rsid w:val="74906E74"/>
    <w:rsid w:val="74D2633E"/>
    <w:rsid w:val="75061B64"/>
    <w:rsid w:val="75127B2A"/>
    <w:rsid w:val="756B70AB"/>
    <w:rsid w:val="762D45E7"/>
    <w:rsid w:val="76432C97"/>
    <w:rsid w:val="76472E5B"/>
    <w:rsid w:val="76622032"/>
    <w:rsid w:val="76DA2B8D"/>
    <w:rsid w:val="773F1B2E"/>
    <w:rsid w:val="776141C0"/>
    <w:rsid w:val="77E71EE7"/>
    <w:rsid w:val="78403651"/>
    <w:rsid w:val="784051C1"/>
    <w:rsid w:val="789E16E5"/>
    <w:rsid w:val="78DB40C6"/>
    <w:rsid w:val="7954401D"/>
    <w:rsid w:val="79547EF1"/>
    <w:rsid w:val="79A24C96"/>
    <w:rsid w:val="7AC02D1F"/>
    <w:rsid w:val="7AE80A7B"/>
    <w:rsid w:val="7AE861A8"/>
    <w:rsid w:val="7B452E9A"/>
    <w:rsid w:val="7B5C7060"/>
    <w:rsid w:val="7B5E14E4"/>
    <w:rsid w:val="7B741965"/>
    <w:rsid w:val="7BBF78B4"/>
    <w:rsid w:val="7BFE30BC"/>
    <w:rsid w:val="7C0A7BF1"/>
    <w:rsid w:val="7CD24C07"/>
    <w:rsid w:val="7CDD0037"/>
    <w:rsid w:val="7D2C5AF6"/>
    <w:rsid w:val="7D8F4D87"/>
    <w:rsid w:val="7DBB66FE"/>
    <w:rsid w:val="7DBE27C1"/>
    <w:rsid w:val="7DCA5F0F"/>
    <w:rsid w:val="7E1F736F"/>
    <w:rsid w:val="7E300305"/>
    <w:rsid w:val="7E7D74C3"/>
    <w:rsid w:val="7EB52BD6"/>
    <w:rsid w:val="7F346A78"/>
    <w:rsid w:val="7FA57776"/>
    <w:rsid w:val="7FC250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Document Map"/>
    <w:basedOn w:val="1"/>
    <w:semiHidden/>
    <w:qFormat/>
    <w:uiPriority w:val="0"/>
    <w:pPr>
      <w:shd w:val="clear" w:color="auto" w:fill="000080"/>
    </w:pPr>
  </w:style>
  <w:style w:type="paragraph" w:styleId="4">
    <w:name w:val="annotation text"/>
    <w:basedOn w:val="1"/>
    <w:uiPriority w:val="0"/>
    <w:pPr>
      <w:jc w:val="left"/>
    </w:pPr>
  </w:style>
  <w:style w:type="paragraph" w:styleId="5">
    <w:name w:val="Balloon Text"/>
    <w:basedOn w:val="1"/>
    <w:link w:val="18"/>
    <w:uiPriority w:val="0"/>
    <w:rPr>
      <w:sz w:val="18"/>
      <w:szCs w:val="18"/>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bCs/>
    </w:rPr>
  </w:style>
  <w:style w:type="paragraph" w:customStyle="1" w:styleId="12">
    <w:name w:val="Char"/>
    <w:basedOn w:val="1"/>
    <w:qFormat/>
    <w:uiPriority w:val="0"/>
    <w:rPr>
      <w:rFonts w:ascii="宋体" w:hAnsi="宋体" w:cs="Courier New"/>
      <w:sz w:val="32"/>
      <w:szCs w:val="32"/>
    </w:rPr>
  </w:style>
  <w:style w:type="character" w:customStyle="1" w:styleId="13">
    <w:name w:val="页眉 Char"/>
    <w:link w:val="7"/>
    <w:qFormat/>
    <w:uiPriority w:val="0"/>
    <w:rPr>
      <w:kern w:val="2"/>
      <w:sz w:val="18"/>
      <w:szCs w:val="18"/>
    </w:rPr>
  </w:style>
  <w:style w:type="character" w:customStyle="1" w:styleId="14">
    <w:name w:val="页脚 Char"/>
    <w:link w:val="6"/>
    <w:qFormat/>
    <w:uiPriority w:val="0"/>
    <w:rPr>
      <w:kern w:val="2"/>
      <w:sz w:val="18"/>
      <w:szCs w:val="18"/>
    </w:rPr>
  </w:style>
  <w:style w:type="paragraph" w:customStyle="1" w:styleId="15">
    <w:name w:val="[Normal]"/>
    <w:qFormat/>
    <w:uiPriority w:val="0"/>
    <w:rPr>
      <w:rFonts w:ascii="宋体" w:hAnsi="宋体" w:eastAsia="宋体" w:cs="Times New Roman"/>
      <w:sz w:val="24"/>
      <w:lang w:val="zh-CN" w:eastAsia="zh-CN" w:bidi="ar-SA"/>
    </w:rPr>
  </w:style>
  <w:style w:type="paragraph" w:customStyle="1" w:styleId="16">
    <w:name w:val="p0"/>
    <w:basedOn w:val="1"/>
    <w:qFormat/>
    <w:uiPriority w:val="0"/>
    <w:pPr>
      <w:widowControl/>
    </w:pPr>
    <w:rPr>
      <w:kern w:val="0"/>
      <w:szCs w:val="21"/>
    </w:rPr>
  </w:style>
  <w:style w:type="paragraph" w:styleId="17">
    <w:name w:val="List Paragraph"/>
    <w:basedOn w:val="1"/>
    <w:unhideWhenUsed/>
    <w:qFormat/>
    <w:uiPriority w:val="99"/>
    <w:pPr>
      <w:ind w:firstLine="420" w:firstLineChars="200"/>
    </w:pPr>
  </w:style>
  <w:style w:type="character" w:customStyle="1" w:styleId="18">
    <w:name w:val="批注框文本 Char"/>
    <w:basedOn w:val="10"/>
    <w:link w:val="5"/>
    <w:qFormat/>
    <w:uiPriority w:val="0"/>
    <w:rPr>
      <w:kern w:val="2"/>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image" Target="media/image6.emf"/>
  <Relationship Id="rId11" Type="http://schemas.openxmlformats.org/officeDocument/2006/relationships/image" Target="media/image7.emf"/>
  <Relationship Id="rId12" Type="http://schemas.openxmlformats.org/officeDocument/2006/relationships/image" Target="media/image8.emf"/>
  <Relationship Id="rId13" Type="http://schemas.openxmlformats.org/officeDocument/2006/relationships/image" Target="media/image9.emf"/>
  <Relationship Id="rId14" Type="http://schemas.openxmlformats.org/officeDocument/2006/relationships/image" Target="media/image10.emf"/>
  <Relationship Id="rId15" Type="http://schemas.openxmlformats.org/officeDocument/2006/relationships/numbering" Target="numbering.xml"/>
  <Relationship Id="rId16" Type="http://schemas.openxmlformats.org/officeDocument/2006/relationships/customXml" Target="../customXml/item1.xml"/>
  <Relationship Id="rId17"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theme" Target="theme/theme1.xml"/>
  <Relationship Id="rId5" Type="http://schemas.openxmlformats.org/officeDocument/2006/relationships/image" Target="media/image1.emf"/>
  <Relationship Id="rId6" Type="http://schemas.openxmlformats.org/officeDocument/2006/relationships/image" Target="media/image2.emf"/>
  <Relationship Id="rId7" Type="http://schemas.openxmlformats.org/officeDocument/2006/relationships/image" Target="media/image3.emf"/>
  <Relationship Id="rId8" Type="http://schemas.openxmlformats.org/officeDocument/2006/relationships/image" Target="media/image4.emf"/>
  <Relationship Id="rId9" Type="http://schemas.openxmlformats.org/officeDocument/2006/relationships/image" Target="media/image5.emf"/>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 Id="rId6" Type="http://schemas.openxmlformats.org/officeDocument/2006/relationships/font" Target="fonts/font6.odttf"/>
  <Relationship Id="rId7" Type="http://schemas.openxmlformats.org/officeDocument/2006/relationships/font" Target="fonts/font7.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529C5-FEDC-436D-8E22-55928F57B1B5}">
  <ds:schemaRefs/>
</ds:datastoreItem>
</file>

<file path=docProps/app.xml><?xml version="1.0" encoding="utf-8"?>
<Properties xmlns="http://schemas.openxmlformats.org/officeDocument/2006/extended-properties" xmlns:vt="http://schemas.openxmlformats.org/officeDocument/2006/docPropsVTypes">
  <Template>Normal</Template>
  <Company>xc</Company>
  <Pages>20</Pages>
  <Words>4205</Words>
  <Characters>4562</Characters>
  <Lines>39</Lines>
  <Paragraphs>11</Paragraphs>
  <TotalTime>1</TotalTime>
  <ScaleCrop>false</ScaleCrop>
  <LinksUpToDate>false</LinksUpToDate>
  <CharactersWithSpaces>4582</CharactersWithSpaces>
  <Application>WPS Office_12.1.0.20305_F1E327BC-269C-435d-A152-05C5408002CA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2020-01-06T08:45:00Z</dcterms:created>
  <dc:creator>dsx</dc:creator>
  <lastModifiedBy>F</lastModifiedBy>
  <dcterms:modified xsi:type="dcterms:W3CDTF">2025-03-25T01:13:42Z</dcterms:modified>
  <revision>43</revision>
  <dc:title>关于2019年部门预算的批复</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EDOID">
    <vt:r8>5838458</vt:r8>
  </property>
  <property fmtid="{D5CDD505-2E9C-101B-9397-08002B2CF9AE}" pid="4" name="ICV">
    <vt:lpwstr>AE293BE06396464AB610D12C04197BE8_13</vt:lpwstr>
  </property>
  <property fmtid="{D5CDD505-2E9C-101B-9397-08002B2CF9AE}" pid="5" name="KSOTemplateDocerSaveRecord">
    <vt:lpwstr>eyJoZGlkIjoiMTE1YTA3YzY0MTNiNGEyMDY3OTRiYzQzMDFhZDE3MDQiLCJ1c2VySWQiOiIzMTM2ODI3ODYifQ==</vt:lpwstr>
  </property>
</Properties>
</file>