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highlight w:val="none"/>
        </w:rPr>
        <w:t>2025年政务服务标志性成果清单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06"/>
        <w:gridCol w:w="4700"/>
        <w:gridCol w:w="137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标志性成果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目标任务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牵头处室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（中心）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配合处室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打造“15分钟政务服务圈”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围绕共同富裕示范区建设，创新基层政务服务模式，推出政务服务市集等活动。将服务窗口延伸至企业群众身边。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政务服务管理处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组建政务服务“百人跑团”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依托浙江政务服务网、“湖企办”平台，探索政务服务“外卖点单”创新举措，组建专业“骑手”团队，群众可线上点单，实现政务服务“零跑动”，降低办事成本，便利服务企业群众。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政务服务管理处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电子政务管理处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打造“易路阳光”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中介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超市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建立中介机构好差评、星级评定制度、信用评价办法，探索中介服务人员积分管理，实行星级评价。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电子政务管理处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政务服务管理处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建立项目服务“一企一策”机制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以企业投资项目需求为导向，结合项目特点，提供个性化报批流程和全链条增值服务。主动解决政策和技术难题，提供跨专业和技术支持及跨部门协调，加快项目审批进程，优化服务流程。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企业综合服务中心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政务服务管理处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电子政务管理处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探索人工智能评标师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构建具有依法合规、科学评价、公平公正的“智能辅助评标体系”，减少人工评审自由裁量权。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公共资源交易监管处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公共资源交易监管服务中心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开展“百站筑链 企服先锋”行动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围绕“8+2”产业平台，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根据产业链特点，累计建成特色产业分中心和企服驿站100家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企业综合服务中心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政务服务管理处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4"/>
                <w:szCs w:val="24"/>
                <w:highlight w:val="none"/>
              </w:rPr>
              <w:t>电子政务管理处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打造“一屏掌控”的“湖企办”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线上平台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迭代升级“湖企办”平台，创新“AI+政策匹配”模块，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建立更多层级更多领域的政策计算模型，实现从“企业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政策”变为“政策找企业”。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企业综合服务中心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电子政务管理处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建立“隔夜评审”服务保障体系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签订隔夜评标合作协议，完善交易场所设施、优化交易系统流程，出台《隔夜评标操作规程》，配备40间以上专家专用评标休息间，确保隔夜评标全程留痕、安全可靠。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lang w:val="en-US" w:eastAsia="zh-CN"/>
              </w:rPr>
              <w:t>公共资源交易中心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公共资源交易监管处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打造“政务雏鹰”宣讲品牌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围绕政务服务、公共资源交易等企业群众关心的热点主题，组织青年干部开展“政务青年说”集中宣讲活动，用小切口推动党的创新理论和最新政务服务政策宣传宣讲。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组宣人事处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直属机关党委</w:t>
            </w:r>
          </w:p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推出“爱廉说”专栏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line="300" w:lineRule="exact"/>
              <w:ind w:right="102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聚焦干部廉洁自律意识养成，推出线上线下“爱廉说”专栏。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直属机关党委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00" w:lineRule="exact"/>
              <w:ind w:right="10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highlight w:val="none"/>
              </w:rPr>
              <w:t>组宣人事处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28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Balloon Text"/>
    <w:basedOn w:val="1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2025-03-13T09:20:53Z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