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6462">
      <w:pPr>
        <w:jc w:val="right"/>
      </w:pPr>
    </w:p>
    <w:p w14:paraId="57DC6814">
      <w:pPr>
        <w:rPr>
          <w:szCs w:val="30"/>
        </w:rPr>
      </w:pPr>
    </w:p>
    <w:p w14:paraId="57644160">
      <w:pPr>
        <w:rPr>
          <w:szCs w:val="30"/>
        </w:rPr>
      </w:pPr>
    </w:p>
    <w:p w14:paraId="6A198396">
      <w:pPr>
        <w:rPr>
          <w:szCs w:val="30"/>
        </w:rPr>
      </w:pPr>
    </w:p>
    <w:p w14:paraId="597A20D7">
      <w:pPr>
        <w:rPr>
          <w:szCs w:val="30"/>
        </w:rPr>
      </w:pPr>
    </w:p>
    <w:p w14:paraId="1EE690F3">
      <w:pPr>
        <w:rPr>
          <w:szCs w:val="30"/>
        </w:rPr>
      </w:pPr>
    </w:p>
    <w:p w14:paraId="0E0E91EB">
      <w:pPr>
        <w:rPr>
          <w:szCs w:val="30"/>
        </w:rPr>
      </w:pPr>
    </w:p>
    <w:p w14:paraId="43E229B7">
      <w:pPr>
        <w:adjustRightInd w:val="0"/>
        <w:jc w:val="center"/>
        <w:rPr>
          <w:rFonts w:ascii="仿宋_GB2312" w:hAnsi="仿宋_GB2312"/>
          <w:b/>
          <w:snapToGrid w:val="0"/>
        </w:rPr>
      </w:pPr>
      <w:r>
        <w:rPr>
          <w:rFonts w:hint="eastAsia" w:ascii="仿宋_GB2312" w:hAnsi="仿宋_GB2312"/>
          <w:snapToGrid w:val="0"/>
        </w:rPr>
        <w:t>长政发〔2021〕29号</w:t>
      </w:r>
    </w:p>
    <w:p w14:paraId="0FC2FD84">
      <w:pPr>
        <w:overflowPunct w:val="0"/>
        <w:adjustRightInd w:val="0"/>
        <w:spacing w:line="288" w:lineRule="auto"/>
        <w:jc w:val="center"/>
        <w:rPr>
          <w:rFonts w:ascii="仿宋_GB2312"/>
          <w:szCs w:val="30"/>
        </w:rPr>
      </w:pPr>
    </w:p>
    <w:p w14:paraId="3FFFD8A5">
      <w:pPr>
        <w:overflowPunct w:val="0"/>
        <w:spacing w:line="288" w:lineRule="auto"/>
        <w:jc w:val="center"/>
        <w:rPr>
          <w:rFonts w:eastAsia="微软简标宋"/>
          <w:szCs w:val="30"/>
        </w:rPr>
      </w:pPr>
    </w:p>
    <w:p w14:paraId="3022B719">
      <w:pPr>
        <w:overflowPunct w:val="0"/>
        <w:spacing w:line="288" w:lineRule="auto"/>
        <w:jc w:val="center"/>
        <w:rPr>
          <w:rFonts w:ascii="方正小标宋简体" w:hAnsi="方正小标宋简体" w:eastAsia="方正小标宋简体" w:cs="宋体"/>
          <w:sz w:val="44"/>
          <w:szCs w:val="36"/>
        </w:rPr>
      </w:pPr>
      <w:r>
        <w:rPr>
          <w:rFonts w:hint="eastAsia" w:ascii="方正小标宋简体" w:hAnsi="方正小标宋简体" w:eastAsia="方正小标宋简体"/>
          <w:spacing w:val="60"/>
          <w:sz w:val="44"/>
          <w:szCs w:val="36"/>
        </w:rPr>
        <w:t>长兴县人民政</w:t>
      </w:r>
      <w:r>
        <w:rPr>
          <w:rFonts w:hint="eastAsia" w:ascii="方正小标宋简体" w:hAnsi="方正小标宋简体" w:eastAsia="方正小标宋简体" w:cs="宋体"/>
          <w:sz w:val="44"/>
          <w:szCs w:val="36"/>
        </w:rPr>
        <w:t>府</w:t>
      </w:r>
    </w:p>
    <w:p w14:paraId="02A7062A">
      <w:pPr>
        <w:jc w:val="center"/>
        <w:rPr>
          <w:rFonts w:ascii="方正小标宋简体" w:eastAsia="方正小标宋简体"/>
          <w:sz w:val="44"/>
          <w:szCs w:val="44"/>
        </w:rPr>
      </w:pPr>
      <w:r>
        <w:rPr>
          <w:rFonts w:hint="eastAsia" w:ascii="方正小标宋简体" w:eastAsia="方正小标宋简体"/>
          <w:sz w:val="44"/>
          <w:szCs w:val="44"/>
        </w:rPr>
        <w:t>关于</w:t>
      </w:r>
      <w:bookmarkStart w:id="0" w:name="_Hlk67056078"/>
      <w:r>
        <w:rPr>
          <w:rFonts w:hint="eastAsia" w:ascii="方正小标宋简体" w:eastAsia="方正小标宋简体"/>
          <w:sz w:val="44"/>
          <w:szCs w:val="44"/>
        </w:rPr>
        <w:t>印发长兴县国民经济和社会发展第十四个五年规划和二</w:t>
      </w:r>
      <w:r>
        <w:rPr>
          <w:rFonts w:hint="eastAsia" w:ascii="宋体" w:hAnsi="宋体" w:eastAsia="宋体" w:cs="宋体"/>
          <w:sz w:val="44"/>
          <w:szCs w:val="44"/>
        </w:rPr>
        <w:t>〇</w:t>
      </w:r>
      <w:r>
        <w:rPr>
          <w:rFonts w:hint="eastAsia" w:ascii="方正小标宋简体" w:eastAsia="方正小标宋简体"/>
          <w:sz w:val="44"/>
          <w:szCs w:val="44"/>
        </w:rPr>
        <w:t>三五年远景目标纲要</w:t>
      </w:r>
      <w:bookmarkEnd w:id="0"/>
    </w:p>
    <w:p w14:paraId="0158C170">
      <w:pPr>
        <w:jc w:val="center"/>
        <w:rPr>
          <w:rFonts w:ascii="方正小标宋简体" w:eastAsia="方正小标宋简体"/>
          <w:sz w:val="44"/>
          <w:szCs w:val="44"/>
        </w:rPr>
      </w:pPr>
      <w:r>
        <w:rPr>
          <w:rFonts w:hint="eastAsia" w:ascii="方正小标宋简体" w:eastAsia="方正小标宋简体"/>
          <w:sz w:val="44"/>
          <w:szCs w:val="44"/>
        </w:rPr>
        <w:t>的 通 知</w:t>
      </w:r>
    </w:p>
    <w:p w14:paraId="6AB21EE3">
      <w:pPr>
        <w:overflowPunct w:val="0"/>
        <w:adjustRightInd w:val="0"/>
        <w:spacing w:line="264" w:lineRule="auto"/>
        <w:ind w:firstLine="470" w:firstLineChars="200"/>
        <w:rPr>
          <w:rFonts w:ascii="仿宋_GB2312" w:hAnsi="仿宋_GB2312"/>
          <w:snapToGrid w:val="0"/>
          <w:sz w:val="24"/>
          <w:szCs w:val="24"/>
        </w:rPr>
      </w:pPr>
    </w:p>
    <w:p w14:paraId="1CA0E42D">
      <w:pPr>
        <w:overflowPunct w:val="0"/>
        <w:adjustRightInd w:val="0"/>
        <w:spacing w:line="300" w:lineRule="auto"/>
        <w:rPr>
          <w:rFonts w:ascii="仿宋_GB2312" w:hAnsi="仿宋_GB2312"/>
          <w:snapToGrid w:val="0"/>
          <w:spacing w:val="-8"/>
          <w:szCs w:val="32"/>
        </w:rPr>
      </w:pPr>
      <w:r>
        <w:rPr>
          <w:rFonts w:hint="eastAsia" w:ascii="仿宋_GB2312" w:hAnsi="仿宋_GB2312"/>
          <w:snapToGrid w:val="0"/>
          <w:spacing w:val="-8"/>
          <w:szCs w:val="32"/>
        </w:rPr>
        <w:t>各乡镇人民政府（街道办事处、园区管委会），县政府直属各单位：</w:t>
      </w:r>
    </w:p>
    <w:p w14:paraId="6B937834">
      <w:pPr>
        <w:overflowPunct w:val="0"/>
        <w:adjustRightInd w:val="0"/>
        <w:spacing w:line="300" w:lineRule="auto"/>
        <w:ind w:firstLine="630" w:firstLineChars="200"/>
        <w:rPr>
          <w:rFonts w:ascii="仿宋_GB2312"/>
          <w:snapToGrid w:val="0"/>
        </w:rPr>
      </w:pPr>
      <w:r>
        <w:rPr>
          <w:rFonts w:hint="eastAsia" w:ascii="仿宋_GB2312"/>
          <w:snapToGrid w:val="0"/>
        </w:rPr>
        <w:t>《长兴县国民经济和社会发展第十四个五年规划和二</w:t>
      </w:r>
      <w:r>
        <w:rPr>
          <w:rFonts w:hint="eastAsia" w:ascii="宋体" w:hAnsi="宋体" w:eastAsia="宋体" w:cs="宋体"/>
          <w:snapToGrid w:val="0"/>
        </w:rPr>
        <w:t>〇</w:t>
      </w:r>
      <w:r>
        <w:rPr>
          <w:rFonts w:hint="eastAsia" w:ascii="仿宋_GB2312"/>
          <w:snapToGrid w:val="0"/>
        </w:rPr>
        <w:t>三五年远景目标纲要》已经</w:t>
      </w:r>
      <w:r>
        <w:rPr>
          <w:rFonts w:ascii="仿宋_GB2312"/>
          <w:snapToGrid w:val="0"/>
        </w:rPr>
        <w:t>长兴县第十六届人民代表大会第五次会议</w:t>
      </w:r>
      <w:r>
        <w:rPr>
          <w:rFonts w:hint="eastAsia" w:ascii="仿宋_GB2312"/>
          <w:snapToGrid w:val="0"/>
        </w:rPr>
        <w:t>审议批准，现印发给你们，请认真贯彻落实。</w:t>
      </w:r>
    </w:p>
    <w:p w14:paraId="4EF8890C">
      <w:pPr>
        <w:overflowPunct w:val="0"/>
        <w:adjustRightInd w:val="0"/>
        <w:spacing w:line="319" w:lineRule="auto"/>
        <w:ind w:firstLine="470" w:firstLineChars="200"/>
        <w:rPr>
          <w:rFonts w:ascii="仿宋_GB2312"/>
          <w:snapToGrid w:val="0"/>
          <w:sz w:val="24"/>
          <w:szCs w:val="24"/>
        </w:rPr>
      </w:pPr>
    </w:p>
    <w:p w14:paraId="082794AB">
      <w:pPr>
        <w:overflowPunct w:val="0"/>
        <w:adjustRightInd w:val="0"/>
        <w:spacing w:line="240" w:lineRule="auto"/>
        <w:ind w:firstLine="210" w:firstLineChars="200"/>
        <w:rPr>
          <w:rFonts w:ascii="仿宋_GB2312"/>
          <w:snapToGrid w:val="0"/>
          <w:sz w:val="11"/>
          <w:szCs w:val="11"/>
        </w:rPr>
      </w:pPr>
    </w:p>
    <w:p w14:paraId="773E5391">
      <w:pPr>
        <w:overflowPunct w:val="0"/>
        <w:adjustRightInd w:val="0"/>
        <w:spacing w:line="319" w:lineRule="auto"/>
        <w:ind w:firstLine="470" w:firstLineChars="200"/>
        <w:rPr>
          <w:rFonts w:ascii="仿宋_GB2312"/>
          <w:snapToGrid w:val="0"/>
          <w:sz w:val="24"/>
          <w:szCs w:val="24"/>
        </w:rPr>
      </w:pPr>
    </w:p>
    <w:p w14:paraId="136CBFAB">
      <w:pPr>
        <w:tabs>
          <w:tab w:val="left" w:pos="5040"/>
          <w:tab w:val="left" w:pos="5278"/>
          <w:tab w:val="left" w:pos="7371"/>
          <w:tab w:val="left" w:pos="7513"/>
        </w:tabs>
        <w:overflowPunct w:val="0"/>
        <w:adjustRightInd w:val="0"/>
        <w:spacing w:line="288" w:lineRule="auto"/>
        <w:ind w:firstLine="5166" w:firstLineChars="1640"/>
        <w:rPr>
          <w:rFonts w:ascii="仿宋_GB2312" w:hAnsi="宋体" w:cs="宋体"/>
          <w:szCs w:val="32"/>
        </w:rPr>
      </w:pPr>
      <w:r>
        <w:rPr>
          <w:rFonts w:hint="eastAsia" w:ascii="仿宋_GB2312" w:hAnsi="宋体" w:cs="宋体"/>
          <w:szCs w:val="32"/>
        </w:rPr>
        <w:t>长兴县人民政府</w:t>
      </w:r>
    </w:p>
    <w:p w14:paraId="1235248C">
      <w:pPr>
        <w:tabs>
          <w:tab w:val="left" w:pos="7245"/>
          <w:tab w:val="left" w:pos="7350"/>
          <w:tab w:val="left" w:pos="7566"/>
        </w:tabs>
        <w:overflowPunct w:val="0"/>
        <w:adjustRightInd w:val="0"/>
        <w:spacing w:line="288" w:lineRule="auto"/>
        <w:ind w:right="1260" w:rightChars="400"/>
        <w:jc w:val="right"/>
        <w:rPr>
          <w:rFonts w:ascii="仿宋_GB2312"/>
          <w:szCs w:val="32"/>
        </w:rPr>
      </w:pPr>
      <w:r>
        <w:rPr>
          <w:rFonts w:hint="eastAsia" w:ascii="仿宋_GB2312"/>
          <w:szCs w:val="32"/>
        </w:rPr>
        <w:t>2021年3月23日</w:t>
      </w:r>
    </w:p>
    <w:p w14:paraId="264ACF67">
      <w:pPr>
        <w:overflowPunct w:val="0"/>
        <w:adjustRightInd w:val="0"/>
        <w:spacing w:line="324" w:lineRule="auto"/>
        <w:ind w:firstLine="630" w:firstLineChars="200"/>
        <w:rPr>
          <w:rFonts w:ascii="仿宋_GB2312"/>
          <w:snapToGrid w:val="0"/>
        </w:rPr>
      </w:pPr>
    </w:p>
    <w:p w14:paraId="6ED7BACA">
      <w:pPr>
        <w:overflowPunct w:val="0"/>
        <w:adjustRightInd w:val="0"/>
        <w:spacing w:line="324" w:lineRule="auto"/>
        <w:ind w:firstLine="630" w:firstLineChars="200"/>
        <w:rPr>
          <w:rFonts w:ascii="仿宋_GB2312"/>
          <w:snapToGrid w:val="0"/>
        </w:rPr>
      </w:pPr>
    </w:p>
    <w:p w14:paraId="73FA2EFB">
      <w:pPr>
        <w:overflowPunct w:val="0"/>
        <w:adjustRightInd w:val="0"/>
        <w:spacing w:line="324" w:lineRule="auto"/>
        <w:ind w:firstLine="630" w:firstLineChars="200"/>
        <w:rPr>
          <w:rFonts w:ascii="仿宋_GB2312"/>
          <w:snapToGrid w:val="0"/>
        </w:rPr>
      </w:pPr>
    </w:p>
    <w:p w14:paraId="39D0F230">
      <w:pPr>
        <w:overflowPunct w:val="0"/>
        <w:adjustRightInd w:val="0"/>
        <w:spacing w:line="324" w:lineRule="auto"/>
        <w:ind w:firstLine="630" w:firstLineChars="200"/>
        <w:rPr>
          <w:rFonts w:ascii="仿宋_GB2312"/>
          <w:snapToGrid w:val="0"/>
        </w:rPr>
      </w:pPr>
    </w:p>
    <w:p w14:paraId="646EE31C">
      <w:pPr>
        <w:overflowPunct w:val="0"/>
        <w:adjustRightInd w:val="0"/>
        <w:spacing w:line="324" w:lineRule="auto"/>
        <w:ind w:firstLine="630" w:firstLineChars="200"/>
        <w:rPr>
          <w:rFonts w:ascii="仿宋_GB2312"/>
          <w:snapToGrid w:val="0"/>
        </w:rPr>
      </w:pPr>
    </w:p>
    <w:p w14:paraId="61D6EB04">
      <w:pPr>
        <w:overflowPunct w:val="0"/>
        <w:adjustRightInd w:val="0"/>
        <w:spacing w:line="324" w:lineRule="auto"/>
        <w:ind w:firstLine="630" w:firstLineChars="200"/>
        <w:rPr>
          <w:rFonts w:ascii="仿宋_GB2312"/>
          <w:snapToGrid w:val="0"/>
        </w:rPr>
      </w:pPr>
    </w:p>
    <w:p w14:paraId="00EBBB73">
      <w:pPr>
        <w:overflowPunct w:val="0"/>
        <w:adjustRightInd w:val="0"/>
        <w:spacing w:line="324" w:lineRule="auto"/>
        <w:rPr>
          <w:rFonts w:ascii="仿宋_GB2312"/>
          <w:snapToGrid w:val="0"/>
          <w:sz w:val="21"/>
          <w:szCs w:val="21"/>
        </w:rPr>
      </w:pPr>
    </w:p>
    <w:p w14:paraId="055649E1">
      <w:pPr>
        <w:overflowPunct w:val="0"/>
        <w:adjustRightInd w:val="0"/>
        <w:spacing w:line="324" w:lineRule="auto"/>
        <w:rPr>
          <w:rFonts w:ascii="仿宋_GB2312"/>
          <w:snapToGrid w:val="0"/>
          <w:sz w:val="21"/>
          <w:szCs w:val="21"/>
        </w:rPr>
      </w:pPr>
    </w:p>
    <w:tbl>
      <w:tblPr>
        <w:tblStyle w:val="15"/>
        <w:tblW w:w="9547" w:type="dxa"/>
        <w:tblInd w:w="-242"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47"/>
      </w:tblGrid>
      <w:tr w14:paraId="4CD200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547" w:type="dxa"/>
          </w:tcPr>
          <w:p w14:paraId="2DFB630B">
            <w:pPr>
              <w:adjustRightInd w:val="0"/>
              <w:spacing w:line="360" w:lineRule="auto"/>
              <w:jc w:val="center"/>
              <w:rPr>
                <w:rFonts w:ascii="方正小标宋简体" w:hAnsi="Calibri" w:eastAsia="方正小标宋简体"/>
                <w:sz w:val="64"/>
                <w:szCs w:val="52"/>
              </w:rPr>
            </w:pPr>
            <w:r>
              <w:rPr>
                <w:rFonts w:hint="eastAsia" w:ascii="方正小标宋简体" w:hAnsi="Calibri" w:eastAsia="方正小标宋简体"/>
                <w:sz w:val="64"/>
                <w:szCs w:val="52"/>
              </w:rPr>
              <w:t>长兴县国民经济和社会发展</w:t>
            </w:r>
          </w:p>
          <w:p w14:paraId="08772E8D">
            <w:pPr>
              <w:overflowPunct w:val="0"/>
              <w:adjustRightInd w:val="0"/>
              <w:spacing w:line="360" w:lineRule="auto"/>
              <w:jc w:val="center"/>
              <w:rPr>
                <w:rFonts w:ascii="仿宋_GB2312"/>
                <w:snapToGrid w:val="0"/>
              </w:rPr>
            </w:pPr>
            <w:r>
              <w:rPr>
                <w:rFonts w:hint="eastAsia" w:ascii="方正小标宋简体" w:hAnsi="Calibri" w:eastAsia="方正小标宋简体"/>
                <w:sz w:val="64"/>
                <w:szCs w:val="52"/>
              </w:rPr>
              <w:t>第十四个五年规划和二</w:t>
            </w:r>
            <w:r>
              <w:rPr>
                <w:rFonts w:hint="eastAsia" w:ascii="宋体" w:hAnsi="宋体" w:eastAsia="宋体" w:cs="宋体"/>
                <w:sz w:val="64"/>
                <w:szCs w:val="52"/>
              </w:rPr>
              <w:t>〇</w:t>
            </w:r>
            <w:r>
              <w:rPr>
                <w:rFonts w:hint="eastAsia" w:ascii="方正小标宋简体" w:hAnsi="方正小标宋简体" w:eastAsia="方正小标宋简体" w:cs="方正小标宋简体"/>
                <w:sz w:val="64"/>
                <w:szCs w:val="52"/>
              </w:rPr>
              <w:t>三五年远景目标</w:t>
            </w:r>
            <w:r>
              <w:rPr>
                <w:rFonts w:hint="eastAsia" w:ascii="方正小标宋简体" w:hAnsi="Calibri" w:eastAsia="方正小标宋简体"/>
                <w:sz w:val="64"/>
                <w:szCs w:val="52"/>
              </w:rPr>
              <w:t>纲要</w:t>
            </w:r>
          </w:p>
        </w:tc>
      </w:tr>
    </w:tbl>
    <w:p w14:paraId="3A461506">
      <w:pPr>
        <w:overflowPunct w:val="0"/>
        <w:adjustRightInd w:val="0"/>
        <w:spacing w:line="324" w:lineRule="auto"/>
        <w:ind w:firstLine="630" w:firstLineChars="200"/>
        <w:rPr>
          <w:rFonts w:ascii="仿宋_GB2312"/>
          <w:snapToGrid w:val="0"/>
        </w:rPr>
      </w:pPr>
    </w:p>
    <w:p w14:paraId="6D37ACA0">
      <w:pPr>
        <w:overflowPunct w:val="0"/>
        <w:adjustRightInd w:val="0"/>
        <w:spacing w:line="324" w:lineRule="auto"/>
        <w:ind w:firstLine="630" w:firstLineChars="200"/>
        <w:rPr>
          <w:rFonts w:ascii="仿宋_GB2312"/>
          <w:snapToGrid w:val="0"/>
        </w:rPr>
      </w:pPr>
    </w:p>
    <w:p w14:paraId="0BDE4A70">
      <w:pPr>
        <w:overflowPunct w:val="0"/>
        <w:adjustRightInd w:val="0"/>
        <w:spacing w:line="324" w:lineRule="auto"/>
        <w:ind w:firstLine="630" w:firstLineChars="200"/>
        <w:rPr>
          <w:rFonts w:ascii="仿宋_GB2312"/>
          <w:snapToGrid w:val="0"/>
        </w:rPr>
      </w:pPr>
    </w:p>
    <w:p w14:paraId="5C77EFCA">
      <w:pPr>
        <w:overflowPunct w:val="0"/>
        <w:adjustRightInd w:val="0"/>
        <w:spacing w:line="324" w:lineRule="auto"/>
        <w:ind w:firstLine="630" w:firstLineChars="200"/>
        <w:rPr>
          <w:rFonts w:ascii="仿宋_GB2312"/>
          <w:snapToGrid w:val="0"/>
        </w:rPr>
      </w:pPr>
    </w:p>
    <w:p w14:paraId="63B7DBD0">
      <w:pPr>
        <w:overflowPunct w:val="0"/>
        <w:adjustRightInd w:val="0"/>
        <w:spacing w:line="324" w:lineRule="auto"/>
        <w:ind w:firstLine="630" w:firstLineChars="200"/>
        <w:rPr>
          <w:rFonts w:ascii="仿宋_GB2312"/>
          <w:snapToGrid w:val="0"/>
        </w:rPr>
      </w:pPr>
    </w:p>
    <w:p w14:paraId="308D5450">
      <w:pPr>
        <w:overflowPunct w:val="0"/>
        <w:adjustRightInd w:val="0"/>
        <w:spacing w:line="324" w:lineRule="auto"/>
        <w:rPr>
          <w:rFonts w:ascii="仿宋_GB2312"/>
          <w:snapToGrid w:val="0"/>
        </w:rPr>
      </w:pPr>
    </w:p>
    <w:p w14:paraId="18B37841">
      <w:pPr>
        <w:overflowPunct w:val="0"/>
        <w:adjustRightInd w:val="0"/>
        <w:spacing w:line="324" w:lineRule="auto"/>
        <w:rPr>
          <w:rFonts w:ascii="仿宋_GB2312"/>
          <w:snapToGrid w:val="0"/>
          <w:sz w:val="13"/>
          <w:szCs w:val="13"/>
        </w:rPr>
      </w:pPr>
    </w:p>
    <w:p w14:paraId="0CA1301E">
      <w:pPr>
        <w:overflowPunct w:val="0"/>
        <w:adjustRightInd w:val="0"/>
        <w:spacing w:line="324" w:lineRule="auto"/>
        <w:ind w:firstLine="630" w:firstLineChars="200"/>
        <w:jc w:val="center"/>
        <w:rPr>
          <w:rFonts w:ascii="楷体_GB2312" w:eastAsia="楷体_GB2312"/>
          <w:b/>
          <w:snapToGrid w:val="0"/>
        </w:rPr>
      </w:pPr>
      <w:r>
        <w:rPr>
          <w:rFonts w:hint="eastAsia" w:ascii="楷体_GB2312" w:eastAsia="楷体_GB2312"/>
          <w:b/>
        </w:rPr>
        <w:t>二</w:t>
      </w:r>
      <w:r>
        <w:rPr>
          <w:rFonts w:hint="eastAsia" w:ascii="宋体" w:hAnsi="宋体" w:eastAsia="宋体" w:cs="宋体"/>
          <w:b/>
        </w:rPr>
        <w:t>〇</w:t>
      </w:r>
      <w:r>
        <w:rPr>
          <w:rFonts w:hint="eastAsia" w:ascii="楷体_GB2312" w:eastAsia="楷体_GB2312"/>
          <w:b/>
        </w:rPr>
        <w:t>二一年三月</w:t>
      </w:r>
    </w:p>
    <w:p w14:paraId="0B6AF16C">
      <w:pPr>
        <w:overflowPunct w:val="0"/>
        <w:adjustRightInd w:val="0"/>
        <w:spacing w:line="324" w:lineRule="auto"/>
        <w:jc w:val="center"/>
        <w:rPr>
          <w:rFonts w:ascii="仿宋_GB2312"/>
          <w:snapToGrid w:val="0"/>
        </w:rPr>
      </w:pPr>
      <w:r>
        <w:rPr>
          <w:rFonts w:eastAsia="黑体"/>
          <w:sz w:val="44"/>
          <w:szCs w:val="44"/>
          <w:lang w:val="zh-CN"/>
        </w:rPr>
        <w:t xml:space="preserve">目   </w:t>
      </w:r>
      <w:r>
        <w:rPr>
          <w:rFonts w:hint="eastAsia" w:eastAsia="黑体"/>
          <w:sz w:val="44"/>
          <w:szCs w:val="44"/>
          <w:lang w:val="zh-CN"/>
        </w:rPr>
        <w:t xml:space="preserve"> </w:t>
      </w:r>
      <w:r>
        <w:rPr>
          <w:rFonts w:eastAsia="黑体"/>
          <w:sz w:val="44"/>
          <w:szCs w:val="44"/>
          <w:lang w:val="zh-CN"/>
        </w:rPr>
        <w:t>录</w:t>
      </w:r>
    </w:p>
    <w:p w14:paraId="2CED5F93">
      <w:pPr>
        <w:overflowPunct w:val="0"/>
        <w:adjustRightInd w:val="0"/>
        <w:spacing w:line="324" w:lineRule="auto"/>
        <w:ind w:firstLine="630" w:firstLineChars="200"/>
        <w:rPr>
          <w:rFonts w:ascii="仿宋_GB2312"/>
          <w:snapToGrid w:val="0"/>
        </w:rPr>
      </w:pPr>
    </w:p>
    <w:p w14:paraId="6618D30E">
      <w:pPr>
        <w:pStyle w:val="10"/>
        <w:tabs>
          <w:tab w:val="right" w:leader="dot" w:pos="8834"/>
        </w:tabs>
        <w:adjustRightInd w:val="0"/>
        <w:snapToGrid w:val="0"/>
        <w:spacing w:line="324" w:lineRule="auto"/>
        <w:rPr>
          <w:kern w:val="2"/>
          <w:sz w:val="21"/>
        </w:rPr>
      </w:pPr>
      <w:r>
        <w:rPr>
          <w:rFonts w:ascii="仿宋_GB2312"/>
          <w:snapToGrid w:val="0"/>
        </w:rPr>
        <w:fldChar w:fldCharType="begin"/>
      </w:r>
      <w:r>
        <w:rPr>
          <w:rFonts w:ascii="仿宋_GB2312"/>
          <w:snapToGrid w:val="0"/>
        </w:rPr>
        <w:instrText xml:space="preserve"> TOC \o "1-3" \h \z \u </w:instrText>
      </w:r>
      <w:r>
        <w:rPr>
          <w:rFonts w:ascii="仿宋_GB2312"/>
          <w:snapToGrid w:val="0"/>
        </w:rPr>
        <w:fldChar w:fldCharType="separate"/>
      </w:r>
      <w:r>
        <w:fldChar w:fldCharType="begin"/>
      </w:r>
      <w:r>
        <w:instrText xml:space="preserve"> HYPERLINK \l "_Toc67664560" </w:instrText>
      </w:r>
      <w:r>
        <w:fldChar w:fldCharType="separate"/>
      </w:r>
      <w:r>
        <w:rPr>
          <w:rStyle w:val="19"/>
          <w:rFonts w:hint="eastAsia" w:ascii="黑体" w:hAnsi="黑体" w:eastAsia="黑体"/>
          <w:snapToGrid w:val="0"/>
          <w:sz w:val="32"/>
          <w:szCs w:val="32"/>
        </w:rPr>
        <w:t>一、开启高水平</w:t>
      </w:r>
      <w:r>
        <w:rPr>
          <w:rStyle w:val="19"/>
          <w:rFonts w:hint="eastAsia" w:ascii="黑体" w:hAnsi="黑体" w:eastAsia="黑体"/>
          <w:snapToGrid w:val="0"/>
          <w:sz w:val="32"/>
          <w:szCs w:val="32"/>
          <w:lang w:eastAsia="zh-CN"/>
        </w:rPr>
        <w:t>全面建设社会主义现代化国家新征程</w:t>
      </w:r>
      <w:r>
        <w:rPr>
          <w:rStyle w:val="19"/>
          <w:rFonts w:hint="eastAsia" w:ascii="黑体" w:hAnsi="黑体" w:eastAsia="黑体"/>
          <w:snapToGrid w:val="0"/>
          <w:sz w:val="32"/>
          <w:szCs w:val="32"/>
        </w:rPr>
        <w:t>，奋力争创长三角社会主义现代化先行县</w:t>
      </w:r>
      <w:r>
        <w:tab/>
      </w:r>
      <w:r>
        <w:rPr>
          <w:rStyle w:val="19"/>
        </w:rPr>
        <w:fldChar w:fldCharType="begin"/>
      </w:r>
      <w:r>
        <w:instrText xml:space="preserve"> PAGEREF _Toc67664560 \h </w:instrText>
      </w:r>
      <w:r>
        <w:rPr>
          <w:rStyle w:val="19"/>
        </w:rPr>
        <w:fldChar w:fldCharType="separate"/>
      </w:r>
      <w:r>
        <w:t>6</w:t>
      </w:r>
      <w:r>
        <w:rPr>
          <w:rStyle w:val="19"/>
        </w:rPr>
        <w:fldChar w:fldCharType="end"/>
      </w:r>
      <w:r>
        <w:rPr>
          <w:rStyle w:val="19"/>
        </w:rPr>
        <w:fldChar w:fldCharType="end"/>
      </w:r>
    </w:p>
    <w:p w14:paraId="3456AA9A">
      <w:pPr>
        <w:pStyle w:val="12"/>
        <w:rPr>
          <w:kern w:val="2"/>
          <w:sz w:val="21"/>
        </w:rPr>
      </w:pPr>
      <w:r>
        <w:fldChar w:fldCharType="begin"/>
      </w:r>
      <w:r>
        <w:instrText xml:space="preserve"> HYPERLINK \l "_Toc67664561" </w:instrText>
      </w:r>
      <w:r>
        <w:fldChar w:fldCharType="separate"/>
      </w:r>
      <w:r>
        <w:rPr>
          <w:rStyle w:val="19"/>
          <w:rFonts w:hint="eastAsia" w:ascii="楷体_GB2312" w:eastAsia="楷体_GB2312"/>
          <w:snapToGrid w:val="0"/>
          <w:sz w:val="32"/>
          <w:szCs w:val="32"/>
        </w:rPr>
        <w:t>（一）高水平全面小康社会县域典范建设取得重大成果</w:t>
      </w:r>
      <w:r>
        <w:tab/>
      </w:r>
      <w:r>
        <w:rPr>
          <w:rStyle w:val="19"/>
        </w:rPr>
        <w:fldChar w:fldCharType="begin"/>
      </w:r>
      <w:r>
        <w:instrText xml:space="preserve"> PAGEREF _Toc67664561 \h </w:instrText>
      </w:r>
      <w:r>
        <w:rPr>
          <w:rStyle w:val="19"/>
        </w:rPr>
        <w:fldChar w:fldCharType="separate"/>
      </w:r>
      <w:r>
        <w:t>6</w:t>
      </w:r>
      <w:r>
        <w:rPr>
          <w:rStyle w:val="19"/>
        </w:rPr>
        <w:fldChar w:fldCharType="end"/>
      </w:r>
      <w:r>
        <w:rPr>
          <w:rStyle w:val="19"/>
        </w:rPr>
        <w:fldChar w:fldCharType="end"/>
      </w:r>
    </w:p>
    <w:p w14:paraId="6D17DBFB">
      <w:pPr>
        <w:pStyle w:val="12"/>
        <w:rPr>
          <w:kern w:val="2"/>
          <w:sz w:val="21"/>
        </w:rPr>
      </w:pPr>
      <w:r>
        <w:fldChar w:fldCharType="begin"/>
      </w:r>
      <w:r>
        <w:instrText xml:space="preserve"> HYPERLINK \l "_Toc67664562" </w:instrText>
      </w:r>
      <w:r>
        <w:fldChar w:fldCharType="separate"/>
      </w:r>
      <w:r>
        <w:rPr>
          <w:rStyle w:val="19"/>
          <w:rFonts w:hint="eastAsia" w:ascii="楷体_GB2312" w:eastAsia="楷体_GB2312"/>
          <w:snapToGrid w:val="0"/>
          <w:sz w:val="32"/>
          <w:szCs w:val="32"/>
        </w:rPr>
        <w:t>（二）新发展阶段面临的新机遇新挑战</w:t>
      </w:r>
      <w:r>
        <w:tab/>
      </w:r>
      <w:r>
        <w:rPr>
          <w:rStyle w:val="19"/>
        </w:rPr>
        <w:fldChar w:fldCharType="begin"/>
      </w:r>
      <w:r>
        <w:instrText xml:space="preserve"> PAGEREF _Toc67664562 \h </w:instrText>
      </w:r>
      <w:r>
        <w:rPr>
          <w:rStyle w:val="19"/>
        </w:rPr>
        <w:fldChar w:fldCharType="separate"/>
      </w:r>
      <w:r>
        <w:t>7</w:t>
      </w:r>
      <w:r>
        <w:rPr>
          <w:rStyle w:val="19"/>
        </w:rPr>
        <w:fldChar w:fldCharType="end"/>
      </w:r>
      <w:r>
        <w:rPr>
          <w:rStyle w:val="19"/>
        </w:rPr>
        <w:fldChar w:fldCharType="end"/>
      </w:r>
    </w:p>
    <w:p w14:paraId="4007C762">
      <w:pPr>
        <w:pStyle w:val="12"/>
        <w:rPr>
          <w:kern w:val="2"/>
          <w:sz w:val="21"/>
        </w:rPr>
      </w:pPr>
      <w:r>
        <w:fldChar w:fldCharType="begin"/>
      </w:r>
      <w:r>
        <w:instrText xml:space="preserve"> HYPERLINK \l "_Toc67664563" </w:instrText>
      </w:r>
      <w:r>
        <w:fldChar w:fldCharType="separate"/>
      </w:r>
      <w:r>
        <w:rPr>
          <w:rStyle w:val="19"/>
          <w:rFonts w:hint="eastAsia" w:ascii="楷体_GB2312" w:eastAsia="楷体_GB2312"/>
          <w:snapToGrid w:val="0"/>
          <w:sz w:val="32"/>
          <w:szCs w:val="32"/>
        </w:rPr>
        <w:t>（三）</w:t>
      </w:r>
      <w:r>
        <w:rPr>
          <w:rStyle w:val="19"/>
          <w:rFonts w:ascii="楷体_GB2312" w:eastAsia="楷体_GB2312"/>
          <w:snapToGrid w:val="0"/>
          <w:sz w:val="32"/>
          <w:szCs w:val="32"/>
        </w:rPr>
        <w:t>2035</w:t>
      </w:r>
      <w:r>
        <w:rPr>
          <w:rStyle w:val="19"/>
          <w:rFonts w:hint="eastAsia" w:ascii="楷体_GB2312" w:eastAsia="楷体_GB2312"/>
          <w:snapToGrid w:val="0"/>
          <w:sz w:val="32"/>
          <w:szCs w:val="32"/>
        </w:rPr>
        <w:t>年远景目标</w:t>
      </w:r>
      <w:r>
        <w:tab/>
      </w:r>
      <w:r>
        <w:rPr>
          <w:rStyle w:val="19"/>
        </w:rPr>
        <w:fldChar w:fldCharType="begin"/>
      </w:r>
      <w:r>
        <w:instrText xml:space="preserve"> PAGEREF _Toc67664563 \h </w:instrText>
      </w:r>
      <w:r>
        <w:rPr>
          <w:rStyle w:val="19"/>
        </w:rPr>
        <w:fldChar w:fldCharType="separate"/>
      </w:r>
      <w:r>
        <w:t>8</w:t>
      </w:r>
      <w:r>
        <w:rPr>
          <w:rStyle w:val="19"/>
        </w:rPr>
        <w:fldChar w:fldCharType="end"/>
      </w:r>
      <w:r>
        <w:rPr>
          <w:rStyle w:val="19"/>
        </w:rPr>
        <w:fldChar w:fldCharType="end"/>
      </w:r>
    </w:p>
    <w:p w14:paraId="412B2AD5">
      <w:pPr>
        <w:pStyle w:val="12"/>
        <w:rPr>
          <w:kern w:val="2"/>
          <w:sz w:val="21"/>
        </w:rPr>
      </w:pPr>
      <w:r>
        <w:fldChar w:fldCharType="begin"/>
      </w:r>
      <w:r>
        <w:instrText xml:space="preserve"> HYPERLINK \l "_Toc67664564" </w:instrText>
      </w:r>
      <w:r>
        <w:fldChar w:fldCharType="separate"/>
      </w:r>
      <w:r>
        <w:rPr>
          <w:rStyle w:val="19"/>
          <w:rFonts w:hint="eastAsia" w:ascii="楷体_GB2312" w:eastAsia="楷体_GB2312"/>
          <w:snapToGrid w:val="0"/>
          <w:sz w:val="32"/>
          <w:szCs w:val="32"/>
        </w:rPr>
        <w:t>（四）“十四五”时期经济社会发展的指导思想</w:t>
      </w:r>
      <w:r>
        <w:tab/>
      </w:r>
      <w:r>
        <w:rPr>
          <w:rStyle w:val="19"/>
        </w:rPr>
        <w:fldChar w:fldCharType="begin"/>
      </w:r>
      <w:r>
        <w:instrText xml:space="preserve"> PAGEREF _Toc67664564 \h </w:instrText>
      </w:r>
      <w:r>
        <w:rPr>
          <w:rStyle w:val="19"/>
        </w:rPr>
        <w:fldChar w:fldCharType="separate"/>
      </w:r>
      <w:r>
        <w:t>10</w:t>
      </w:r>
      <w:r>
        <w:rPr>
          <w:rStyle w:val="19"/>
        </w:rPr>
        <w:fldChar w:fldCharType="end"/>
      </w:r>
      <w:r>
        <w:rPr>
          <w:rStyle w:val="19"/>
        </w:rPr>
        <w:fldChar w:fldCharType="end"/>
      </w:r>
    </w:p>
    <w:p w14:paraId="1A33B5E7">
      <w:pPr>
        <w:pStyle w:val="12"/>
        <w:rPr>
          <w:kern w:val="2"/>
          <w:sz w:val="21"/>
        </w:rPr>
      </w:pPr>
      <w:r>
        <w:fldChar w:fldCharType="begin"/>
      </w:r>
      <w:r>
        <w:instrText xml:space="preserve"> HYPERLINK \l "_Toc67664565" </w:instrText>
      </w:r>
      <w:r>
        <w:fldChar w:fldCharType="separate"/>
      </w:r>
      <w:r>
        <w:rPr>
          <w:rStyle w:val="19"/>
          <w:rFonts w:hint="eastAsia" w:ascii="楷体_GB2312" w:eastAsia="楷体_GB2312"/>
          <w:snapToGrid w:val="0"/>
          <w:sz w:val="32"/>
          <w:szCs w:val="32"/>
        </w:rPr>
        <w:t>（五）“十四五”时期经济社会发展的主要目标</w:t>
      </w:r>
      <w:r>
        <w:tab/>
      </w:r>
      <w:r>
        <w:rPr>
          <w:rStyle w:val="19"/>
        </w:rPr>
        <w:fldChar w:fldCharType="begin"/>
      </w:r>
      <w:r>
        <w:instrText xml:space="preserve"> PAGEREF _Toc67664565 \h </w:instrText>
      </w:r>
      <w:r>
        <w:rPr>
          <w:rStyle w:val="19"/>
        </w:rPr>
        <w:fldChar w:fldCharType="separate"/>
      </w:r>
      <w:r>
        <w:t>10</w:t>
      </w:r>
      <w:r>
        <w:rPr>
          <w:rStyle w:val="19"/>
        </w:rPr>
        <w:fldChar w:fldCharType="end"/>
      </w:r>
      <w:r>
        <w:rPr>
          <w:rStyle w:val="19"/>
        </w:rPr>
        <w:fldChar w:fldCharType="end"/>
      </w:r>
    </w:p>
    <w:p w14:paraId="53EA6691">
      <w:pPr>
        <w:pStyle w:val="10"/>
        <w:tabs>
          <w:tab w:val="right" w:leader="dot" w:pos="8834"/>
        </w:tabs>
        <w:adjustRightInd w:val="0"/>
        <w:snapToGrid w:val="0"/>
        <w:spacing w:line="324" w:lineRule="auto"/>
        <w:rPr>
          <w:kern w:val="2"/>
          <w:sz w:val="21"/>
        </w:rPr>
      </w:pPr>
      <w:r>
        <w:fldChar w:fldCharType="begin"/>
      </w:r>
      <w:r>
        <w:instrText xml:space="preserve"> HYPERLINK \l "_Toc67664566" </w:instrText>
      </w:r>
      <w:r>
        <w:fldChar w:fldCharType="separate"/>
      </w:r>
      <w:r>
        <w:rPr>
          <w:rStyle w:val="19"/>
          <w:rFonts w:hint="eastAsia" w:ascii="黑体" w:hAnsi="黑体" w:eastAsia="黑体"/>
          <w:snapToGrid w:val="0"/>
          <w:sz w:val="32"/>
          <w:szCs w:val="32"/>
        </w:rPr>
        <w:t>二、深入推进数字经济“一号工程”，加快形成以绿色智造为特色的现代产业体系，打造长三角产业发展新高地</w:t>
      </w:r>
      <w:r>
        <w:tab/>
      </w:r>
      <w:r>
        <w:rPr>
          <w:rStyle w:val="19"/>
        </w:rPr>
        <w:fldChar w:fldCharType="begin"/>
      </w:r>
      <w:r>
        <w:instrText xml:space="preserve"> PAGEREF _Toc67664566 \h </w:instrText>
      </w:r>
      <w:r>
        <w:rPr>
          <w:rStyle w:val="19"/>
        </w:rPr>
        <w:fldChar w:fldCharType="separate"/>
      </w:r>
      <w:r>
        <w:t>16</w:t>
      </w:r>
      <w:r>
        <w:rPr>
          <w:rStyle w:val="19"/>
        </w:rPr>
        <w:fldChar w:fldCharType="end"/>
      </w:r>
      <w:r>
        <w:rPr>
          <w:rStyle w:val="19"/>
        </w:rPr>
        <w:fldChar w:fldCharType="end"/>
      </w:r>
    </w:p>
    <w:p w14:paraId="2828C016">
      <w:pPr>
        <w:pStyle w:val="12"/>
        <w:rPr>
          <w:kern w:val="2"/>
          <w:sz w:val="21"/>
        </w:rPr>
      </w:pPr>
      <w:r>
        <w:fldChar w:fldCharType="begin"/>
      </w:r>
      <w:r>
        <w:instrText xml:space="preserve"> HYPERLINK \l "_Toc67664567" </w:instrText>
      </w:r>
      <w:r>
        <w:fldChar w:fldCharType="separate"/>
      </w:r>
      <w:r>
        <w:rPr>
          <w:rStyle w:val="19"/>
          <w:rFonts w:hint="eastAsia" w:ascii="楷体_GB2312" w:eastAsia="楷体_GB2312"/>
          <w:snapToGrid w:val="0"/>
          <w:sz w:val="32"/>
          <w:szCs w:val="32"/>
        </w:rPr>
        <w:t>（一）建设全国一流工业强县</w:t>
      </w:r>
      <w:r>
        <w:tab/>
      </w:r>
      <w:r>
        <w:rPr>
          <w:rStyle w:val="19"/>
        </w:rPr>
        <w:fldChar w:fldCharType="begin"/>
      </w:r>
      <w:r>
        <w:instrText xml:space="preserve"> PAGEREF _Toc67664567 \h </w:instrText>
      </w:r>
      <w:r>
        <w:rPr>
          <w:rStyle w:val="19"/>
        </w:rPr>
        <w:fldChar w:fldCharType="separate"/>
      </w:r>
      <w:r>
        <w:t>16</w:t>
      </w:r>
      <w:r>
        <w:rPr>
          <w:rStyle w:val="19"/>
        </w:rPr>
        <w:fldChar w:fldCharType="end"/>
      </w:r>
      <w:r>
        <w:rPr>
          <w:rStyle w:val="19"/>
        </w:rPr>
        <w:fldChar w:fldCharType="end"/>
      </w:r>
    </w:p>
    <w:p w14:paraId="27FF4A77">
      <w:pPr>
        <w:pStyle w:val="12"/>
        <w:rPr>
          <w:kern w:val="2"/>
          <w:sz w:val="21"/>
        </w:rPr>
      </w:pPr>
      <w:r>
        <w:fldChar w:fldCharType="begin"/>
      </w:r>
      <w:r>
        <w:instrText xml:space="preserve"> HYPERLINK \l "_Toc67664568" </w:instrText>
      </w:r>
      <w:r>
        <w:fldChar w:fldCharType="separate"/>
      </w:r>
      <w:r>
        <w:rPr>
          <w:rStyle w:val="19"/>
          <w:rFonts w:hint="eastAsia" w:ascii="楷体_GB2312" w:eastAsia="楷体_GB2312"/>
          <w:snapToGrid w:val="0"/>
          <w:sz w:val="32"/>
          <w:szCs w:val="32"/>
        </w:rPr>
        <w:t>（二）打造全省“绿色智造”典范</w:t>
      </w:r>
      <w:r>
        <w:tab/>
      </w:r>
      <w:r>
        <w:rPr>
          <w:rStyle w:val="19"/>
        </w:rPr>
        <w:fldChar w:fldCharType="begin"/>
      </w:r>
      <w:r>
        <w:instrText xml:space="preserve"> PAGEREF _Toc67664568 \h </w:instrText>
      </w:r>
      <w:r>
        <w:rPr>
          <w:rStyle w:val="19"/>
        </w:rPr>
        <w:fldChar w:fldCharType="separate"/>
      </w:r>
      <w:r>
        <w:t>19</w:t>
      </w:r>
      <w:r>
        <w:rPr>
          <w:rStyle w:val="19"/>
        </w:rPr>
        <w:fldChar w:fldCharType="end"/>
      </w:r>
      <w:r>
        <w:rPr>
          <w:rStyle w:val="19"/>
        </w:rPr>
        <w:fldChar w:fldCharType="end"/>
      </w:r>
    </w:p>
    <w:p w14:paraId="6582C63B">
      <w:pPr>
        <w:pStyle w:val="12"/>
        <w:rPr>
          <w:kern w:val="2"/>
          <w:sz w:val="21"/>
        </w:rPr>
      </w:pPr>
      <w:r>
        <w:fldChar w:fldCharType="begin"/>
      </w:r>
      <w:r>
        <w:instrText xml:space="preserve"> HYPERLINK \l "_Toc67664569" </w:instrText>
      </w:r>
      <w:r>
        <w:fldChar w:fldCharType="separate"/>
      </w:r>
      <w:r>
        <w:rPr>
          <w:rStyle w:val="19"/>
          <w:rFonts w:hint="eastAsia" w:ascii="楷体_GB2312" w:eastAsia="楷体_GB2312"/>
          <w:snapToGrid w:val="0"/>
          <w:sz w:val="32"/>
          <w:szCs w:val="32"/>
        </w:rPr>
        <w:t>（三）建设全省服务业融合发展样板</w:t>
      </w:r>
      <w:r>
        <w:tab/>
      </w:r>
      <w:r>
        <w:rPr>
          <w:rStyle w:val="19"/>
        </w:rPr>
        <w:fldChar w:fldCharType="begin"/>
      </w:r>
      <w:r>
        <w:instrText xml:space="preserve"> PAGEREF _Toc67664569 \h </w:instrText>
      </w:r>
      <w:r>
        <w:rPr>
          <w:rStyle w:val="19"/>
        </w:rPr>
        <w:fldChar w:fldCharType="separate"/>
      </w:r>
      <w:r>
        <w:t>20</w:t>
      </w:r>
      <w:r>
        <w:rPr>
          <w:rStyle w:val="19"/>
        </w:rPr>
        <w:fldChar w:fldCharType="end"/>
      </w:r>
      <w:r>
        <w:rPr>
          <w:rStyle w:val="19"/>
        </w:rPr>
        <w:fldChar w:fldCharType="end"/>
      </w:r>
    </w:p>
    <w:p w14:paraId="23BA2F18">
      <w:pPr>
        <w:pStyle w:val="12"/>
        <w:rPr>
          <w:kern w:val="2"/>
          <w:sz w:val="21"/>
        </w:rPr>
      </w:pPr>
      <w:r>
        <w:fldChar w:fldCharType="begin"/>
      </w:r>
      <w:r>
        <w:instrText xml:space="preserve"> HYPERLINK \l "_Toc67664570" </w:instrText>
      </w:r>
      <w:r>
        <w:fldChar w:fldCharType="separate"/>
      </w:r>
      <w:r>
        <w:rPr>
          <w:rStyle w:val="19"/>
          <w:rFonts w:hint="eastAsia" w:ascii="楷体_GB2312" w:eastAsia="楷体_GB2312"/>
          <w:snapToGrid w:val="0"/>
          <w:sz w:val="32"/>
          <w:szCs w:val="32"/>
        </w:rPr>
        <w:t>（四）整合打造全省高能级战略平台</w:t>
      </w:r>
      <w:r>
        <w:tab/>
      </w:r>
      <w:r>
        <w:rPr>
          <w:rStyle w:val="19"/>
        </w:rPr>
        <w:fldChar w:fldCharType="begin"/>
      </w:r>
      <w:r>
        <w:instrText xml:space="preserve"> PAGEREF _Toc67664570 \h </w:instrText>
      </w:r>
      <w:r>
        <w:rPr>
          <w:rStyle w:val="19"/>
        </w:rPr>
        <w:fldChar w:fldCharType="separate"/>
      </w:r>
      <w:r>
        <w:t>22</w:t>
      </w:r>
      <w:r>
        <w:rPr>
          <w:rStyle w:val="19"/>
        </w:rPr>
        <w:fldChar w:fldCharType="end"/>
      </w:r>
      <w:r>
        <w:rPr>
          <w:rStyle w:val="19"/>
        </w:rPr>
        <w:fldChar w:fldCharType="end"/>
      </w:r>
    </w:p>
    <w:p w14:paraId="0BB12161">
      <w:pPr>
        <w:pStyle w:val="10"/>
        <w:tabs>
          <w:tab w:val="right" w:leader="dot" w:pos="8834"/>
        </w:tabs>
        <w:adjustRightInd w:val="0"/>
        <w:snapToGrid w:val="0"/>
        <w:spacing w:line="324" w:lineRule="auto"/>
        <w:rPr>
          <w:kern w:val="2"/>
          <w:sz w:val="21"/>
        </w:rPr>
      </w:pPr>
      <w:r>
        <w:fldChar w:fldCharType="begin"/>
      </w:r>
      <w:r>
        <w:instrText xml:space="preserve"> HYPERLINK \l "_Toc67664571" </w:instrText>
      </w:r>
      <w:r>
        <w:fldChar w:fldCharType="separate"/>
      </w:r>
      <w:r>
        <w:rPr>
          <w:rStyle w:val="19"/>
          <w:rFonts w:hint="eastAsia" w:ascii="黑体" w:hAnsi="黑体" w:eastAsia="黑体"/>
          <w:snapToGrid w:val="0"/>
          <w:sz w:val="32"/>
          <w:szCs w:val="32"/>
        </w:rPr>
        <w:t>三、高水平推进国家创新型县建设，深入实施人才强县和创新强县战略，打造长三角创新发展新高地</w:t>
      </w:r>
      <w:r>
        <w:tab/>
      </w:r>
      <w:r>
        <w:rPr>
          <w:rStyle w:val="19"/>
        </w:rPr>
        <w:fldChar w:fldCharType="begin"/>
      </w:r>
      <w:r>
        <w:instrText xml:space="preserve"> PAGEREF _Toc67664571 \h </w:instrText>
      </w:r>
      <w:r>
        <w:rPr>
          <w:rStyle w:val="19"/>
        </w:rPr>
        <w:fldChar w:fldCharType="separate"/>
      </w:r>
      <w:r>
        <w:t>24</w:t>
      </w:r>
      <w:r>
        <w:rPr>
          <w:rStyle w:val="19"/>
        </w:rPr>
        <w:fldChar w:fldCharType="end"/>
      </w:r>
      <w:r>
        <w:rPr>
          <w:rStyle w:val="19"/>
        </w:rPr>
        <w:fldChar w:fldCharType="end"/>
      </w:r>
    </w:p>
    <w:p w14:paraId="37796154">
      <w:pPr>
        <w:pStyle w:val="12"/>
        <w:rPr>
          <w:kern w:val="2"/>
          <w:sz w:val="21"/>
        </w:rPr>
      </w:pPr>
      <w:r>
        <w:fldChar w:fldCharType="begin"/>
      </w:r>
      <w:r>
        <w:instrText xml:space="preserve"> HYPERLINK \l "_Toc67664572" </w:instrText>
      </w:r>
      <w:r>
        <w:fldChar w:fldCharType="separate"/>
      </w:r>
      <w:r>
        <w:rPr>
          <w:rStyle w:val="19"/>
          <w:rFonts w:hint="eastAsia" w:ascii="楷体_GB2312" w:eastAsia="楷体_GB2312"/>
          <w:snapToGrid w:val="0"/>
          <w:sz w:val="32"/>
          <w:szCs w:val="32"/>
        </w:rPr>
        <w:t>（一）全方位打造人才集聚新高地</w:t>
      </w:r>
      <w:r>
        <w:tab/>
      </w:r>
      <w:r>
        <w:rPr>
          <w:rStyle w:val="19"/>
        </w:rPr>
        <w:fldChar w:fldCharType="begin"/>
      </w:r>
      <w:r>
        <w:instrText xml:space="preserve"> PAGEREF _Toc67664572 \h </w:instrText>
      </w:r>
      <w:r>
        <w:rPr>
          <w:rStyle w:val="19"/>
        </w:rPr>
        <w:fldChar w:fldCharType="separate"/>
      </w:r>
      <w:r>
        <w:t>24</w:t>
      </w:r>
      <w:r>
        <w:rPr>
          <w:rStyle w:val="19"/>
        </w:rPr>
        <w:fldChar w:fldCharType="end"/>
      </w:r>
      <w:r>
        <w:rPr>
          <w:rStyle w:val="19"/>
        </w:rPr>
        <w:fldChar w:fldCharType="end"/>
      </w:r>
    </w:p>
    <w:p w14:paraId="0A17F90B">
      <w:pPr>
        <w:pStyle w:val="12"/>
        <w:rPr>
          <w:kern w:val="2"/>
          <w:sz w:val="21"/>
        </w:rPr>
      </w:pPr>
      <w:r>
        <w:fldChar w:fldCharType="begin"/>
      </w:r>
      <w:r>
        <w:instrText xml:space="preserve"> HYPERLINK \l "_Toc67664573" </w:instrText>
      </w:r>
      <w:r>
        <w:fldChar w:fldCharType="separate"/>
      </w:r>
      <w:r>
        <w:rPr>
          <w:rStyle w:val="19"/>
          <w:rFonts w:hint="eastAsia" w:ascii="楷体_GB2312" w:eastAsia="楷体_GB2312"/>
          <w:snapToGrid w:val="0"/>
          <w:sz w:val="32"/>
          <w:szCs w:val="32"/>
        </w:rPr>
        <w:t>（二）建设长三角最具活力的创新企业集群</w:t>
      </w:r>
      <w:r>
        <w:tab/>
      </w:r>
      <w:r>
        <w:rPr>
          <w:rStyle w:val="19"/>
        </w:rPr>
        <w:fldChar w:fldCharType="begin"/>
      </w:r>
      <w:r>
        <w:instrText xml:space="preserve"> PAGEREF _Toc67664573 \h </w:instrText>
      </w:r>
      <w:r>
        <w:rPr>
          <w:rStyle w:val="19"/>
        </w:rPr>
        <w:fldChar w:fldCharType="separate"/>
      </w:r>
      <w:r>
        <w:t>26</w:t>
      </w:r>
      <w:r>
        <w:rPr>
          <w:rStyle w:val="19"/>
        </w:rPr>
        <w:fldChar w:fldCharType="end"/>
      </w:r>
      <w:r>
        <w:rPr>
          <w:rStyle w:val="19"/>
        </w:rPr>
        <w:fldChar w:fldCharType="end"/>
      </w:r>
    </w:p>
    <w:p w14:paraId="4131E740">
      <w:pPr>
        <w:pStyle w:val="12"/>
        <w:rPr>
          <w:kern w:val="2"/>
          <w:sz w:val="21"/>
        </w:rPr>
      </w:pPr>
      <w:r>
        <w:fldChar w:fldCharType="begin"/>
      </w:r>
      <w:r>
        <w:instrText xml:space="preserve"> HYPERLINK \l "_Toc67664574" </w:instrText>
      </w:r>
      <w:r>
        <w:fldChar w:fldCharType="separate"/>
      </w:r>
      <w:r>
        <w:rPr>
          <w:rStyle w:val="19"/>
          <w:rFonts w:hint="eastAsia" w:ascii="楷体_GB2312" w:eastAsia="楷体_GB2312"/>
          <w:snapToGrid w:val="0"/>
          <w:sz w:val="32"/>
          <w:szCs w:val="32"/>
        </w:rPr>
        <w:t>（三）打造开放共享的创新发展平台</w:t>
      </w:r>
      <w:r>
        <w:tab/>
      </w:r>
      <w:r>
        <w:rPr>
          <w:rStyle w:val="19"/>
        </w:rPr>
        <w:fldChar w:fldCharType="begin"/>
      </w:r>
      <w:r>
        <w:instrText xml:space="preserve"> PAGEREF _Toc67664574 \h </w:instrText>
      </w:r>
      <w:r>
        <w:rPr>
          <w:rStyle w:val="19"/>
        </w:rPr>
        <w:fldChar w:fldCharType="separate"/>
      </w:r>
      <w:r>
        <w:t>28</w:t>
      </w:r>
      <w:r>
        <w:rPr>
          <w:rStyle w:val="19"/>
        </w:rPr>
        <w:fldChar w:fldCharType="end"/>
      </w:r>
      <w:r>
        <w:rPr>
          <w:rStyle w:val="19"/>
        </w:rPr>
        <w:fldChar w:fldCharType="end"/>
      </w:r>
    </w:p>
    <w:p w14:paraId="33ED356F">
      <w:pPr>
        <w:pStyle w:val="12"/>
        <w:rPr>
          <w:kern w:val="2"/>
          <w:sz w:val="21"/>
        </w:rPr>
      </w:pPr>
      <w:r>
        <w:fldChar w:fldCharType="begin"/>
      </w:r>
      <w:r>
        <w:instrText xml:space="preserve"> HYPERLINK \l "_Toc67664575" </w:instrText>
      </w:r>
      <w:r>
        <w:fldChar w:fldCharType="separate"/>
      </w:r>
      <w:r>
        <w:rPr>
          <w:rStyle w:val="19"/>
          <w:rFonts w:hint="eastAsia" w:ascii="楷体_GB2312" w:eastAsia="楷体_GB2312"/>
          <w:snapToGrid w:val="0"/>
          <w:sz w:val="32"/>
          <w:szCs w:val="32"/>
        </w:rPr>
        <w:t>（四）营造活力迸发的创新生态</w:t>
      </w:r>
      <w:r>
        <w:tab/>
      </w:r>
      <w:r>
        <w:rPr>
          <w:rStyle w:val="19"/>
        </w:rPr>
        <w:fldChar w:fldCharType="begin"/>
      </w:r>
      <w:r>
        <w:instrText xml:space="preserve"> PAGEREF _Toc67664575 \h </w:instrText>
      </w:r>
      <w:r>
        <w:rPr>
          <w:rStyle w:val="19"/>
        </w:rPr>
        <w:fldChar w:fldCharType="separate"/>
      </w:r>
      <w:r>
        <w:t>29</w:t>
      </w:r>
      <w:r>
        <w:rPr>
          <w:rStyle w:val="19"/>
        </w:rPr>
        <w:fldChar w:fldCharType="end"/>
      </w:r>
      <w:r>
        <w:rPr>
          <w:rStyle w:val="19"/>
        </w:rPr>
        <w:fldChar w:fldCharType="end"/>
      </w:r>
    </w:p>
    <w:p w14:paraId="32599320">
      <w:pPr>
        <w:pStyle w:val="10"/>
        <w:tabs>
          <w:tab w:val="right" w:leader="dot" w:pos="8834"/>
        </w:tabs>
        <w:adjustRightInd w:val="0"/>
        <w:snapToGrid w:val="0"/>
        <w:spacing w:line="324" w:lineRule="auto"/>
        <w:rPr>
          <w:kern w:val="2"/>
          <w:sz w:val="21"/>
        </w:rPr>
      </w:pPr>
      <w:r>
        <w:fldChar w:fldCharType="begin"/>
      </w:r>
      <w:r>
        <w:instrText xml:space="preserve"> HYPERLINK \l "_Toc67664576" </w:instrText>
      </w:r>
      <w:r>
        <w:fldChar w:fldCharType="separate"/>
      </w:r>
      <w:r>
        <w:rPr>
          <w:rStyle w:val="19"/>
          <w:rFonts w:hint="eastAsia" w:ascii="黑体" w:hAnsi="黑体" w:eastAsia="黑体"/>
          <w:snapToGrid w:val="0"/>
          <w:sz w:val="32"/>
          <w:szCs w:val="32"/>
        </w:rPr>
        <w:t>四、统筹用好国际国内两个市场，主动服务融入新发展格局，打造长三角开放发展新高地</w:t>
      </w:r>
      <w:r>
        <w:tab/>
      </w:r>
      <w:r>
        <w:rPr>
          <w:rStyle w:val="19"/>
        </w:rPr>
        <w:fldChar w:fldCharType="begin"/>
      </w:r>
      <w:r>
        <w:instrText xml:space="preserve"> PAGEREF _Toc67664576 \h </w:instrText>
      </w:r>
      <w:r>
        <w:rPr>
          <w:rStyle w:val="19"/>
        </w:rPr>
        <w:fldChar w:fldCharType="separate"/>
      </w:r>
      <w:r>
        <w:t>31</w:t>
      </w:r>
      <w:r>
        <w:rPr>
          <w:rStyle w:val="19"/>
        </w:rPr>
        <w:fldChar w:fldCharType="end"/>
      </w:r>
      <w:r>
        <w:rPr>
          <w:rStyle w:val="19"/>
        </w:rPr>
        <w:fldChar w:fldCharType="end"/>
      </w:r>
    </w:p>
    <w:p w14:paraId="0F6F7F87">
      <w:pPr>
        <w:pStyle w:val="12"/>
        <w:rPr>
          <w:kern w:val="2"/>
          <w:sz w:val="21"/>
        </w:rPr>
      </w:pPr>
      <w:r>
        <w:fldChar w:fldCharType="begin"/>
      </w:r>
      <w:r>
        <w:instrText xml:space="preserve"> HYPERLINK \l "_Toc67664577" </w:instrText>
      </w:r>
      <w:r>
        <w:fldChar w:fldCharType="separate"/>
      </w:r>
      <w:r>
        <w:rPr>
          <w:rStyle w:val="19"/>
          <w:rFonts w:hint="eastAsia" w:ascii="楷体_GB2312" w:eastAsia="楷体_GB2312"/>
          <w:snapToGrid w:val="0"/>
          <w:sz w:val="32"/>
          <w:szCs w:val="32"/>
        </w:rPr>
        <w:t>（一）打造长三角高质量产业项目集聚地</w:t>
      </w:r>
      <w:r>
        <w:tab/>
      </w:r>
      <w:r>
        <w:rPr>
          <w:rStyle w:val="19"/>
        </w:rPr>
        <w:fldChar w:fldCharType="begin"/>
      </w:r>
      <w:r>
        <w:instrText xml:space="preserve"> PAGEREF _Toc67664577 \h </w:instrText>
      </w:r>
      <w:r>
        <w:rPr>
          <w:rStyle w:val="19"/>
        </w:rPr>
        <w:fldChar w:fldCharType="separate"/>
      </w:r>
      <w:r>
        <w:t>31</w:t>
      </w:r>
      <w:r>
        <w:rPr>
          <w:rStyle w:val="19"/>
        </w:rPr>
        <w:fldChar w:fldCharType="end"/>
      </w:r>
      <w:r>
        <w:rPr>
          <w:rStyle w:val="19"/>
        </w:rPr>
        <w:fldChar w:fldCharType="end"/>
      </w:r>
    </w:p>
    <w:p w14:paraId="3C35E381">
      <w:pPr>
        <w:pStyle w:val="12"/>
        <w:rPr>
          <w:kern w:val="2"/>
          <w:sz w:val="21"/>
        </w:rPr>
      </w:pPr>
      <w:r>
        <w:fldChar w:fldCharType="begin"/>
      </w:r>
      <w:r>
        <w:instrText xml:space="preserve"> HYPERLINK \l "_Toc67664578" </w:instrText>
      </w:r>
      <w:r>
        <w:fldChar w:fldCharType="separate"/>
      </w:r>
      <w:r>
        <w:rPr>
          <w:rStyle w:val="19"/>
          <w:rFonts w:hint="eastAsia" w:ascii="楷体_GB2312" w:eastAsia="楷体_GB2312"/>
          <w:snapToGrid w:val="0"/>
          <w:sz w:val="32"/>
          <w:szCs w:val="32"/>
        </w:rPr>
        <w:t>（二）打造“浙里来消费”示范样板</w:t>
      </w:r>
      <w:r>
        <w:tab/>
      </w:r>
      <w:r>
        <w:rPr>
          <w:rStyle w:val="19"/>
        </w:rPr>
        <w:fldChar w:fldCharType="begin"/>
      </w:r>
      <w:r>
        <w:instrText xml:space="preserve"> PAGEREF _Toc67664578 \h </w:instrText>
      </w:r>
      <w:r>
        <w:rPr>
          <w:rStyle w:val="19"/>
        </w:rPr>
        <w:fldChar w:fldCharType="separate"/>
      </w:r>
      <w:r>
        <w:t>32</w:t>
      </w:r>
      <w:r>
        <w:rPr>
          <w:rStyle w:val="19"/>
        </w:rPr>
        <w:fldChar w:fldCharType="end"/>
      </w:r>
      <w:r>
        <w:rPr>
          <w:rStyle w:val="19"/>
        </w:rPr>
        <w:fldChar w:fldCharType="end"/>
      </w:r>
    </w:p>
    <w:p w14:paraId="5ACD1A92">
      <w:pPr>
        <w:pStyle w:val="12"/>
        <w:rPr>
          <w:kern w:val="2"/>
          <w:sz w:val="21"/>
        </w:rPr>
      </w:pPr>
      <w:r>
        <w:fldChar w:fldCharType="begin"/>
      </w:r>
      <w:r>
        <w:instrText xml:space="preserve"> HYPERLINK \l "_Toc67664579" </w:instrText>
      </w:r>
      <w:r>
        <w:fldChar w:fldCharType="separate"/>
      </w:r>
      <w:r>
        <w:rPr>
          <w:rStyle w:val="19"/>
          <w:rFonts w:hint="eastAsia" w:ascii="楷体_GB2312" w:eastAsia="楷体_GB2312"/>
          <w:snapToGrid w:val="0"/>
          <w:sz w:val="32"/>
          <w:szCs w:val="32"/>
        </w:rPr>
        <w:t>（三）积极参与“一带一路”重要枢纽建设</w:t>
      </w:r>
      <w:r>
        <w:tab/>
      </w:r>
      <w:r>
        <w:rPr>
          <w:rStyle w:val="19"/>
        </w:rPr>
        <w:fldChar w:fldCharType="begin"/>
      </w:r>
      <w:r>
        <w:instrText xml:space="preserve"> PAGEREF _Toc67664579 \h </w:instrText>
      </w:r>
      <w:r>
        <w:rPr>
          <w:rStyle w:val="19"/>
        </w:rPr>
        <w:fldChar w:fldCharType="separate"/>
      </w:r>
      <w:r>
        <w:t>34</w:t>
      </w:r>
      <w:r>
        <w:rPr>
          <w:rStyle w:val="19"/>
        </w:rPr>
        <w:fldChar w:fldCharType="end"/>
      </w:r>
      <w:r>
        <w:rPr>
          <w:rStyle w:val="19"/>
        </w:rPr>
        <w:fldChar w:fldCharType="end"/>
      </w:r>
    </w:p>
    <w:p w14:paraId="60507C8B">
      <w:pPr>
        <w:pStyle w:val="12"/>
        <w:rPr>
          <w:kern w:val="2"/>
          <w:sz w:val="21"/>
        </w:rPr>
      </w:pPr>
      <w:r>
        <w:fldChar w:fldCharType="begin"/>
      </w:r>
      <w:r>
        <w:instrText xml:space="preserve"> HYPERLINK \l "_Toc67664580" </w:instrText>
      </w:r>
      <w:r>
        <w:fldChar w:fldCharType="separate"/>
      </w:r>
      <w:r>
        <w:rPr>
          <w:rStyle w:val="19"/>
          <w:rFonts w:hint="eastAsia" w:ascii="楷体_GB2312" w:eastAsia="楷体_GB2312"/>
          <w:snapToGrid w:val="0"/>
          <w:sz w:val="32"/>
          <w:szCs w:val="32"/>
        </w:rPr>
        <w:t>（四）深入实施区域合作发展战略</w:t>
      </w:r>
      <w:r>
        <w:tab/>
      </w:r>
      <w:r>
        <w:rPr>
          <w:rStyle w:val="19"/>
        </w:rPr>
        <w:fldChar w:fldCharType="begin"/>
      </w:r>
      <w:r>
        <w:instrText xml:space="preserve"> PAGEREF _Toc67664580 \h </w:instrText>
      </w:r>
      <w:r>
        <w:rPr>
          <w:rStyle w:val="19"/>
        </w:rPr>
        <w:fldChar w:fldCharType="separate"/>
      </w:r>
      <w:r>
        <w:t>35</w:t>
      </w:r>
      <w:r>
        <w:rPr>
          <w:rStyle w:val="19"/>
        </w:rPr>
        <w:fldChar w:fldCharType="end"/>
      </w:r>
      <w:r>
        <w:rPr>
          <w:rStyle w:val="19"/>
        </w:rPr>
        <w:fldChar w:fldCharType="end"/>
      </w:r>
    </w:p>
    <w:p w14:paraId="719406C3">
      <w:pPr>
        <w:pStyle w:val="12"/>
        <w:rPr>
          <w:kern w:val="2"/>
          <w:sz w:val="21"/>
        </w:rPr>
      </w:pPr>
      <w:r>
        <w:fldChar w:fldCharType="begin"/>
      </w:r>
      <w:r>
        <w:instrText xml:space="preserve"> HYPERLINK \l "_Toc67664581" </w:instrText>
      </w:r>
      <w:r>
        <w:fldChar w:fldCharType="separate"/>
      </w:r>
      <w:r>
        <w:rPr>
          <w:rStyle w:val="19"/>
          <w:rFonts w:hint="eastAsia" w:ascii="楷体_GB2312" w:eastAsia="楷体_GB2312"/>
          <w:snapToGrid w:val="0"/>
          <w:sz w:val="32"/>
          <w:szCs w:val="32"/>
        </w:rPr>
        <w:t>（五）加快构建公平开放高效的市场体系</w:t>
      </w:r>
      <w:r>
        <w:tab/>
      </w:r>
      <w:r>
        <w:rPr>
          <w:rStyle w:val="19"/>
        </w:rPr>
        <w:fldChar w:fldCharType="begin"/>
      </w:r>
      <w:r>
        <w:instrText xml:space="preserve"> PAGEREF _Toc67664581 \h </w:instrText>
      </w:r>
      <w:r>
        <w:rPr>
          <w:rStyle w:val="19"/>
        </w:rPr>
        <w:fldChar w:fldCharType="separate"/>
      </w:r>
      <w:r>
        <w:t>37</w:t>
      </w:r>
      <w:r>
        <w:rPr>
          <w:rStyle w:val="19"/>
        </w:rPr>
        <w:fldChar w:fldCharType="end"/>
      </w:r>
      <w:r>
        <w:rPr>
          <w:rStyle w:val="19"/>
        </w:rPr>
        <w:fldChar w:fldCharType="end"/>
      </w:r>
    </w:p>
    <w:p w14:paraId="728B982E">
      <w:pPr>
        <w:pStyle w:val="10"/>
        <w:tabs>
          <w:tab w:val="right" w:leader="dot" w:pos="8834"/>
        </w:tabs>
        <w:adjustRightInd w:val="0"/>
        <w:snapToGrid w:val="0"/>
        <w:spacing w:line="324" w:lineRule="auto"/>
        <w:rPr>
          <w:kern w:val="2"/>
          <w:sz w:val="21"/>
        </w:rPr>
      </w:pPr>
      <w:r>
        <w:fldChar w:fldCharType="begin"/>
      </w:r>
      <w:r>
        <w:instrText xml:space="preserve"> HYPERLINK \l "_Toc67664582" </w:instrText>
      </w:r>
      <w:r>
        <w:fldChar w:fldCharType="separate"/>
      </w:r>
      <w:r>
        <w:rPr>
          <w:rStyle w:val="19"/>
          <w:rFonts w:hint="eastAsia" w:ascii="黑体" w:hAnsi="黑体" w:eastAsia="黑体"/>
          <w:snapToGrid w:val="0"/>
          <w:sz w:val="32"/>
          <w:szCs w:val="32"/>
        </w:rPr>
        <w:t>五、坚定不移走以人为核心的新型城镇化道路，协调推进新型城镇化和乡村振兴，打造城乡融合现代化先行地</w:t>
      </w:r>
      <w:r>
        <w:tab/>
      </w:r>
      <w:r>
        <w:rPr>
          <w:rStyle w:val="19"/>
        </w:rPr>
        <w:fldChar w:fldCharType="begin"/>
      </w:r>
      <w:r>
        <w:instrText xml:space="preserve"> PAGEREF _Toc67664582 \h </w:instrText>
      </w:r>
      <w:r>
        <w:rPr>
          <w:rStyle w:val="19"/>
        </w:rPr>
        <w:fldChar w:fldCharType="separate"/>
      </w:r>
      <w:r>
        <w:t>40</w:t>
      </w:r>
      <w:r>
        <w:rPr>
          <w:rStyle w:val="19"/>
        </w:rPr>
        <w:fldChar w:fldCharType="end"/>
      </w:r>
      <w:r>
        <w:rPr>
          <w:rStyle w:val="19"/>
        </w:rPr>
        <w:fldChar w:fldCharType="end"/>
      </w:r>
    </w:p>
    <w:p w14:paraId="5600A196">
      <w:pPr>
        <w:pStyle w:val="12"/>
        <w:rPr>
          <w:kern w:val="2"/>
          <w:sz w:val="21"/>
        </w:rPr>
      </w:pPr>
      <w:r>
        <w:fldChar w:fldCharType="begin"/>
      </w:r>
      <w:r>
        <w:instrText xml:space="preserve"> HYPERLINK \l "_Toc67664583" </w:instrText>
      </w:r>
      <w:r>
        <w:fldChar w:fldCharType="separate"/>
      </w:r>
      <w:r>
        <w:rPr>
          <w:rStyle w:val="19"/>
          <w:rFonts w:hint="eastAsia" w:ascii="楷体_GB2312" w:eastAsia="楷体_GB2312"/>
          <w:snapToGrid w:val="0"/>
          <w:sz w:val="32"/>
          <w:szCs w:val="32"/>
        </w:rPr>
        <w:t>（一）优化完善县域发展空间格局</w:t>
      </w:r>
      <w:r>
        <w:tab/>
      </w:r>
      <w:r>
        <w:rPr>
          <w:rStyle w:val="19"/>
        </w:rPr>
        <w:fldChar w:fldCharType="begin"/>
      </w:r>
      <w:r>
        <w:instrText xml:space="preserve"> PAGEREF _Toc67664583 \h </w:instrText>
      </w:r>
      <w:r>
        <w:rPr>
          <w:rStyle w:val="19"/>
        </w:rPr>
        <w:fldChar w:fldCharType="separate"/>
      </w:r>
      <w:r>
        <w:t>41</w:t>
      </w:r>
      <w:r>
        <w:rPr>
          <w:rStyle w:val="19"/>
        </w:rPr>
        <w:fldChar w:fldCharType="end"/>
      </w:r>
      <w:r>
        <w:rPr>
          <w:rStyle w:val="19"/>
        </w:rPr>
        <w:fldChar w:fldCharType="end"/>
      </w:r>
    </w:p>
    <w:p w14:paraId="49B59877">
      <w:pPr>
        <w:pStyle w:val="12"/>
        <w:rPr>
          <w:kern w:val="2"/>
          <w:sz w:val="21"/>
        </w:rPr>
      </w:pPr>
      <w:r>
        <w:fldChar w:fldCharType="begin"/>
      </w:r>
      <w:r>
        <w:instrText xml:space="preserve"> HYPERLINK \l "_Toc67664584" </w:instrText>
      </w:r>
      <w:r>
        <w:fldChar w:fldCharType="separate"/>
      </w:r>
      <w:r>
        <w:rPr>
          <w:rStyle w:val="19"/>
          <w:rFonts w:hint="eastAsia" w:ascii="楷体_GB2312" w:eastAsia="楷体_GB2312"/>
          <w:snapToGrid w:val="0"/>
          <w:sz w:val="32"/>
          <w:szCs w:val="32"/>
        </w:rPr>
        <w:t>（二）高标准建设长三角现代化美丽城市</w:t>
      </w:r>
      <w:r>
        <w:tab/>
      </w:r>
      <w:r>
        <w:rPr>
          <w:rStyle w:val="19"/>
        </w:rPr>
        <w:fldChar w:fldCharType="begin"/>
      </w:r>
      <w:r>
        <w:instrText xml:space="preserve"> PAGEREF _Toc67664584 \h </w:instrText>
      </w:r>
      <w:r>
        <w:rPr>
          <w:rStyle w:val="19"/>
        </w:rPr>
        <w:fldChar w:fldCharType="separate"/>
      </w:r>
      <w:r>
        <w:t>43</w:t>
      </w:r>
      <w:r>
        <w:rPr>
          <w:rStyle w:val="19"/>
        </w:rPr>
        <w:fldChar w:fldCharType="end"/>
      </w:r>
      <w:r>
        <w:rPr>
          <w:rStyle w:val="19"/>
        </w:rPr>
        <w:fldChar w:fldCharType="end"/>
      </w:r>
    </w:p>
    <w:p w14:paraId="4C8F8C5B">
      <w:pPr>
        <w:pStyle w:val="12"/>
        <w:rPr>
          <w:kern w:val="2"/>
          <w:sz w:val="21"/>
        </w:rPr>
      </w:pPr>
      <w:r>
        <w:fldChar w:fldCharType="begin"/>
      </w:r>
      <w:r>
        <w:instrText xml:space="preserve"> HYPERLINK \l "_Toc67664585" </w:instrText>
      </w:r>
      <w:r>
        <w:fldChar w:fldCharType="separate"/>
      </w:r>
      <w:r>
        <w:rPr>
          <w:rStyle w:val="19"/>
          <w:rFonts w:hint="eastAsia" w:ascii="楷体_GB2312" w:eastAsia="楷体_GB2312"/>
          <w:snapToGrid w:val="0"/>
          <w:sz w:val="32"/>
          <w:szCs w:val="32"/>
        </w:rPr>
        <w:t>（三）全力打造农业农村现代化全国先行示范县</w:t>
      </w:r>
      <w:r>
        <w:tab/>
      </w:r>
      <w:r>
        <w:rPr>
          <w:rStyle w:val="19"/>
        </w:rPr>
        <w:fldChar w:fldCharType="begin"/>
      </w:r>
      <w:r>
        <w:instrText xml:space="preserve"> PAGEREF _Toc67664585 \h </w:instrText>
      </w:r>
      <w:r>
        <w:rPr>
          <w:rStyle w:val="19"/>
        </w:rPr>
        <w:fldChar w:fldCharType="separate"/>
      </w:r>
      <w:r>
        <w:t>44</w:t>
      </w:r>
      <w:r>
        <w:rPr>
          <w:rStyle w:val="19"/>
        </w:rPr>
        <w:fldChar w:fldCharType="end"/>
      </w:r>
      <w:r>
        <w:rPr>
          <w:rStyle w:val="19"/>
        </w:rPr>
        <w:fldChar w:fldCharType="end"/>
      </w:r>
    </w:p>
    <w:p w14:paraId="2B35FBFA">
      <w:pPr>
        <w:pStyle w:val="12"/>
        <w:rPr>
          <w:kern w:val="2"/>
          <w:sz w:val="21"/>
        </w:rPr>
      </w:pPr>
      <w:r>
        <w:fldChar w:fldCharType="begin"/>
      </w:r>
      <w:r>
        <w:instrText xml:space="preserve"> HYPERLINK \l "_Toc67664586" </w:instrText>
      </w:r>
      <w:r>
        <w:fldChar w:fldCharType="separate"/>
      </w:r>
      <w:r>
        <w:rPr>
          <w:rStyle w:val="19"/>
          <w:rFonts w:hint="eastAsia" w:ascii="楷体_GB2312" w:eastAsia="楷体_GB2312"/>
          <w:snapToGrid w:val="0"/>
          <w:sz w:val="32"/>
          <w:szCs w:val="32"/>
        </w:rPr>
        <w:t>（四）全力打造“美丽中国”“美丽浙江”先行示范区</w:t>
      </w:r>
      <w:r>
        <w:tab/>
      </w:r>
      <w:r>
        <w:rPr>
          <w:rStyle w:val="19"/>
        </w:rPr>
        <w:fldChar w:fldCharType="begin"/>
      </w:r>
      <w:r>
        <w:instrText xml:space="preserve"> PAGEREF _Toc67664586 \h </w:instrText>
      </w:r>
      <w:r>
        <w:rPr>
          <w:rStyle w:val="19"/>
        </w:rPr>
        <w:fldChar w:fldCharType="separate"/>
      </w:r>
      <w:r>
        <w:t>47</w:t>
      </w:r>
      <w:r>
        <w:rPr>
          <w:rStyle w:val="19"/>
        </w:rPr>
        <w:fldChar w:fldCharType="end"/>
      </w:r>
      <w:r>
        <w:rPr>
          <w:rStyle w:val="19"/>
        </w:rPr>
        <w:fldChar w:fldCharType="end"/>
      </w:r>
    </w:p>
    <w:p w14:paraId="06024B54">
      <w:pPr>
        <w:pStyle w:val="12"/>
        <w:rPr>
          <w:kern w:val="2"/>
          <w:sz w:val="21"/>
        </w:rPr>
      </w:pPr>
      <w:r>
        <w:fldChar w:fldCharType="begin"/>
      </w:r>
      <w:r>
        <w:instrText xml:space="preserve"> HYPERLINK \l "_Toc67664587" </w:instrText>
      </w:r>
      <w:r>
        <w:fldChar w:fldCharType="separate"/>
      </w:r>
      <w:r>
        <w:rPr>
          <w:rStyle w:val="19"/>
          <w:rFonts w:hint="eastAsia" w:ascii="楷体_GB2312" w:eastAsia="楷体_GB2312"/>
          <w:snapToGrid w:val="0"/>
          <w:sz w:val="32"/>
          <w:szCs w:val="32"/>
        </w:rPr>
        <w:t>（五）完善现代化基础设施体系</w:t>
      </w:r>
      <w:r>
        <w:tab/>
      </w:r>
      <w:r>
        <w:rPr>
          <w:rStyle w:val="19"/>
        </w:rPr>
        <w:fldChar w:fldCharType="begin"/>
      </w:r>
      <w:r>
        <w:instrText xml:space="preserve"> PAGEREF _Toc67664587 \h </w:instrText>
      </w:r>
      <w:r>
        <w:rPr>
          <w:rStyle w:val="19"/>
        </w:rPr>
        <w:fldChar w:fldCharType="separate"/>
      </w:r>
      <w:r>
        <w:t>50</w:t>
      </w:r>
      <w:r>
        <w:rPr>
          <w:rStyle w:val="19"/>
        </w:rPr>
        <w:fldChar w:fldCharType="end"/>
      </w:r>
      <w:r>
        <w:rPr>
          <w:rStyle w:val="19"/>
        </w:rPr>
        <w:fldChar w:fldCharType="end"/>
      </w:r>
    </w:p>
    <w:p w14:paraId="25174A41">
      <w:pPr>
        <w:pStyle w:val="10"/>
        <w:tabs>
          <w:tab w:val="right" w:leader="dot" w:pos="8834"/>
        </w:tabs>
        <w:adjustRightInd w:val="0"/>
        <w:snapToGrid w:val="0"/>
        <w:spacing w:line="324" w:lineRule="auto"/>
        <w:rPr>
          <w:kern w:val="2"/>
          <w:sz w:val="21"/>
        </w:rPr>
      </w:pPr>
      <w:r>
        <w:fldChar w:fldCharType="begin"/>
      </w:r>
      <w:r>
        <w:instrText xml:space="preserve"> HYPERLINK \l "_Toc67664588" </w:instrText>
      </w:r>
      <w:r>
        <w:fldChar w:fldCharType="separate"/>
      </w:r>
      <w:r>
        <w:rPr>
          <w:rStyle w:val="19"/>
          <w:rFonts w:hint="eastAsia" w:ascii="黑体" w:hAnsi="黑体" w:eastAsia="黑体"/>
          <w:snapToGrid w:val="0"/>
          <w:sz w:val="32"/>
          <w:szCs w:val="32"/>
        </w:rPr>
        <w:t>六、坚持共建共治共享共同富裕，促进人的全面发展和社会全面进步，打造美好生活现代化先行地</w:t>
      </w:r>
      <w:r>
        <w:tab/>
      </w:r>
      <w:r>
        <w:rPr>
          <w:rStyle w:val="19"/>
        </w:rPr>
        <w:fldChar w:fldCharType="begin"/>
      </w:r>
      <w:r>
        <w:instrText xml:space="preserve"> PAGEREF _Toc67664588 \h </w:instrText>
      </w:r>
      <w:r>
        <w:rPr>
          <w:rStyle w:val="19"/>
        </w:rPr>
        <w:fldChar w:fldCharType="separate"/>
      </w:r>
      <w:r>
        <w:t>52</w:t>
      </w:r>
      <w:r>
        <w:rPr>
          <w:rStyle w:val="19"/>
        </w:rPr>
        <w:fldChar w:fldCharType="end"/>
      </w:r>
      <w:r>
        <w:rPr>
          <w:rStyle w:val="19"/>
        </w:rPr>
        <w:fldChar w:fldCharType="end"/>
      </w:r>
    </w:p>
    <w:p w14:paraId="5BCCFC17">
      <w:pPr>
        <w:pStyle w:val="12"/>
        <w:rPr>
          <w:kern w:val="2"/>
          <w:sz w:val="21"/>
        </w:rPr>
      </w:pPr>
      <w:r>
        <w:fldChar w:fldCharType="begin"/>
      </w:r>
      <w:r>
        <w:instrText xml:space="preserve"> HYPERLINK \l "_Toc67664589" </w:instrText>
      </w:r>
      <w:r>
        <w:fldChar w:fldCharType="separate"/>
      </w:r>
      <w:r>
        <w:rPr>
          <w:rStyle w:val="19"/>
          <w:rFonts w:hint="eastAsia" w:ascii="楷体_GB2312" w:eastAsia="楷体_GB2312"/>
          <w:snapToGrid w:val="0"/>
          <w:sz w:val="32"/>
          <w:szCs w:val="32"/>
        </w:rPr>
        <w:t>（一）全力营造更加充分更高质量就业创业环境</w:t>
      </w:r>
      <w:r>
        <w:tab/>
      </w:r>
      <w:r>
        <w:rPr>
          <w:rStyle w:val="19"/>
        </w:rPr>
        <w:fldChar w:fldCharType="begin"/>
      </w:r>
      <w:r>
        <w:instrText xml:space="preserve"> PAGEREF _Toc67664589 \h </w:instrText>
      </w:r>
      <w:r>
        <w:rPr>
          <w:rStyle w:val="19"/>
        </w:rPr>
        <w:fldChar w:fldCharType="separate"/>
      </w:r>
      <w:r>
        <w:t>52</w:t>
      </w:r>
      <w:r>
        <w:rPr>
          <w:rStyle w:val="19"/>
        </w:rPr>
        <w:fldChar w:fldCharType="end"/>
      </w:r>
      <w:r>
        <w:rPr>
          <w:rStyle w:val="19"/>
        </w:rPr>
        <w:fldChar w:fldCharType="end"/>
      </w:r>
    </w:p>
    <w:p w14:paraId="0D5B8C7F">
      <w:pPr>
        <w:pStyle w:val="12"/>
        <w:rPr>
          <w:kern w:val="2"/>
          <w:sz w:val="21"/>
        </w:rPr>
      </w:pPr>
      <w:r>
        <w:fldChar w:fldCharType="begin"/>
      </w:r>
      <w:r>
        <w:instrText xml:space="preserve"> HYPERLINK \l "_Toc67664590" </w:instrText>
      </w:r>
      <w:r>
        <w:fldChar w:fldCharType="separate"/>
      </w:r>
      <w:r>
        <w:rPr>
          <w:rStyle w:val="19"/>
          <w:rFonts w:hint="eastAsia" w:ascii="楷体_GB2312" w:eastAsia="楷体_GB2312"/>
          <w:snapToGrid w:val="0"/>
          <w:sz w:val="32"/>
          <w:szCs w:val="32"/>
        </w:rPr>
        <w:t>（二）打造具有全国影响力的“学在长兴”品牌</w:t>
      </w:r>
      <w:r>
        <w:tab/>
      </w:r>
      <w:r>
        <w:rPr>
          <w:rStyle w:val="19"/>
        </w:rPr>
        <w:fldChar w:fldCharType="begin"/>
      </w:r>
      <w:r>
        <w:instrText xml:space="preserve"> PAGEREF _Toc67664590 \h </w:instrText>
      </w:r>
      <w:r>
        <w:rPr>
          <w:rStyle w:val="19"/>
        </w:rPr>
        <w:fldChar w:fldCharType="separate"/>
      </w:r>
      <w:r>
        <w:t>54</w:t>
      </w:r>
      <w:r>
        <w:rPr>
          <w:rStyle w:val="19"/>
        </w:rPr>
        <w:fldChar w:fldCharType="end"/>
      </w:r>
      <w:r>
        <w:rPr>
          <w:rStyle w:val="19"/>
        </w:rPr>
        <w:fldChar w:fldCharType="end"/>
      </w:r>
    </w:p>
    <w:p w14:paraId="42D34456">
      <w:pPr>
        <w:pStyle w:val="12"/>
        <w:rPr>
          <w:kern w:val="2"/>
          <w:sz w:val="21"/>
        </w:rPr>
      </w:pPr>
      <w:r>
        <w:fldChar w:fldCharType="begin"/>
      </w:r>
      <w:r>
        <w:instrText xml:space="preserve"> HYPERLINK \l "_Toc67664591" </w:instrText>
      </w:r>
      <w:r>
        <w:fldChar w:fldCharType="separate"/>
      </w:r>
      <w:r>
        <w:rPr>
          <w:rStyle w:val="19"/>
          <w:rFonts w:hint="eastAsia" w:ascii="楷体_GB2312" w:eastAsia="楷体_GB2312"/>
          <w:snapToGrid w:val="0"/>
          <w:sz w:val="32"/>
          <w:szCs w:val="32"/>
        </w:rPr>
        <w:t>（三）高水平建设人民满意的“健康长兴”</w:t>
      </w:r>
      <w:r>
        <w:tab/>
      </w:r>
      <w:r>
        <w:rPr>
          <w:rStyle w:val="19"/>
        </w:rPr>
        <w:fldChar w:fldCharType="begin"/>
      </w:r>
      <w:r>
        <w:instrText xml:space="preserve"> PAGEREF _Toc67664591 \h </w:instrText>
      </w:r>
      <w:r>
        <w:rPr>
          <w:rStyle w:val="19"/>
        </w:rPr>
        <w:fldChar w:fldCharType="separate"/>
      </w:r>
      <w:r>
        <w:t>56</w:t>
      </w:r>
      <w:r>
        <w:rPr>
          <w:rStyle w:val="19"/>
        </w:rPr>
        <w:fldChar w:fldCharType="end"/>
      </w:r>
      <w:r>
        <w:rPr>
          <w:rStyle w:val="19"/>
        </w:rPr>
        <w:fldChar w:fldCharType="end"/>
      </w:r>
    </w:p>
    <w:p w14:paraId="55829EE2">
      <w:pPr>
        <w:pStyle w:val="12"/>
        <w:rPr>
          <w:kern w:val="2"/>
          <w:sz w:val="21"/>
        </w:rPr>
      </w:pPr>
      <w:r>
        <w:fldChar w:fldCharType="begin"/>
      </w:r>
      <w:r>
        <w:instrText xml:space="preserve"> HYPERLINK \l "_Toc67664592" </w:instrText>
      </w:r>
      <w:r>
        <w:fldChar w:fldCharType="separate"/>
      </w:r>
      <w:r>
        <w:rPr>
          <w:rStyle w:val="19"/>
          <w:rFonts w:hint="eastAsia" w:ascii="楷体_GB2312" w:eastAsia="楷体_GB2312"/>
          <w:snapToGrid w:val="0"/>
          <w:sz w:val="32"/>
          <w:szCs w:val="32"/>
        </w:rPr>
        <w:t>（四）持续推进“文化长兴”“文明长兴”建设</w:t>
      </w:r>
      <w:r>
        <w:tab/>
      </w:r>
      <w:r>
        <w:rPr>
          <w:rStyle w:val="19"/>
        </w:rPr>
        <w:fldChar w:fldCharType="begin"/>
      </w:r>
      <w:r>
        <w:instrText xml:space="preserve"> PAGEREF _Toc67664592 \h </w:instrText>
      </w:r>
      <w:r>
        <w:rPr>
          <w:rStyle w:val="19"/>
        </w:rPr>
        <w:fldChar w:fldCharType="separate"/>
      </w:r>
      <w:r>
        <w:t>58</w:t>
      </w:r>
      <w:r>
        <w:rPr>
          <w:rStyle w:val="19"/>
        </w:rPr>
        <w:fldChar w:fldCharType="end"/>
      </w:r>
      <w:r>
        <w:rPr>
          <w:rStyle w:val="19"/>
        </w:rPr>
        <w:fldChar w:fldCharType="end"/>
      </w:r>
    </w:p>
    <w:p w14:paraId="2EBECDEE">
      <w:pPr>
        <w:pStyle w:val="12"/>
        <w:rPr>
          <w:kern w:val="2"/>
          <w:sz w:val="21"/>
        </w:rPr>
      </w:pPr>
      <w:r>
        <w:fldChar w:fldCharType="begin"/>
      </w:r>
      <w:r>
        <w:instrText xml:space="preserve"> HYPERLINK \l "_Toc67664593" </w:instrText>
      </w:r>
      <w:r>
        <w:fldChar w:fldCharType="separate"/>
      </w:r>
      <w:r>
        <w:rPr>
          <w:rStyle w:val="19"/>
          <w:rFonts w:hint="eastAsia" w:ascii="楷体_GB2312" w:eastAsia="楷体_GB2312"/>
          <w:snapToGrid w:val="0"/>
          <w:sz w:val="32"/>
          <w:szCs w:val="32"/>
        </w:rPr>
        <w:t>（五）健全多层次社会保障体系</w:t>
      </w:r>
      <w:r>
        <w:tab/>
      </w:r>
      <w:r>
        <w:rPr>
          <w:rStyle w:val="19"/>
        </w:rPr>
        <w:fldChar w:fldCharType="begin"/>
      </w:r>
      <w:r>
        <w:instrText xml:space="preserve"> PAGEREF _Toc67664593 \h </w:instrText>
      </w:r>
      <w:r>
        <w:rPr>
          <w:rStyle w:val="19"/>
        </w:rPr>
        <w:fldChar w:fldCharType="separate"/>
      </w:r>
      <w:r>
        <w:t>60</w:t>
      </w:r>
      <w:r>
        <w:rPr>
          <w:rStyle w:val="19"/>
        </w:rPr>
        <w:fldChar w:fldCharType="end"/>
      </w:r>
      <w:r>
        <w:rPr>
          <w:rStyle w:val="19"/>
        </w:rPr>
        <w:fldChar w:fldCharType="end"/>
      </w:r>
    </w:p>
    <w:p w14:paraId="5643C338">
      <w:pPr>
        <w:pStyle w:val="12"/>
        <w:rPr>
          <w:kern w:val="2"/>
          <w:sz w:val="21"/>
        </w:rPr>
      </w:pPr>
      <w:r>
        <w:fldChar w:fldCharType="begin"/>
      </w:r>
      <w:r>
        <w:instrText xml:space="preserve"> HYPERLINK \l "_Toc67664594" </w:instrText>
      </w:r>
      <w:r>
        <w:fldChar w:fldCharType="separate"/>
      </w:r>
      <w:r>
        <w:rPr>
          <w:rStyle w:val="19"/>
          <w:rFonts w:hint="eastAsia" w:ascii="楷体_GB2312" w:eastAsia="楷体_GB2312"/>
          <w:snapToGrid w:val="0"/>
          <w:sz w:val="32"/>
          <w:szCs w:val="32"/>
        </w:rPr>
        <w:t>（六）持续推进人口结构优化和素质提升</w:t>
      </w:r>
      <w:r>
        <w:tab/>
      </w:r>
      <w:r>
        <w:rPr>
          <w:rStyle w:val="19"/>
        </w:rPr>
        <w:fldChar w:fldCharType="begin"/>
      </w:r>
      <w:r>
        <w:instrText xml:space="preserve"> PAGEREF _Toc67664594 \h </w:instrText>
      </w:r>
      <w:r>
        <w:rPr>
          <w:rStyle w:val="19"/>
        </w:rPr>
        <w:fldChar w:fldCharType="separate"/>
      </w:r>
      <w:r>
        <w:t>61</w:t>
      </w:r>
      <w:r>
        <w:rPr>
          <w:rStyle w:val="19"/>
        </w:rPr>
        <w:fldChar w:fldCharType="end"/>
      </w:r>
      <w:r>
        <w:rPr>
          <w:rStyle w:val="19"/>
        </w:rPr>
        <w:fldChar w:fldCharType="end"/>
      </w:r>
    </w:p>
    <w:p w14:paraId="3DA82CE6">
      <w:pPr>
        <w:pStyle w:val="10"/>
        <w:tabs>
          <w:tab w:val="right" w:leader="dot" w:pos="8834"/>
        </w:tabs>
        <w:adjustRightInd w:val="0"/>
        <w:snapToGrid w:val="0"/>
        <w:spacing w:line="324" w:lineRule="auto"/>
        <w:rPr>
          <w:kern w:val="2"/>
          <w:sz w:val="21"/>
        </w:rPr>
      </w:pPr>
      <w:r>
        <w:fldChar w:fldCharType="begin"/>
      </w:r>
      <w:r>
        <w:instrText xml:space="preserve"> HYPERLINK \l "_Toc67664595" </w:instrText>
      </w:r>
      <w:r>
        <w:fldChar w:fldCharType="separate"/>
      </w:r>
      <w:r>
        <w:rPr>
          <w:rStyle w:val="19"/>
          <w:rFonts w:hint="eastAsia" w:ascii="黑体" w:hAnsi="黑体" w:eastAsia="黑体"/>
          <w:snapToGrid w:val="0"/>
          <w:sz w:val="32"/>
          <w:szCs w:val="32"/>
        </w:rPr>
        <w:t>七、统筹发展和安全，高水平推进平安创建和整体智治，打造社会治理现代化先行地</w:t>
      </w:r>
      <w:r>
        <w:tab/>
      </w:r>
      <w:r>
        <w:rPr>
          <w:rStyle w:val="19"/>
        </w:rPr>
        <w:fldChar w:fldCharType="begin"/>
      </w:r>
      <w:r>
        <w:instrText xml:space="preserve"> PAGEREF _Toc67664595 \h </w:instrText>
      </w:r>
      <w:r>
        <w:rPr>
          <w:rStyle w:val="19"/>
        </w:rPr>
        <w:fldChar w:fldCharType="separate"/>
      </w:r>
      <w:r>
        <w:t>63</w:t>
      </w:r>
      <w:r>
        <w:rPr>
          <w:rStyle w:val="19"/>
        </w:rPr>
        <w:fldChar w:fldCharType="end"/>
      </w:r>
      <w:r>
        <w:rPr>
          <w:rStyle w:val="19"/>
        </w:rPr>
        <w:fldChar w:fldCharType="end"/>
      </w:r>
    </w:p>
    <w:p w14:paraId="5D08C17F">
      <w:pPr>
        <w:pStyle w:val="12"/>
        <w:rPr>
          <w:kern w:val="2"/>
          <w:sz w:val="21"/>
        </w:rPr>
      </w:pPr>
      <w:r>
        <w:fldChar w:fldCharType="begin"/>
      </w:r>
      <w:r>
        <w:instrText xml:space="preserve"> HYPERLINK \l "_Toc67664596" </w:instrText>
      </w:r>
      <w:r>
        <w:fldChar w:fldCharType="separate"/>
      </w:r>
      <w:r>
        <w:rPr>
          <w:rStyle w:val="19"/>
          <w:rFonts w:hint="eastAsia" w:ascii="楷体_GB2312" w:eastAsia="楷体_GB2312"/>
          <w:snapToGrid w:val="0"/>
          <w:sz w:val="32"/>
          <w:szCs w:val="32"/>
        </w:rPr>
        <w:t>（一）加强民主政治建设</w:t>
      </w:r>
      <w:r>
        <w:tab/>
      </w:r>
      <w:r>
        <w:rPr>
          <w:rStyle w:val="19"/>
        </w:rPr>
        <w:fldChar w:fldCharType="begin"/>
      </w:r>
      <w:r>
        <w:instrText xml:space="preserve"> PAGEREF _Toc67664596 \h </w:instrText>
      </w:r>
      <w:r>
        <w:rPr>
          <w:rStyle w:val="19"/>
        </w:rPr>
        <w:fldChar w:fldCharType="separate"/>
      </w:r>
      <w:r>
        <w:t>63</w:t>
      </w:r>
      <w:r>
        <w:rPr>
          <w:rStyle w:val="19"/>
        </w:rPr>
        <w:fldChar w:fldCharType="end"/>
      </w:r>
      <w:r>
        <w:rPr>
          <w:rStyle w:val="19"/>
        </w:rPr>
        <w:fldChar w:fldCharType="end"/>
      </w:r>
    </w:p>
    <w:p w14:paraId="38652FB7">
      <w:pPr>
        <w:pStyle w:val="12"/>
        <w:rPr>
          <w:kern w:val="2"/>
          <w:sz w:val="21"/>
        </w:rPr>
      </w:pPr>
      <w:r>
        <w:fldChar w:fldCharType="begin"/>
      </w:r>
      <w:r>
        <w:instrText xml:space="preserve"> HYPERLINK \l "_Toc67664597" </w:instrText>
      </w:r>
      <w:r>
        <w:fldChar w:fldCharType="separate"/>
      </w:r>
      <w:r>
        <w:rPr>
          <w:rStyle w:val="19"/>
          <w:rFonts w:hint="eastAsia" w:ascii="楷体_GB2312" w:eastAsia="楷体_GB2312"/>
          <w:snapToGrid w:val="0"/>
          <w:sz w:val="32"/>
          <w:szCs w:val="32"/>
        </w:rPr>
        <w:t>（二）全面推进法治长兴建设</w:t>
      </w:r>
      <w:r>
        <w:tab/>
      </w:r>
      <w:r>
        <w:rPr>
          <w:rStyle w:val="19"/>
        </w:rPr>
        <w:fldChar w:fldCharType="begin"/>
      </w:r>
      <w:r>
        <w:instrText xml:space="preserve"> PAGEREF _Toc67664597 \h </w:instrText>
      </w:r>
      <w:r>
        <w:rPr>
          <w:rStyle w:val="19"/>
        </w:rPr>
        <w:fldChar w:fldCharType="separate"/>
      </w:r>
      <w:r>
        <w:t>65</w:t>
      </w:r>
      <w:r>
        <w:rPr>
          <w:rStyle w:val="19"/>
        </w:rPr>
        <w:fldChar w:fldCharType="end"/>
      </w:r>
      <w:r>
        <w:rPr>
          <w:rStyle w:val="19"/>
        </w:rPr>
        <w:fldChar w:fldCharType="end"/>
      </w:r>
    </w:p>
    <w:p w14:paraId="5774419D">
      <w:pPr>
        <w:pStyle w:val="12"/>
        <w:rPr>
          <w:kern w:val="2"/>
          <w:sz w:val="21"/>
        </w:rPr>
      </w:pPr>
      <w:r>
        <w:fldChar w:fldCharType="begin"/>
      </w:r>
      <w:r>
        <w:instrText xml:space="preserve"> HYPERLINK \l "_Toc67664598" </w:instrText>
      </w:r>
      <w:r>
        <w:fldChar w:fldCharType="separate"/>
      </w:r>
      <w:r>
        <w:rPr>
          <w:rStyle w:val="19"/>
          <w:rFonts w:hint="eastAsia" w:ascii="楷体_GB2312" w:eastAsia="楷体_GB2312"/>
          <w:snapToGrid w:val="0"/>
          <w:sz w:val="32"/>
          <w:szCs w:val="32"/>
        </w:rPr>
        <w:t>（三）深入推进数字长兴建设</w:t>
      </w:r>
      <w:r>
        <w:tab/>
      </w:r>
      <w:r>
        <w:rPr>
          <w:rStyle w:val="19"/>
        </w:rPr>
        <w:fldChar w:fldCharType="begin"/>
      </w:r>
      <w:r>
        <w:instrText xml:space="preserve"> PAGEREF _Toc67664598 \h </w:instrText>
      </w:r>
      <w:r>
        <w:rPr>
          <w:rStyle w:val="19"/>
        </w:rPr>
        <w:fldChar w:fldCharType="separate"/>
      </w:r>
      <w:r>
        <w:t>66</w:t>
      </w:r>
      <w:r>
        <w:rPr>
          <w:rStyle w:val="19"/>
        </w:rPr>
        <w:fldChar w:fldCharType="end"/>
      </w:r>
      <w:r>
        <w:rPr>
          <w:rStyle w:val="19"/>
        </w:rPr>
        <w:fldChar w:fldCharType="end"/>
      </w:r>
    </w:p>
    <w:p w14:paraId="2C18DC6A">
      <w:pPr>
        <w:pStyle w:val="12"/>
        <w:rPr>
          <w:kern w:val="2"/>
          <w:sz w:val="21"/>
        </w:rPr>
      </w:pPr>
      <w:r>
        <w:fldChar w:fldCharType="begin"/>
      </w:r>
      <w:r>
        <w:instrText xml:space="preserve"> HYPERLINK \l "_Toc67664599" </w:instrText>
      </w:r>
      <w:r>
        <w:fldChar w:fldCharType="separate"/>
      </w:r>
      <w:r>
        <w:rPr>
          <w:rStyle w:val="19"/>
          <w:rFonts w:hint="eastAsia" w:ascii="楷体_GB2312" w:eastAsia="楷体_GB2312"/>
          <w:snapToGrid w:val="0"/>
          <w:sz w:val="32"/>
          <w:szCs w:val="32"/>
        </w:rPr>
        <w:t>（四）加强和创新社会治理</w:t>
      </w:r>
      <w:r>
        <w:tab/>
      </w:r>
      <w:r>
        <w:rPr>
          <w:rStyle w:val="19"/>
        </w:rPr>
        <w:fldChar w:fldCharType="begin"/>
      </w:r>
      <w:r>
        <w:instrText xml:space="preserve"> PAGEREF _Toc67664599 \h </w:instrText>
      </w:r>
      <w:r>
        <w:rPr>
          <w:rStyle w:val="19"/>
        </w:rPr>
        <w:fldChar w:fldCharType="separate"/>
      </w:r>
      <w:r>
        <w:t>68</w:t>
      </w:r>
      <w:r>
        <w:rPr>
          <w:rStyle w:val="19"/>
        </w:rPr>
        <w:fldChar w:fldCharType="end"/>
      </w:r>
      <w:r>
        <w:rPr>
          <w:rStyle w:val="19"/>
        </w:rPr>
        <w:fldChar w:fldCharType="end"/>
      </w:r>
    </w:p>
    <w:p w14:paraId="35AD2036">
      <w:pPr>
        <w:pStyle w:val="12"/>
        <w:rPr>
          <w:kern w:val="2"/>
          <w:sz w:val="21"/>
        </w:rPr>
      </w:pPr>
      <w:r>
        <w:fldChar w:fldCharType="begin"/>
      </w:r>
      <w:r>
        <w:instrText xml:space="preserve"> HYPERLINK \l "_Toc67664600" </w:instrText>
      </w:r>
      <w:r>
        <w:fldChar w:fldCharType="separate"/>
      </w:r>
      <w:r>
        <w:rPr>
          <w:rStyle w:val="19"/>
          <w:rFonts w:hint="eastAsia" w:ascii="楷体_GB2312" w:eastAsia="楷体_GB2312"/>
          <w:snapToGrid w:val="0"/>
          <w:sz w:val="32"/>
          <w:szCs w:val="32"/>
        </w:rPr>
        <w:t>（五）打造平安中国示范县</w:t>
      </w:r>
      <w:r>
        <w:tab/>
      </w:r>
      <w:r>
        <w:rPr>
          <w:rStyle w:val="19"/>
        </w:rPr>
        <w:fldChar w:fldCharType="begin"/>
      </w:r>
      <w:r>
        <w:instrText xml:space="preserve"> PAGEREF _Toc67664600 \h </w:instrText>
      </w:r>
      <w:r>
        <w:rPr>
          <w:rStyle w:val="19"/>
        </w:rPr>
        <w:fldChar w:fldCharType="separate"/>
      </w:r>
      <w:r>
        <w:t>69</w:t>
      </w:r>
      <w:r>
        <w:rPr>
          <w:rStyle w:val="19"/>
        </w:rPr>
        <w:fldChar w:fldCharType="end"/>
      </w:r>
      <w:r>
        <w:rPr>
          <w:rStyle w:val="19"/>
        </w:rPr>
        <w:fldChar w:fldCharType="end"/>
      </w:r>
    </w:p>
    <w:p w14:paraId="75726FEA">
      <w:pPr>
        <w:pStyle w:val="10"/>
        <w:tabs>
          <w:tab w:val="right" w:leader="dot" w:pos="8834"/>
        </w:tabs>
        <w:adjustRightInd w:val="0"/>
        <w:snapToGrid w:val="0"/>
        <w:spacing w:line="324" w:lineRule="auto"/>
        <w:rPr>
          <w:kern w:val="2"/>
          <w:sz w:val="21"/>
        </w:rPr>
      </w:pPr>
      <w:r>
        <w:fldChar w:fldCharType="begin"/>
      </w:r>
      <w:r>
        <w:instrText xml:space="preserve"> HYPERLINK \l "_Toc67664601" </w:instrText>
      </w:r>
      <w:r>
        <w:fldChar w:fldCharType="separate"/>
      </w:r>
      <w:r>
        <w:rPr>
          <w:rStyle w:val="19"/>
          <w:rFonts w:hint="eastAsia" w:ascii="黑体" w:hAnsi="黑体" w:eastAsia="黑体"/>
          <w:snapToGrid w:val="0"/>
          <w:sz w:val="32"/>
          <w:szCs w:val="32"/>
        </w:rPr>
        <w:t>八、凝聚各方力量，为争创长三角社会主义现代化先行县而努力奋斗</w:t>
      </w:r>
      <w:r>
        <w:tab/>
      </w:r>
      <w:r>
        <w:rPr>
          <w:rStyle w:val="19"/>
        </w:rPr>
        <w:fldChar w:fldCharType="begin"/>
      </w:r>
      <w:r>
        <w:instrText xml:space="preserve"> PAGEREF _Toc67664601 \h </w:instrText>
      </w:r>
      <w:r>
        <w:rPr>
          <w:rStyle w:val="19"/>
        </w:rPr>
        <w:fldChar w:fldCharType="separate"/>
      </w:r>
      <w:r>
        <w:t>71</w:t>
      </w:r>
      <w:r>
        <w:rPr>
          <w:rStyle w:val="19"/>
        </w:rPr>
        <w:fldChar w:fldCharType="end"/>
      </w:r>
      <w:r>
        <w:rPr>
          <w:rStyle w:val="19"/>
        </w:rPr>
        <w:fldChar w:fldCharType="end"/>
      </w:r>
    </w:p>
    <w:p w14:paraId="024401E4">
      <w:pPr>
        <w:pStyle w:val="12"/>
        <w:rPr>
          <w:kern w:val="2"/>
          <w:sz w:val="21"/>
        </w:rPr>
      </w:pPr>
      <w:r>
        <w:fldChar w:fldCharType="begin"/>
      </w:r>
      <w:r>
        <w:instrText xml:space="preserve"> HYPERLINK \l "_Toc67664602" </w:instrText>
      </w:r>
      <w:r>
        <w:fldChar w:fldCharType="separate"/>
      </w:r>
      <w:r>
        <w:rPr>
          <w:rStyle w:val="19"/>
          <w:rFonts w:hint="eastAsia" w:ascii="楷体_GB2312" w:eastAsia="楷体_GB2312"/>
          <w:snapToGrid w:val="0"/>
          <w:sz w:val="32"/>
          <w:szCs w:val="32"/>
        </w:rPr>
        <w:t>（一）始终坚持党的全面领导</w:t>
      </w:r>
      <w:r>
        <w:tab/>
      </w:r>
      <w:r>
        <w:rPr>
          <w:rStyle w:val="19"/>
        </w:rPr>
        <w:fldChar w:fldCharType="begin"/>
      </w:r>
      <w:r>
        <w:instrText xml:space="preserve"> PAGEREF _Toc67664602 \h </w:instrText>
      </w:r>
      <w:r>
        <w:rPr>
          <w:rStyle w:val="19"/>
        </w:rPr>
        <w:fldChar w:fldCharType="separate"/>
      </w:r>
      <w:r>
        <w:t>71</w:t>
      </w:r>
      <w:r>
        <w:rPr>
          <w:rStyle w:val="19"/>
        </w:rPr>
        <w:fldChar w:fldCharType="end"/>
      </w:r>
      <w:r>
        <w:rPr>
          <w:rStyle w:val="19"/>
        </w:rPr>
        <w:fldChar w:fldCharType="end"/>
      </w:r>
    </w:p>
    <w:p w14:paraId="76C8C8BC">
      <w:pPr>
        <w:pStyle w:val="12"/>
        <w:rPr>
          <w:kern w:val="2"/>
          <w:sz w:val="21"/>
        </w:rPr>
      </w:pPr>
      <w:r>
        <w:fldChar w:fldCharType="begin"/>
      </w:r>
      <w:r>
        <w:instrText xml:space="preserve"> HYPERLINK \l "_Toc67664603" </w:instrText>
      </w:r>
      <w:r>
        <w:fldChar w:fldCharType="separate"/>
      </w:r>
      <w:r>
        <w:rPr>
          <w:rStyle w:val="19"/>
          <w:rFonts w:hint="eastAsia" w:ascii="楷体_GB2312" w:eastAsia="楷体_GB2312"/>
          <w:snapToGrid w:val="0"/>
          <w:sz w:val="32"/>
          <w:szCs w:val="32"/>
        </w:rPr>
        <w:t>（二）推动“四个重大”落地见效</w:t>
      </w:r>
      <w:r>
        <w:tab/>
      </w:r>
      <w:r>
        <w:rPr>
          <w:rStyle w:val="19"/>
        </w:rPr>
        <w:fldChar w:fldCharType="begin"/>
      </w:r>
      <w:r>
        <w:instrText xml:space="preserve"> PAGEREF _Toc67664603 \h </w:instrText>
      </w:r>
      <w:r>
        <w:rPr>
          <w:rStyle w:val="19"/>
        </w:rPr>
        <w:fldChar w:fldCharType="separate"/>
      </w:r>
      <w:r>
        <w:t>72</w:t>
      </w:r>
      <w:r>
        <w:rPr>
          <w:rStyle w:val="19"/>
        </w:rPr>
        <w:fldChar w:fldCharType="end"/>
      </w:r>
      <w:r>
        <w:rPr>
          <w:rStyle w:val="19"/>
        </w:rPr>
        <w:fldChar w:fldCharType="end"/>
      </w:r>
    </w:p>
    <w:p w14:paraId="73518961">
      <w:pPr>
        <w:pStyle w:val="12"/>
        <w:rPr>
          <w:kern w:val="2"/>
          <w:sz w:val="21"/>
        </w:rPr>
      </w:pPr>
      <w:r>
        <w:fldChar w:fldCharType="begin"/>
      </w:r>
      <w:r>
        <w:instrText xml:space="preserve"> HYPERLINK \l "_Toc67664604" </w:instrText>
      </w:r>
      <w:r>
        <w:fldChar w:fldCharType="separate"/>
      </w:r>
      <w:r>
        <w:rPr>
          <w:rStyle w:val="19"/>
          <w:rFonts w:hint="eastAsia" w:ascii="楷体_GB2312" w:eastAsia="楷体_GB2312"/>
          <w:snapToGrid w:val="0"/>
          <w:sz w:val="32"/>
          <w:szCs w:val="32"/>
        </w:rPr>
        <w:t>（三）健全规划制定和实施机制</w:t>
      </w:r>
      <w:r>
        <w:tab/>
      </w:r>
      <w:r>
        <w:rPr>
          <w:rStyle w:val="19"/>
        </w:rPr>
        <w:fldChar w:fldCharType="begin"/>
      </w:r>
      <w:r>
        <w:instrText xml:space="preserve"> PAGEREF _Toc67664604 \h </w:instrText>
      </w:r>
      <w:r>
        <w:rPr>
          <w:rStyle w:val="19"/>
        </w:rPr>
        <w:fldChar w:fldCharType="separate"/>
      </w:r>
      <w:r>
        <w:t>72</w:t>
      </w:r>
      <w:r>
        <w:rPr>
          <w:rStyle w:val="19"/>
        </w:rPr>
        <w:fldChar w:fldCharType="end"/>
      </w:r>
      <w:r>
        <w:rPr>
          <w:rStyle w:val="19"/>
        </w:rPr>
        <w:fldChar w:fldCharType="end"/>
      </w:r>
    </w:p>
    <w:p w14:paraId="4163E112">
      <w:pPr>
        <w:overflowPunct w:val="0"/>
        <w:adjustRightInd w:val="0"/>
        <w:spacing w:line="324" w:lineRule="auto"/>
        <w:ind w:firstLine="630" w:firstLineChars="200"/>
        <w:rPr>
          <w:rFonts w:ascii="仿宋_GB2312"/>
          <w:snapToGrid w:val="0"/>
        </w:rPr>
      </w:pPr>
      <w:r>
        <w:rPr>
          <w:rFonts w:ascii="仿宋_GB2312"/>
          <w:snapToGrid w:val="0"/>
        </w:rPr>
        <w:fldChar w:fldCharType="end"/>
      </w:r>
    </w:p>
    <w:p w14:paraId="41501807">
      <w:pPr>
        <w:overflowPunct w:val="0"/>
        <w:adjustRightInd w:val="0"/>
        <w:spacing w:line="324" w:lineRule="auto"/>
        <w:ind w:firstLine="630" w:firstLineChars="200"/>
        <w:rPr>
          <w:rFonts w:ascii="仿宋_GB2312"/>
          <w:snapToGrid w:val="0"/>
        </w:rPr>
      </w:pPr>
    </w:p>
    <w:p w14:paraId="344FC095">
      <w:pPr>
        <w:overflowPunct w:val="0"/>
        <w:adjustRightInd w:val="0"/>
        <w:spacing w:line="324" w:lineRule="auto"/>
        <w:ind w:firstLine="630" w:firstLineChars="200"/>
        <w:rPr>
          <w:rFonts w:ascii="仿宋_GB2312"/>
          <w:snapToGrid w:val="0"/>
        </w:rPr>
      </w:pPr>
    </w:p>
    <w:p w14:paraId="355FE491">
      <w:pPr>
        <w:overflowPunct w:val="0"/>
        <w:adjustRightInd w:val="0"/>
        <w:spacing w:line="324" w:lineRule="auto"/>
        <w:ind w:firstLine="630" w:firstLineChars="200"/>
        <w:rPr>
          <w:rFonts w:ascii="仿宋_GB2312"/>
          <w:snapToGrid w:val="0"/>
        </w:rPr>
      </w:pPr>
      <w:r>
        <w:rPr>
          <w:rFonts w:hint="eastAsia" w:ascii="仿宋_GB2312"/>
          <w:snapToGrid w:val="0"/>
        </w:rPr>
        <w:t>“十四五”时期是我县贯彻落实党的十九大以及十九届二中、三中、四中、五中全会精神，全面践行习近平新时代中国特色社会主义思想，坚持新发展理念，构建新发展格局，推动高质量发展，全面开启现代化建设新征程、向第二个百年奋斗目标进军的第一个五年。二</w:t>
      </w:r>
      <w:r>
        <w:rPr>
          <w:rFonts w:hint="eastAsia" w:ascii="宋体" w:hAnsi="宋体" w:eastAsia="宋体" w:cs="宋体"/>
          <w:snapToGrid w:val="0"/>
        </w:rPr>
        <w:t>〇</w:t>
      </w:r>
      <w:r>
        <w:rPr>
          <w:rFonts w:hint="eastAsia" w:ascii="仿宋_GB2312"/>
          <w:snapToGrid w:val="0"/>
        </w:rPr>
        <w:t>三五年我国将基本实现社会主义现代化。根据《中共长兴县委关于制定国民经济和社会发展第十四个五年规划和二</w:t>
      </w:r>
      <w:r>
        <w:rPr>
          <w:rFonts w:hint="eastAsia" w:ascii="宋体" w:hAnsi="宋体" w:eastAsia="宋体" w:cs="宋体"/>
          <w:snapToGrid w:val="0"/>
        </w:rPr>
        <w:t>〇</w:t>
      </w:r>
      <w:r>
        <w:rPr>
          <w:rFonts w:hint="eastAsia" w:ascii="仿宋_GB2312"/>
          <w:snapToGrid w:val="0"/>
        </w:rPr>
        <w:t>三五年远景目标的建议》，编制长兴县国民经济和社会发展第十四个五年规划和二</w:t>
      </w:r>
      <w:r>
        <w:rPr>
          <w:rFonts w:hint="eastAsia" w:ascii="宋体" w:hAnsi="宋体" w:eastAsia="宋体" w:cs="宋体"/>
          <w:snapToGrid w:val="0"/>
        </w:rPr>
        <w:t>〇</w:t>
      </w:r>
      <w:r>
        <w:rPr>
          <w:rFonts w:hint="eastAsia" w:ascii="仿宋_GB2312"/>
          <w:snapToGrid w:val="0"/>
        </w:rPr>
        <w:t>三五年远景目标纲要，主要阐明全县经济社会发展目标、发展任务、发展重点和政策导向，是政府履行经济社会管理职能、更好发挥市场配置资源决定性作用的重要依据，是全县人民共同奋斗、书写美好生活新篇章的行动纲领。</w:t>
      </w:r>
    </w:p>
    <w:p w14:paraId="268484A0">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1" w:name="_Toc65844498"/>
      <w:bookmarkStart w:id="2" w:name="_Toc67664560"/>
      <w:r>
        <w:rPr>
          <w:rFonts w:hint="eastAsia" w:ascii="黑体" w:hAnsi="黑体" w:eastAsia="黑体"/>
          <w:b w:val="0"/>
          <w:snapToGrid w:val="0"/>
          <w:sz w:val="32"/>
          <w:szCs w:val="32"/>
        </w:rPr>
        <w:t>一、开启高水平全</w:t>
      </w:r>
      <w:r>
        <w:rPr>
          <w:rFonts w:hint="eastAsia" w:ascii="黑体" w:hAnsi="黑体" w:eastAsia="黑体"/>
          <w:b w:val="0"/>
          <w:snapToGrid w:val="0"/>
          <w:sz w:val="32"/>
          <w:szCs w:val="32"/>
          <w:lang w:eastAsia="zh-CN"/>
        </w:rPr>
        <w:t>面建设社会主义现代化国家新征程</w:t>
      </w:r>
      <w:bookmarkStart w:id="93" w:name="_GoBack"/>
      <w:bookmarkEnd w:id="93"/>
      <w:r>
        <w:rPr>
          <w:rFonts w:hint="eastAsia" w:ascii="黑体" w:hAnsi="黑体" w:eastAsia="黑体"/>
          <w:b w:val="0"/>
          <w:snapToGrid w:val="0"/>
          <w:sz w:val="32"/>
          <w:szCs w:val="32"/>
        </w:rPr>
        <w:t>，奋力争创长三角社会主义现代化先行县</w:t>
      </w:r>
      <w:bookmarkEnd w:id="1"/>
      <w:bookmarkEnd w:id="2"/>
    </w:p>
    <w:p w14:paraId="7E2B7660">
      <w:pPr>
        <w:pStyle w:val="3"/>
        <w:adjustRightInd w:val="0"/>
        <w:snapToGrid w:val="0"/>
        <w:spacing w:before="0" w:after="0" w:line="324" w:lineRule="auto"/>
        <w:ind w:firstLine="630" w:firstLineChars="200"/>
        <w:rPr>
          <w:rFonts w:ascii="楷体_GB2312" w:eastAsia="楷体_GB2312"/>
          <w:snapToGrid w:val="0"/>
        </w:rPr>
      </w:pPr>
      <w:bookmarkStart w:id="3" w:name="_Toc65844499"/>
      <w:bookmarkStart w:id="4" w:name="_Toc67664561"/>
      <w:r>
        <w:rPr>
          <w:rFonts w:hint="eastAsia" w:ascii="楷体_GB2312" w:eastAsia="楷体_GB2312"/>
          <w:snapToGrid w:val="0"/>
        </w:rPr>
        <w:t>（一）高水平全面小康社会县域典范建设取得重大成果</w:t>
      </w:r>
      <w:bookmarkEnd w:id="3"/>
      <w:r>
        <w:rPr>
          <w:rFonts w:hint="eastAsia" w:ascii="楷体_GB2312" w:eastAsia="楷体_GB2312"/>
          <w:snapToGrid w:val="0"/>
        </w:rPr>
        <w:t>。</w:t>
      </w:r>
      <w:bookmarkEnd w:id="4"/>
    </w:p>
    <w:p w14:paraId="319B8E1E">
      <w:pPr>
        <w:overflowPunct w:val="0"/>
        <w:adjustRightInd w:val="0"/>
        <w:spacing w:line="324" w:lineRule="auto"/>
        <w:ind w:firstLine="630" w:firstLineChars="200"/>
        <w:rPr>
          <w:rFonts w:ascii="仿宋_GB2312"/>
          <w:snapToGrid w:val="0"/>
        </w:rPr>
      </w:pPr>
      <w:r>
        <w:rPr>
          <w:rFonts w:hint="eastAsia" w:ascii="仿宋_GB2312"/>
          <w:snapToGrid w:val="0"/>
        </w:rPr>
        <w:t>“十三五”以来，面对国内外风险挑战明显上升的复杂局面，特别是新冠肺炎疫情带来的严峻考验，县委、县政府带领全县人民坚决贯彻习近平新时代中国特色社会主义思想和党中央、省、市委决策部署，积极践行新发展理念，大力发扬长兴精神，全面振兴实体经济，加快建设“环太湖发展高地、长三角经济强县”，开辟了高质量赶超发展新局面。综合实力再上新台阶，2020年地区生产总值达到702.39亿元，财政总收入达到121.76亿元，城乡居民人均可支配收入分别达到6.24万元和3.78万元。成为全省振兴实体经济试点县、全省制造业高质量发展示范县、全国首批创新型县，农业现代化发展水平综合评价升至全省第五位。开放发展走深走实，融入长三角一体化步伐不断加快，重特大项目招引取得突破，外资利用水平有效提升。深化改革蹄疾步稳，“最多跑一次”改革不断提质扩面，全面创新改革、国资国企改革等成效明显，融媒体改革、综合医改成为全国经验。城乡品质显著提高，在全省率先创成全国文明城市并顺利通过复评，县城新型城镇化成为全国示范，美丽乡村实现全覆盖，获评全国农村人居环境整治成效明显激励县、“四好农村路”全国示范县。生态环境不断改善，大气和水环境质量明显提高，“五水共治”三夺“大禹鼎”，创成省生态文明建设示范县、大花园示范县。民生福祉持续增进，文化体育事业蓬勃发展，教育事业迈向更高水平，“健康长兴”全面推进，“双扶”行动成效显著，社会保障和救助水平不断提升，统筹疫情防控和经济社会发展成效明显。社会治理创新提效，法治政府、法治社会建设不断加强，自治法治德治智治融合推进，平安建设有望实现“十五连冠”，成功蝉联全国双拥模范县。“十三五”规划确定的重点任务基本完成，高水平全面小康社会县域典范建设取得重大成果，为开启高水平全</w:t>
      </w:r>
      <w:r>
        <w:rPr>
          <w:rFonts w:hint="eastAsia" w:ascii="仿宋_GB2312"/>
          <w:snapToGrid w:val="0"/>
          <w:lang w:eastAsia="zh-CN"/>
        </w:rPr>
        <w:t>面建设社会主义现代化国家新征程</w:t>
      </w:r>
      <w:r>
        <w:rPr>
          <w:rFonts w:hint="eastAsia" w:ascii="仿宋_GB2312"/>
          <w:snapToGrid w:val="0"/>
        </w:rPr>
        <w:t>奠定了坚实基础。</w:t>
      </w:r>
    </w:p>
    <w:p w14:paraId="6AF033E4">
      <w:pPr>
        <w:pStyle w:val="3"/>
        <w:adjustRightInd w:val="0"/>
        <w:snapToGrid w:val="0"/>
        <w:spacing w:before="0" w:after="0" w:line="324" w:lineRule="auto"/>
        <w:ind w:firstLine="630" w:firstLineChars="200"/>
        <w:rPr>
          <w:rFonts w:ascii="楷体_GB2312" w:eastAsia="楷体_GB2312"/>
          <w:snapToGrid w:val="0"/>
        </w:rPr>
      </w:pPr>
      <w:bookmarkStart w:id="5" w:name="_Toc65844500"/>
      <w:bookmarkStart w:id="6" w:name="_Toc67664562"/>
      <w:r>
        <w:rPr>
          <w:rFonts w:hint="eastAsia" w:ascii="楷体_GB2312" w:eastAsia="楷体_GB2312"/>
          <w:snapToGrid w:val="0"/>
        </w:rPr>
        <w:t>（二）新发展阶段面临的新机遇新挑战</w:t>
      </w:r>
      <w:bookmarkEnd w:id="5"/>
      <w:r>
        <w:rPr>
          <w:rFonts w:hint="eastAsia" w:ascii="楷体_GB2312" w:eastAsia="楷体_GB2312"/>
          <w:snapToGrid w:val="0"/>
        </w:rPr>
        <w:t>。</w:t>
      </w:r>
      <w:bookmarkEnd w:id="6"/>
    </w:p>
    <w:p w14:paraId="4438CB1E">
      <w:pPr>
        <w:overflowPunct w:val="0"/>
        <w:adjustRightInd w:val="0"/>
        <w:spacing w:line="324" w:lineRule="auto"/>
        <w:ind w:firstLine="630" w:firstLineChars="200"/>
        <w:rPr>
          <w:rFonts w:ascii="仿宋_GB2312"/>
          <w:snapToGrid w:val="0"/>
        </w:rPr>
      </w:pPr>
      <w:r>
        <w:rPr>
          <w:rFonts w:hint="eastAsia" w:ascii="仿宋_GB2312"/>
          <w:snapToGrid w:val="0"/>
        </w:rPr>
        <w:t>当今世界正经历百年未有之大变局，新冠肺炎疫情全球大流行使这个大变局加速演进。我国进入新发展阶段，社会主要矛盾和发展方式发生深刻调整，但经济长期向好的基本面没有改变，我国发展仍然处于重要战略机遇期。从长兴来看，当前及今后一个时期，正处在战略融入的重要窗口期、发展动力的关键转换期、城市品质的全面提升期、生态红利的深层释放期。这一时期，新一轮科技革命和产业变革深入发展，全球经济结构和发展格局面临重塑，有利于我县加快推进产业升级，促进实体经济振兴。这一时期，长三角一体化高质量发展加速推进，区域合作将面临更多新机遇，有利于我县率先探索融入新发展格局。这一时期，浙江“重要窗口”建设将加快推进，湖州城市经济发展将加速步伐，有利于我县获取更多改革和政策红利。但也要清醒认识到，我县发展不平衡不充分问题依然存在，矛盾挑战依然不少，主要是经济综合实力不够强，要素制约还较为突出，生态环境治理仍有短板，公共服务有待提升，社会治理仍存在薄弱环节等等。我们一定要正视问题、直面挑战，切实增强实干意识，保持战略定力，奋发有为办好自己的事，以确定性的工作应对不确定性的形势，着力在把握趋势、抢抓机遇中破解发展难题、厚植发展优势。</w:t>
      </w:r>
    </w:p>
    <w:p w14:paraId="6139EB4B">
      <w:pPr>
        <w:pStyle w:val="3"/>
        <w:adjustRightInd w:val="0"/>
        <w:snapToGrid w:val="0"/>
        <w:spacing w:before="0" w:after="0" w:line="324" w:lineRule="auto"/>
        <w:ind w:firstLine="630" w:firstLineChars="200"/>
        <w:rPr>
          <w:rFonts w:ascii="楷体_GB2312" w:eastAsia="楷体_GB2312"/>
          <w:snapToGrid w:val="0"/>
        </w:rPr>
      </w:pPr>
      <w:bookmarkStart w:id="7" w:name="_Toc65844501"/>
      <w:bookmarkStart w:id="8" w:name="_Toc67664563"/>
      <w:r>
        <w:rPr>
          <w:rFonts w:hint="eastAsia" w:ascii="楷体_GB2312" w:eastAsia="楷体_GB2312"/>
          <w:snapToGrid w:val="0"/>
        </w:rPr>
        <w:t>（三）2035年远景目标</w:t>
      </w:r>
      <w:bookmarkEnd w:id="7"/>
      <w:r>
        <w:rPr>
          <w:rFonts w:hint="eastAsia" w:ascii="楷体_GB2312" w:eastAsia="楷体_GB2312"/>
          <w:snapToGrid w:val="0"/>
        </w:rPr>
        <w:t>。</w:t>
      </w:r>
      <w:bookmarkEnd w:id="8"/>
    </w:p>
    <w:p w14:paraId="479A4652">
      <w:pPr>
        <w:overflowPunct w:val="0"/>
        <w:adjustRightInd w:val="0"/>
        <w:spacing w:line="324" w:lineRule="auto"/>
        <w:ind w:firstLine="630" w:firstLineChars="200"/>
        <w:rPr>
          <w:rFonts w:ascii="仿宋_GB2312"/>
          <w:snapToGrid w:val="0"/>
        </w:rPr>
      </w:pPr>
      <w:r>
        <w:rPr>
          <w:rFonts w:hint="eastAsia" w:ascii="仿宋_GB2312"/>
          <w:snapToGrid w:val="0"/>
        </w:rPr>
        <w:t>展望2035年，我县将基本实现高水平现代化，成为新时代全面展示中国特色社会主义制度优越性重要窗口的县域样本，地区生产总值力争达到2000亿元，人均生产总值和居民人均可支配收入比2025年翻一番。</w:t>
      </w:r>
    </w:p>
    <w:p w14:paraId="1BC61CC1">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经济高质量发展迈上新的大台阶，人均生产总值力争达到发达经济体水平，基本实现新型工业化、信息化、城镇化、农业农村现代化，常住人口城镇化率达到80%左右，建成具有全国影响力的创新型县和科技强县、人才强县，建成现代化基础设施体系，形成现代化经济体系。</w:t>
      </w:r>
    </w:p>
    <w:p w14:paraId="124ADC46">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社会文明程度大幅提升，率先实现教育现代化、卫生健康现代化，文化软实力全面增强，社会主义精神文明和物质文明全面协调发展，国民素质和社会文明程度达到新高度。</w:t>
      </w:r>
    </w:p>
    <w:p w14:paraId="02E76CDC">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共同富裕率先取得实质性重大进展，居民人均收入与人均生产总值之比达到发达经济体水平，中等收入群体显著扩大，建成现代化公共服务体系，城乡统筹发展和居民生活水平均衡度持续领先，建成集聚百万人口的现代化美丽城市。</w:t>
      </w:r>
    </w:p>
    <w:p w14:paraId="44EE3567">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基本实现人与自然和谐共生的现代化，绿水青山就是金山银山理念在长兴大地焕发更为蓬勃旺盛的真理伟力，生态环境质量、资源能源集约利用、美丽经济发展跻身全省前列，碳排放达峰后稳中有降，高质量建成美丽浙江、美丽中国示范区。</w:t>
      </w:r>
    </w:p>
    <w:p w14:paraId="3BDC8F15">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基本实现县域治理现代化，高水平建成整体智治体系和现代政府，建成法治政府、法治社会。安全保障体系不断健全，共建共治共享的社会治理格局更加完善，高水平建成平安中国示范县。</w:t>
      </w:r>
    </w:p>
    <w:p w14:paraId="66874304">
      <w:pPr>
        <w:adjustRightInd w:val="0"/>
        <w:ind w:firstLine="590" w:firstLineChars="200"/>
      </w:pPr>
      <w:r>
        <w:rPr>
          <w:rFonts w:hint="eastAsia" w:ascii="华文仿宋" w:hAnsi="华文仿宋" w:eastAsia="华文仿宋"/>
          <w:sz w:val="30"/>
          <w:szCs w:val="30"/>
        </w:rPr>
        <w:t>——</w:t>
      </w:r>
      <w:r>
        <w:rPr>
          <w:rFonts w:hint="eastAsia"/>
        </w:rPr>
        <w:t>党的全面领导落实到各领域各方面的高效执行体系全面形成，全面从严治党持续深入推进，清廉长兴全面建成，政治生态风清气正，中国特色社会主义制度优越性在长兴大地上全面展示。</w:t>
      </w:r>
    </w:p>
    <w:p w14:paraId="59FFF1B8">
      <w:pPr>
        <w:pStyle w:val="3"/>
        <w:adjustRightInd w:val="0"/>
        <w:snapToGrid w:val="0"/>
        <w:spacing w:before="0" w:after="0" w:line="324" w:lineRule="auto"/>
        <w:ind w:firstLine="630" w:firstLineChars="200"/>
        <w:rPr>
          <w:rFonts w:ascii="楷体_GB2312" w:eastAsia="楷体_GB2312"/>
          <w:snapToGrid w:val="0"/>
        </w:rPr>
      </w:pPr>
      <w:bookmarkStart w:id="9" w:name="_Toc65844502"/>
      <w:bookmarkStart w:id="10" w:name="_Toc67664564"/>
      <w:r>
        <w:rPr>
          <w:rFonts w:hint="eastAsia" w:ascii="楷体_GB2312" w:eastAsia="楷体_GB2312"/>
          <w:snapToGrid w:val="0"/>
        </w:rPr>
        <w:t>（四）“十四五”时期经济社会发展的指导思想</w:t>
      </w:r>
      <w:bookmarkEnd w:id="9"/>
      <w:r>
        <w:rPr>
          <w:rFonts w:hint="eastAsia" w:ascii="楷体_GB2312" w:eastAsia="楷体_GB2312"/>
          <w:snapToGrid w:val="0"/>
        </w:rPr>
        <w:t>。</w:t>
      </w:r>
      <w:bookmarkEnd w:id="10"/>
    </w:p>
    <w:p w14:paraId="3D29C2AF">
      <w:pPr>
        <w:overflowPunct w:val="0"/>
        <w:adjustRightInd w:val="0"/>
        <w:spacing w:line="324" w:lineRule="auto"/>
        <w:ind w:firstLine="630" w:firstLineChars="200"/>
        <w:rPr>
          <w:rFonts w:ascii="仿宋_GB2312"/>
          <w:snapToGrid w:val="0"/>
        </w:rPr>
      </w:pPr>
      <w:r>
        <w:rPr>
          <w:rFonts w:hint="eastAsia" w:ascii="仿宋_GB2312"/>
          <w:snapToGrid w:val="0"/>
        </w:rPr>
        <w:t>高举习近平新时代中国特色社会主义思想伟大旗帜，深入贯彻党的十九大和十九届二中、三中、四中、五中全会精神，全面贯彻党的基本理论、基本路线、基本方略，紧紧围绕“五位一体”总体布局和“四个全面”战略布局，坚持党的全面领导，坚持以人民为中心，坚持新发展理念，坚持深化改革开放，坚持系统观念，坚持稳中求进工作总基调，以推动高质量发展为主题，以深化供给侧结构性改革为主线，以改革创新为根本动力，以满足人民日益增长的美好生活需要为根本目的，忠实践行“八八战略”，对标打造“重要窗口”示范样本，统筹发展和安全，全面融入新发展格局，深化实施“六大战略”，大力发扬“长兴精神”，聚力推动实体经济向数字化、智能化跃升，社会治理向高效协同、现代智治跃升，生态环境向全域美丽、全要素美丽跃升，人民生活向普惠共享、共同富裕跃升，努力在社会主义现代化建设中做到全面先行、全域先行。</w:t>
      </w:r>
    </w:p>
    <w:p w14:paraId="6A25801C">
      <w:pPr>
        <w:pStyle w:val="3"/>
        <w:adjustRightInd w:val="0"/>
        <w:snapToGrid w:val="0"/>
        <w:spacing w:before="0" w:after="0" w:line="324" w:lineRule="auto"/>
        <w:ind w:firstLine="630" w:firstLineChars="200"/>
        <w:rPr>
          <w:rFonts w:ascii="楷体_GB2312" w:eastAsia="楷体_GB2312"/>
          <w:snapToGrid w:val="0"/>
        </w:rPr>
      </w:pPr>
      <w:bookmarkStart w:id="11" w:name="_Toc65844503"/>
      <w:bookmarkStart w:id="12" w:name="_Toc67664565"/>
      <w:r>
        <w:rPr>
          <w:rFonts w:hint="eastAsia" w:ascii="楷体_GB2312" w:eastAsia="楷体_GB2312"/>
          <w:snapToGrid w:val="0"/>
        </w:rPr>
        <w:t>（五）“十四五”时期经济社会发展的主要目标</w:t>
      </w:r>
      <w:bookmarkEnd w:id="11"/>
      <w:r>
        <w:rPr>
          <w:rFonts w:hint="eastAsia" w:ascii="楷体_GB2312" w:eastAsia="楷体_GB2312"/>
          <w:snapToGrid w:val="0"/>
        </w:rPr>
        <w:t>。</w:t>
      </w:r>
      <w:bookmarkEnd w:id="12"/>
    </w:p>
    <w:p w14:paraId="52EC73FB">
      <w:pPr>
        <w:overflowPunct w:val="0"/>
        <w:adjustRightInd w:val="0"/>
        <w:spacing w:line="324" w:lineRule="auto"/>
        <w:ind w:firstLine="630" w:firstLineChars="200"/>
        <w:rPr>
          <w:rFonts w:ascii="仿宋_GB2312"/>
          <w:snapToGrid w:val="0"/>
        </w:rPr>
      </w:pPr>
      <w:r>
        <w:rPr>
          <w:rFonts w:hint="eastAsia" w:ascii="仿宋_GB2312"/>
          <w:snapToGrid w:val="0"/>
        </w:rPr>
        <w:t>面向社会主义现代化建设新征程，锚定二</w:t>
      </w:r>
      <w:r>
        <w:rPr>
          <w:rFonts w:hint="eastAsia" w:ascii="宋体" w:hAnsi="宋体" w:eastAsia="宋体" w:cs="宋体"/>
          <w:snapToGrid w:val="0"/>
        </w:rPr>
        <w:t>〇</w:t>
      </w:r>
      <w:r>
        <w:rPr>
          <w:rFonts w:hint="eastAsia" w:ascii="仿宋_GB2312"/>
          <w:snapToGrid w:val="0"/>
        </w:rPr>
        <w:t>三五年远景目标，“十四五”时期要准确把握长兴发展的历史方位、阶段特征和区域坐标，以数字化为牵引，聚焦聚力更高质量发展、更高品质生活，在“环太湖发展高地、长三角经济强县”建设中取得系统性成果，在打造“重要窗口”示范样本、争当社会主义现代化建设先行省中形成贡献长兴经验，全力争创长三角社会主义现代化先行县。</w:t>
      </w:r>
    </w:p>
    <w:p w14:paraId="5A62F648">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长三角产业发展新高地。在质量效益明显提升的基础上实现经济持续健康较快发展，产业基础高级化和产业链现代化水平显著提高，产业数字化和数字产业化发展取得重大进展，数字经济快速发展、实体经济全面振兴、产业结构显著优化、质量效益整体提升。到2025年，全县地区生产总值超过1000亿元，人均生产总值超全省平均水平，全员劳动生产率年均提高6%，绿色智造水平保持全省领先，以智能汽车为核心的标志性产业链基本形成，制造业增加值占GDP比重不低于40%，数字经济核心产业增加值占GDP比重达到7.5%，经济发展质量变革、效率变革、动力变革走在长三角地区县域前列。</w:t>
      </w:r>
    </w:p>
    <w:p w14:paraId="31E58B97">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长三角创新发展新高地。基本形成以创新驱动为主的发展模式，人才总量显著扩张，人才发展体制机制优势更加突出，人才公共服务体系全面优化升级。企业创新主体地位更加突出，政府引导创新、企业主动创新、平台服务创新的创新体系更加完善，企业家精神更加激发，知识产权保护更加有力，创新创业氛围更加浓厚，“产学研用金、才政介美云”十联动创新生态更加优化。“十四五”时期，R&amp;D经费支出占GDP比重保持高于全市平均水平，人才资源总量突破25万人，到2025年，每万人高价值发明专利拥有量达到9件，创新能力、创新活力、创新生态走在长三角地区县域前列。</w:t>
      </w:r>
    </w:p>
    <w:p w14:paraId="46AE11E8">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长三角开放发展新高地。营商环境全国一流，市场活力、社会活力充分激发，生产、流通、消费等各环节充分融入国内大循环和国际国内双循环，供给结构全面优化，供给质量全面提升，供给效益全面提高，在长三角一体化建设中更具显示度、竞争力，开放型经济发展水平显著提高。到2025年，货物贸易进出口额达到350亿元，服务贸易进出口额超过30亿元，累计实际利用外资超过16亿美元。开放发展的吸引力、竞争力、影响力走在长三角地区县域前列。</w:t>
      </w:r>
    </w:p>
    <w:p w14:paraId="02B4676C">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城乡融合现代化先行地。国土空间开发保护格局进一步优化，城乡基础设施和公共服务一体化水平全面提升，基本形成长三角主要城市一小时、县域内半小时交通圈。美丽城镇建设提档升级，城镇化质量显著提高，常住人口城镇化率达到70%，建成全国县城新型城镇化示范县。全面小康与乡村振兴战略实现有机衔接，“千万工程”深入推进，乡村振兴成为全国先行示范，农业农村现代化走在全国前列，成为全国城乡融合发展示范区。人与自然和谐共生，绿水青山就是金山银山的转化通道进一步拓宽，建成更高质量、更具品质的全域美丽“大花园”，成为长三角中心花园，创成全国生态文明建设示范县。空气质量优良天数比率超过90%，PM</w:t>
      </w:r>
      <w:r>
        <w:rPr>
          <w:rFonts w:hint="eastAsia" w:ascii="仿宋_GB2312"/>
          <w:snapToGrid w:val="0"/>
          <w:vertAlign w:val="subscript"/>
        </w:rPr>
        <w:t>2.5</w:t>
      </w:r>
      <w:r>
        <w:rPr>
          <w:rFonts w:hint="eastAsia" w:ascii="仿宋_GB2312"/>
          <w:snapToGrid w:val="0"/>
        </w:rPr>
        <w:t>平均浓度控制在25微克/立方米以内，达到或好于</w:t>
      </w:r>
      <w:r>
        <w:rPr>
          <w:rFonts w:hint="eastAsia" w:ascii="仿宋_GB2312" w:hAnsi="宋体" w:cs="宋体"/>
          <w:snapToGrid w:val="0"/>
        </w:rPr>
        <w:t>Ⅲ</w:t>
      </w:r>
      <w:r>
        <w:rPr>
          <w:rFonts w:hint="eastAsia" w:ascii="仿宋_GB2312"/>
          <w:snapToGrid w:val="0"/>
        </w:rPr>
        <w:t>类水体占地表水比例保持100%，全面完成节能减排控碳任务。</w:t>
      </w:r>
    </w:p>
    <w:p w14:paraId="226B091D">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美好生活现代化先行地。率先实现基本公共服务均等化，就业更加充分、更有质量，城镇登记失业率控制在2.0%以内；居民增收渠道更宽、更有保障，居民收入增长与经济增长基本同步。人民全生命周期需求普遍得到更高水平满足，“学在长兴”“健康长兴”“文化长兴”“文明长兴”建设内涵进一步丰富、品质进一步提升，社会保障和养老服务体系更加完善，到2025年，人均期望寿命延长到82.9岁，基本养老保险参保率不低于98%，基本实现应保尽保，民生福祉迈上新台阶，人民群众获得感、幸福感显著提升。</w:t>
      </w:r>
    </w:p>
    <w:p w14:paraId="6466365C">
      <w:pPr>
        <w:overflowPunct w:val="0"/>
        <w:adjustRightInd w:val="0"/>
        <w:spacing w:line="324" w:lineRule="auto"/>
        <w:ind w:firstLine="590" w:firstLineChars="200"/>
        <w:rPr>
          <w:rFonts w:ascii="仿宋_GB2312"/>
          <w:snapToGrid w:val="0"/>
        </w:rPr>
      </w:pPr>
      <w:r>
        <w:rPr>
          <w:rFonts w:hint="eastAsia" w:ascii="华文仿宋" w:hAnsi="华文仿宋" w:eastAsia="华文仿宋"/>
          <w:snapToGrid w:val="0"/>
          <w:sz w:val="30"/>
          <w:szCs w:val="30"/>
        </w:rPr>
        <w:t>——</w:t>
      </w:r>
      <w:r>
        <w:rPr>
          <w:rFonts w:hint="eastAsia" w:ascii="仿宋_GB2312"/>
          <w:snapToGrid w:val="0"/>
        </w:rPr>
        <w:t>努力建设社会治理现代化先行地。社会主义民主法治更加健全，社会公平正义进一步彰显，各领域法治化水平全面提升，党政机关整体智治、数字政府、数字社会和数字法治系统推进，高水平建成“整体智治、唯实惟先”的现代政府，党建统领的自治、法治、德治、智治融合基层治理体系成熟定型，现代应急体系基本建成，重大风险防范化解能力、突发公共事件应急能力、防灾减灾救灾能力显著增强，诚信体系全面构建，社会更加和谐安定，发展安全保障更加有力，建成平安中国示范县。到2025年，依申请政务服务办件“一网通办”率达到90%，综合行政执法事项占比提高到20%，亿元GDP生产安全事故死亡率控制在0.0176人/亿元以内。县域社会治理现代化水平全省领先。</w:t>
      </w:r>
    </w:p>
    <w:p w14:paraId="005898D8">
      <w:pPr>
        <w:overflowPunct w:val="0"/>
        <w:adjustRightInd w:val="0"/>
        <w:spacing w:line="324" w:lineRule="auto"/>
        <w:ind w:firstLine="630" w:firstLineChars="200"/>
        <w:rPr>
          <w:rFonts w:ascii="仿宋_GB2312"/>
          <w:snapToGrid w:val="0"/>
        </w:rPr>
      </w:pPr>
    </w:p>
    <w:p w14:paraId="0EA0F5EA">
      <w:pPr>
        <w:overflowPunct w:val="0"/>
        <w:adjustRightInd w:val="0"/>
        <w:spacing w:line="324" w:lineRule="auto"/>
        <w:ind w:firstLine="630" w:firstLineChars="200"/>
        <w:rPr>
          <w:rFonts w:ascii="仿宋_GB2312"/>
          <w:snapToGrid w:val="0"/>
        </w:rPr>
      </w:pPr>
    </w:p>
    <w:p w14:paraId="792E235B">
      <w:pPr>
        <w:overflowPunct w:val="0"/>
        <w:adjustRightInd w:val="0"/>
        <w:spacing w:line="324" w:lineRule="auto"/>
        <w:jc w:val="center"/>
        <w:rPr>
          <w:rFonts w:ascii="仿宋_GB2312"/>
          <w:snapToGrid w:val="0"/>
        </w:rPr>
        <w:sectPr>
          <w:footerReference r:id="rId5" w:type="default"/>
          <w:footerReference r:id="rId6" w:type="even"/>
          <w:pgSz w:w="11906" w:h="16838"/>
          <w:pgMar w:top="2098" w:right="1531" w:bottom="2098" w:left="1531" w:header="851" w:footer="1304" w:gutter="0"/>
          <w:cols w:space="720" w:num="1"/>
          <w:docGrid w:type="linesAndChars" w:linePitch="632" w:charSpace="-1065"/>
        </w:sectPr>
      </w:pPr>
    </w:p>
    <w:p w14:paraId="1539DB40">
      <w:pPr>
        <w:overflowPunct w:val="0"/>
        <w:adjustRightInd w:val="0"/>
        <w:spacing w:line="324" w:lineRule="auto"/>
        <w:jc w:val="center"/>
        <w:rPr>
          <w:rFonts w:ascii="仿宋_GB2312"/>
          <w:snapToGrid w:val="0"/>
        </w:rPr>
      </w:pPr>
      <w:r>
        <w:rPr>
          <w:rFonts w:hint="eastAsia" w:ascii="仿宋_GB2312"/>
          <w:snapToGrid w:val="0"/>
        </w:rPr>
        <w:t>专栏：“十四五”时期经济和社会发展主要指标</w:t>
      </w:r>
    </w:p>
    <w:tbl>
      <w:tblPr>
        <w:tblStyle w:val="14"/>
        <w:tblW w:w="4911"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49"/>
        <w:gridCol w:w="735"/>
        <w:gridCol w:w="3638"/>
        <w:gridCol w:w="1357"/>
        <w:gridCol w:w="1071"/>
        <w:gridCol w:w="1786"/>
        <w:gridCol w:w="1693"/>
        <w:gridCol w:w="1200"/>
      </w:tblGrid>
      <w:tr w14:paraId="6FE0F0A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455" w:type="pct"/>
            <w:vMerge w:val="restart"/>
            <w:shd w:val="clear" w:color="auto" w:fill="auto"/>
            <w:vAlign w:val="center"/>
          </w:tcPr>
          <w:p w14:paraId="321E72F0">
            <w:pPr>
              <w:adjustRightInd w:val="0"/>
              <w:spacing w:line="240" w:lineRule="auto"/>
              <w:jc w:val="center"/>
              <w:rPr>
                <w:rFonts w:ascii="仿宋_GB2312"/>
                <w:b/>
                <w:sz w:val="21"/>
                <w:szCs w:val="21"/>
              </w:rPr>
            </w:pPr>
            <w:r>
              <w:rPr>
                <w:rFonts w:hint="eastAsia" w:ascii="仿宋_GB2312"/>
                <w:b/>
                <w:sz w:val="21"/>
                <w:szCs w:val="21"/>
              </w:rPr>
              <w:t>一级指标</w:t>
            </w:r>
          </w:p>
        </w:tc>
        <w:tc>
          <w:tcPr>
            <w:tcW w:w="291" w:type="pct"/>
            <w:vMerge w:val="restart"/>
            <w:shd w:val="clear" w:color="auto" w:fill="auto"/>
            <w:vAlign w:val="center"/>
          </w:tcPr>
          <w:p w14:paraId="2881584F">
            <w:pPr>
              <w:adjustRightInd w:val="0"/>
              <w:spacing w:line="240" w:lineRule="auto"/>
              <w:jc w:val="center"/>
              <w:rPr>
                <w:rFonts w:ascii="仿宋_GB2312"/>
                <w:b/>
                <w:sz w:val="21"/>
                <w:szCs w:val="21"/>
              </w:rPr>
            </w:pPr>
            <w:r>
              <w:rPr>
                <w:rFonts w:hint="eastAsia" w:ascii="仿宋_GB2312"/>
                <w:b/>
                <w:sz w:val="21"/>
                <w:szCs w:val="21"/>
              </w:rPr>
              <w:t>序号</w:t>
            </w:r>
          </w:p>
        </w:tc>
        <w:tc>
          <w:tcPr>
            <w:tcW w:w="1440" w:type="pct"/>
            <w:vMerge w:val="restart"/>
            <w:shd w:val="clear" w:color="auto" w:fill="auto"/>
            <w:vAlign w:val="center"/>
          </w:tcPr>
          <w:p w14:paraId="0A30BB6A">
            <w:pPr>
              <w:adjustRightInd w:val="0"/>
              <w:spacing w:line="240" w:lineRule="auto"/>
              <w:jc w:val="center"/>
              <w:rPr>
                <w:rFonts w:ascii="仿宋_GB2312"/>
                <w:b/>
                <w:sz w:val="21"/>
                <w:szCs w:val="21"/>
              </w:rPr>
            </w:pPr>
            <w:r>
              <w:rPr>
                <w:rFonts w:hint="eastAsia" w:ascii="仿宋_GB2312"/>
                <w:b/>
                <w:sz w:val="21"/>
                <w:szCs w:val="21"/>
              </w:rPr>
              <w:t>二级指标</w:t>
            </w:r>
          </w:p>
        </w:tc>
        <w:tc>
          <w:tcPr>
            <w:tcW w:w="537" w:type="pct"/>
            <w:vMerge w:val="restart"/>
            <w:shd w:val="clear" w:color="auto" w:fill="auto"/>
            <w:vAlign w:val="center"/>
          </w:tcPr>
          <w:p w14:paraId="6060ABCA">
            <w:pPr>
              <w:adjustRightInd w:val="0"/>
              <w:spacing w:line="240" w:lineRule="auto"/>
              <w:jc w:val="center"/>
              <w:rPr>
                <w:rFonts w:ascii="仿宋_GB2312"/>
                <w:b/>
                <w:sz w:val="21"/>
                <w:szCs w:val="21"/>
              </w:rPr>
            </w:pPr>
            <w:r>
              <w:rPr>
                <w:rFonts w:hint="eastAsia" w:ascii="仿宋_GB2312"/>
                <w:b/>
                <w:sz w:val="21"/>
                <w:szCs w:val="21"/>
              </w:rPr>
              <w:t>单位</w:t>
            </w:r>
          </w:p>
        </w:tc>
        <w:tc>
          <w:tcPr>
            <w:tcW w:w="424" w:type="pct"/>
            <w:vMerge w:val="restart"/>
            <w:shd w:val="clear" w:color="auto" w:fill="auto"/>
            <w:vAlign w:val="center"/>
          </w:tcPr>
          <w:p w14:paraId="7CD10F68">
            <w:pPr>
              <w:adjustRightInd w:val="0"/>
              <w:spacing w:line="240" w:lineRule="auto"/>
              <w:jc w:val="center"/>
              <w:rPr>
                <w:rFonts w:ascii="仿宋_GB2312"/>
                <w:b/>
                <w:sz w:val="21"/>
                <w:szCs w:val="21"/>
              </w:rPr>
            </w:pPr>
            <w:r>
              <w:rPr>
                <w:rFonts w:hint="eastAsia" w:ascii="仿宋_GB2312"/>
                <w:b/>
                <w:sz w:val="21"/>
                <w:szCs w:val="21"/>
              </w:rPr>
              <w:t>2020年</w:t>
            </w:r>
          </w:p>
        </w:tc>
        <w:tc>
          <w:tcPr>
            <w:tcW w:w="1377" w:type="pct"/>
            <w:gridSpan w:val="2"/>
            <w:shd w:val="clear" w:color="auto" w:fill="auto"/>
            <w:vAlign w:val="center"/>
          </w:tcPr>
          <w:p w14:paraId="389C145C">
            <w:pPr>
              <w:adjustRightInd w:val="0"/>
              <w:spacing w:line="240" w:lineRule="auto"/>
              <w:jc w:val="center"/>
              <w:rPr>
                <w:rFonts w:ascii="仿宋_GB2312"/>
                <w:b/>
                <w:sz w:val="21"/>
                <w:szCs w:val="21"/>
              </w:rPr>
            </w:pPr>
            <w:r>
              <w:rPr>
                <w:rFonts w:hint="eastAsia" w:ascii="仿宋_GB2312"/>
                <w:b/>
                <w:sz w:val="21"/>
                <w:szCs w:val="21"/>
              </w:rPr>
              <w:t>“十四五”规划目标</w:t>
            </w:r>
          </w:p>
        </w:tc>
        <w:tc>
          <w:tcPr>
            <w:tcW w:w="475" w:type="pct"/>
            <w:vMerge w:val="restart"/>
            <w:shd w:val="clear" w:color="auto" w:fill="auto"/>
            <w:vAlign w:val="center"/>
          </w:tcPr>
          <w:p w14:paraId="3CA05A1E">
            <w:pPr>
              <w:adjustRightInd w:val="0"/>
              <w:spacing w:line="240" w:lineRule="auto"/>
              <w:jc w:val="center"/>
              <w:rPr>
                <w:rFonts w:ascii="仿宋_GB2312"/>
                <w:b/>
                <w:sz w:val="21"/>
                <w:szCs w:val="21"/>
              </w:rPr>
            </w:pPr>
            <w:r>
              <w:rPr>
                <w:rFonts w:hint="eastAsia" w:ascii="仿宋_GB2312"/>
                <w:b/>
                <w:sz w:val="21"/>
                <w:szCs w:val="21"/>
              </w:rPr>
              <w:t>指标属性</w:t>
            </w:r>
          </w:p>
        </w:tc>
      </w:tr>
      <w:tr w14:paraId="2B390DE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455" w:type="pct"/>
            <w:vMerge w:val="continue"/>
            <w:shd w:val="clear" w:color="auto" w:fill="auto"/>
            <w:vAlign w:val="center"/>
          </w:tcPr>
          <w:p w14:paraId="5CA95482">
            <w:pPr>
              <w:adjustRightInd w:val="0"/>
              <w:spacing w:line="240" w:lineRule="auto"/>
              <w:jc w:val="center"/>
              <w:rPr>
                <w:rFonts w:ascii="仿宋_GB2312"/>
                <w:sz w:val="21"/>
                <w:szCs w:val="21"/>
              </w:rPr>
            </w:pPr>
          </w:p>
        </w:tc>
        <w:tc>
          <w:tcPr>
            <w:tcW w:w="291" w:type="pct"/>
            <w:vMerge w:val="continue"/>
            <w:shd w:val="clear" w:color="auto" w:fill="auto"/>
            <w:vAlign w:val="center"/>
          </w:tcPr>
          <w:p w14:paraId="26A60302">
            <w:pPr>
              <w:adjustRightInd w:val="0"/>
              <w:spacing w:line="240" w:lineRule="auto"/>
              <w:jc w:val="center"/>
              <w:rPr>
                <w:rFonts w:ascii="仿宋_GB2312"/>
                <w:sz w:val="21"/>
                <w:szCs w:val="21"/>
              </w:rPr>
            </w:pPr>
          </w:p>
        </w:tc>
        <w:tc>
          <w:tcPr>
            <w:tcW w:w="1440" w:type="pct"/>
            <w:vMerge w:val="continue"/>
            <w:shd w:val="clear" w:color="auto" w:fill="auto"/>
            <w:vAlign w:val="center"/>
          </w:tcPr>
          <w:p w14:paraId="67DAE1AA">
            <w:pPr>
              <w:adjustRightInd w:val="0"/>
              <w:spacing w:line="240" w:lineRule="auto"/>
              <w:jc w:val="center"/>
              <w:rPr>
                <w:rFonts w:ascii="仿宋_GB2312"/>
                <w:sz w:val="21"/>
                <w:szCs w:val="21"/>
              </w:rPr>
            </w:pPr>
          </w:p>
        </w:tc>
        <w:tc>
          <w:tcPr>
            <w:tcW w:w="537" w:type="pct"/>
            <w:vMerge w:val="continue"/>
            <w:shd w:val="clear" w:color="auto" w:fill="auto"/>
            <w:vAlign w:val="center"/>
          </w:tcPr>
          <w:p w14:paraId="630AE503">
            <w:pPr>
              <w:adjustRightInd w:val="0"/>
              <w:spacing w:line="240" w:lineRule="auto"/>
              <w:jc w:val="center"/>
              <w:rPr>
                <w:rFonts w:ascii="仿宋_GB2312"/>
                <w:sz w:val="21"/>
                <w:szCs w:val="21"/>
              </w:rPr>
            </w:pPr>
          </w:p>
        </w:tc>
        <w:tc>
          <w:tcPr>
            <w:tcW w:w="424" w:type="pct"/>
            <w:vMerge w:val="continue"/>
            <w:shd w:val="clear" w:color="auto" w:fill="auto"/>
            <w:vAlign w:val="center"/>
          </w:tcPr>
          <w:p w14:paraId="6AA06F2B">
            <w:pPr>
              <w:adjustRightInd w:val="0"/>
              <w:spacing w:line="240" w:lineRule="auto"/>
              <w:jc w:val="center"/>
              <w:rPr>
                <w:rFonts w:ascii="仿宋_GB2312"/>
                <w:sz w:val="21"/>
                <w:szCs w:val="21"/>
              </w:rPr>
            </w:pPr>
          </w:p>
        </w:tc>
        <w:tc>
          <w:tcPr>
            <w:tcW w:w="707" w:type="pct"/>
            <w:shd w:val="clear" w:color="auto" w:fill="auto"/>
            <w:vAlign w:val="center"/>
          </w:tcPr>
          <w:p w14:paraId="6BCA0E67">
            <w:pPr>
              <w:adjustRightInd w:val="0"/>
              <w:spacing w:line="240" w:lineRule="auto"/>
              <w:jc w:val="center"/>
              <w:rPr>
                <w:rFonts w:ascii="仿宋_GB2312"/>
                <w:b/>
                <w:sz w:val="21"/>
                <w:szCs w:val="21"/>
              </w:rPr>
            </w:pPr>
            <w:r>
              <w:rPr>
                <w:rFonts w:hint="eastAsia" w:ascii="仿宋_GB2312"/>
                <w:b/>
                <w:sz w:val="21"/>
                <w:szCs w:val="21"/>
              </w:rPr>
              <w:t>2025年</w:t>
            </w:r>
          </w:p>
        </w:tc>
        <w:tc>
          <w:tcPr>
            <w:tcW w:w="670" w:type="pct"/>
            <w:vAlign w:val="center"/>
          </w:tcPr>
          <w:p w14:paraId="723253BF">
            <w:pPr>
              <w:adjustRightInd w:val="0"/>
              <w:spacing w:line="240" w:lineRule="auto"/>
              <w:jc w:val="center"/>
              <w:rPr>
                <w:rFonts w:ascii="仿宋_GB2312"/>
                <w:b/>
                <w:spacing w:val="-4"/>
                <w:sz w:val="21"/>
                <w:szCs w:val="21"/>
              </w:rPr>
            </w:pPr>
            <w:r>
              <w:rPr>
                <w:rFonts w:hint="eastAsia" w:ascii="仿宋_GB2312"/>
                <w:b/>
                <w:spacing w:val="-4"/>
                <w:sz w:val="21"/>
                <w:szCs w:val="21"/>
              </w:rPr>
              <w:t>年均增长（提高）</w:t>
            </w:r>
          </w:p>
        </w:tc>
        <w:tc>
          <w:tcPr>
            <w:tcW w:w="475" w:type="pct"/>
            <w:vMerge w:val="continue"/>
            <w:shd w:val="clear" w:color="auto" w:fill="auto"/>
            <w:vAlign w:val="center"/>
          </w:tcPr>
          <w:p w14:paraId="102AC779">
            <w:pPr>
              <w:adjustRightInd w:val="0"/>
              <w:spacing w:line="240" w:lineRule="auto"/>
              <w:jc w:val="center"/>
              <w:rPr>
                <w:rFonts w:ascii="仿宋_GB2312"/>
                <w:sz w:val="21"/>
                <w:szCs w:val="21"/>
              </w:rPr>
            </w:pPr>
          </w:p>
        </w:tc>
      </w:tr>
      <w:tr w14:paraId="045037F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212A54FD">
            <w:pPr>
              <w:adjustRightInd w:val="0"/>
              <w:spacing w:line="240" w:lineRule="auto"/>
              <w:jc w:val="center"/>
              <w:rPr>
                <w:rFonts w:ascii="仿宋_GB2312"/>
                <w:sz w:val="21"/>
                <w:szCs w:val="21"/>
              </w:rPr>
            </w:pPr>
            <w:r>
              <w:rPr>
                <w:rFonts w:hint="eastAsia" w:ascii="仿宋_GB2312"/>
                <w:sz w:val="21"/>
                <w:szCs w:val="21"/>
              </w:rPr>
              <w:t>经济发展</w:t>
            </w:r>
          </w:p>
        </w:tc>
        <w:tc>
          <w:tcPr>
            <w:tcW w:w="291" w:type="pct"/>
            <w:shd w:val="clear" w:color="auto" w:fill="auto"/>
            <w:vAlign w:val="center"/>
          </w:tcPr>
          <w:p w14:paraId="7D7B06E0">
            <w:pPr>
              <w:adjustRightInd w:val="0"/>
              <w:spacing w:line="240" w:lineRule="auto"/>
              <w:jc w:val="center"/>
              <w:rPr>
                <w:rFonts w:ascii="仿宋_GB2312"/>
                <w:sz w:val="21"/>
                <w:szCs w:val="21"/>
              </w:rPr>
            </w:pPr>
            <w:r>
              <w:rPr>
                <w:rFonts w:hint="eastAsia" w:ascii="仿宋_GB2312"/>
                <w:sz w:val="21"/>
                <w:szCs w:val="21"/>
              </w:rPr>
              <w:t>1</w:t>
            </w:r>
          </w:p>
        </w:tc>
        <w:tc>
          <w:tcPr>
            <w:tcW w:w="1440" w:type="pct"/>
            <w:shd w:val="clear" w:color="auto" w:fill="auto"/>
            <w:vAlign w:val="center"/>
          </w:tcPr>
          <w:p w14:paraId="438297C9">
            <w:pPr>
              <w:adjustRightInd w:val="0"/>
              <w:spacing w:line="240" w:lineRule="auto"/>
              <w:rPr>
                <w:rFonts w:ascii="仿宋_GB2312"/>
                <w:sz w:val="21"/>
                <w:szCs w:val="21"/>
              </w:rPr>
            </w:pPr>
            <w:r>
              <w:rPr>
                <w:rFonts w:hint="eastAsia" w:ascii="仿宋_GB2312"/>
                <w:sz w:val="21"/>
                <w:szCs w:val="21"/>
              </w:rPr>
              <w:t>地区生产总值（GDP）</w:t>
            </w:r>
          </w:p>
        </w:tc>
        <w:tc>
          <w:tcPr>
            <w:tcW w:w="537" w:type="pct"/>
            <w:shd w:val="clear" w:color="auto" w:fill="auto"/>
            <w:vAlign w:val="center"/>
          </w:tcPr>
          <w:p w14:paraId="33611342">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303FF0E5">
            <w:pPr>
              <w:adjustRightInd w:val="0"/>
              <w:spacing w:line="240" w:lineRule="auto"/>
              <w:jc w:val="center"/>
              <w:rPr>
                <w:rFonts w:ascii="仿宋_GB2312"/>
                <w:sz w:val="21"/>
                <w:szCs w:val="21"/>
              </w:rPr>
            </w:pPr>
            <w:r>
              <w:rPr>
                <w:rFonts w:hint="eastAsia" w:ascii="仿宋_GB2312"/>
                <w:sz w:val="21"/>
                <w:szCs w:val="21"/>
              </w:rPr>
              <w:t>702.39</w:t>
            </w:r>
          </w:p>
        </w:tc>
        <w:tc>
          <w:tcPr>
            <w:tcW w:w="707" w:type="pct"/>
            <w:shd w:val="clear" w:color="auto" w:fill="auto"/>
            <w:vAlign w:val="center"/>
          </w:tcPr>
          <w:p w14:paraId="286C8DEA">
            <w:pPr>
              <w:adjustRightInd w:val="0"/>
              <w:spacing w:line="240" w:lineRule="auto"/>
              <w:jc w:val="center"/>
              <w:rPr>
                <w:rFonts w:ascii="仿宋_GB2312"/>
                <w:sz w:val="21"/>
                <w:szCs w:val="21"/>
              </w:rPr>
            </w:pPr>
            <w:r>
              <w:rPr>
                <w:rFonts w:hint="eastAsia" w:ascii="仿宋_GB2312"/>
                <w:sz w:val="21"/>
                <w:szCs w:val="21"/>
              </w:rPr>
              <w:t>＞1000</w:t>
            </w:r>
          </w:p>
        </w:tc>
        <w:tc>
          <w:tcPr>
            <w:tcW w:w="670" w:type="pct"/>
            <w:vAlign w:val="center"/>
          </w:tcPr>
          <w:p w14:paraId="5D8B2C7D">
            <w:pPr>
              <w:adjustRightInd w:val="0"/>
              <w:spacing w:line="240" w:lineRule="auto"/>
              <w:jc w:val="center"/>
              <w:rPr>
                <w:rFonts w:ascii="仿宋_GB2312"/>
                <w:sz w:val="21"/>
                <w:szCs w:val="21"/>
              </w:rPr>
            </w:pPr>
            <w:r>
              <w:rPr>
                <w:rFonts w:hint="eastAsia" w:ascii="仿宋_GB2312"/>
                <w:sz w:val="21"/>
                <w:szCs w:val="21"/>
              </w:rPr>
              <w:t>7.5%左右</w:t>
            </w:r>
          </w:p>
        </w:tc>
        <w:tc>
          <w:tcPr>
            <w:tcW w:w="475" w:type="pct"/>
            <w:shd w:val="clear" w:color="auto" w:fill="auto"/>
            <w:vAlign w:val="center"/>
          </w:tcPr>
          <w:p w14:paraId="5EA1D1EE">
            <w:pPr>
              <w:adjustRightInd w:val="0"/>
              <w:spacing w:line="240" w:lineRule="auto"/>
              <w:jc w:val="center"/>
              <w:rPr>
                <w:rFonts w:ascii="仿宋_GB2312"/>
                <w:sz w:val="21"/>
                <w:szCs w:val="21"/>
              </w:rPr>
            </w:pPr>
            <w:r>
              <w:rPr>
                <w:rFonts w:hint="eastAsia" w:ascii="仿宋_GB2312"/>
                <w:sz w:val="21"/>
                <w:szCs w:val="21"/>
              </w:rPr>
              <w:t>预期性</w:t>
            </w:r>
          </w:p>
        </w:tc>
      </w:tr>
      <w:tr w14:paraId="17AB97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067894BE">
            <w:pPr>
              <w:adjustRightInd w:val="0"/>
              <w:spacing w:line="240" w:lineRule="auto"/>
              <w:jc w:val="center"/>
              <w:rPr>
                <w:rFonts w:ascii="仿宋_GB2312"/>
                <w:sz w:val="21"/>
                <w:szCs w:val="21"/>
              </w:rPr>
            </w:pPr>
          </w:p>
        </w:tc>
        <w:tc>
          <w:tcPr>
            <w:tcW w:w="291" w:type="pct"/>
            <w:shd w:val="clear" w:color="auto" w:fill="auto"/>
            <w:vAlign w:val="center"/>
          </w:tcPr>
          <w:p w14:paraId="6622268C">
            <w:pPr>
              <w:adjustRightInd w:val="0"/>
              <w:spacing w:line="240" w:lineRule="auto"/>
              <w:jc w:val="center"/>
              <w:rPr>
                <w:rFonts w:ascii="仿宋_GB2312"/>
                <w:sz w:val="21"/>
                <w:szCs w:val="21"/>
              </w:rPr>
            </w:pPr>
            <w:r>
              <w:rPr>
                <w:rFonts w:hint="eastAsia" w:ascii="仿宋_GB2312"/>
                <w:sz w:val="21"/>
                <w:szCs w:val="21"/>
              </w:rPr>
              <w:t>2</w:t>
            </w:r>
          </w:p>
        </w:tc>
        <w:tc>
          <w:tcPr>
            <w:tcW w:w="1440" w:type="pct"/>
            <w:shd w:val="clear" w:color="auto" w:fill="auto"/>
            <w:vAlign w:val="center"/>
          </w:tcPr>
          <w:p w14:paraId="3CBF41C8">
            <w:pPr>
              <w:adjustRightInd w:val="0"/>
              <w:spacing w:line="240" w:lineRule="auto"/>
              <w:rPr>
                <w:rFonts w:ascii="仿宋_GB2312"/>
                <w:sz w:val="21"/>
                <w:szCs w:val="21"/>
              </w:rPr>
            </w:pPr>
            <w:r>
              <w:rPr>
                <w:rFonts w:hint="eastAsia" w:ascii="仿宋_GB2312"/>
                <w:sz w:val="21"/>
                <w:szCs w:val="21"/>
              </w:rPr>
              <w:t>全员劳动生产率</w:t>
            </w:r>
          </w:p>
        </w:tc>
        <w:tc>
          <w:tcPr>
            <w:tcW w:w="537" w:type="pct"/>
            <w:shd w:val="clear" w:color="auto" w:fill="auto"/>
            <w:vAlign w:val="center"/>
          </w:tcPr>
          <w:p w14:paraId="51D386D6">
            <w:pPr>
              <w:adjustRightInd w:val="0"/>
              <w:spacing w:line="240" w:lineRule="auto"/>
              <w:jc w:val="center"/>
              <w:rPr>
                <w:rFonts w:ascii="仿宋_GB2312"/>
                <w:sz w:val="21"/>
                <w:szCs w:val="21"/>
              </w:rPr>
            </w:pPr>
            <w:r>
              <w:rPr>
                <w:rFonts w:hint="eastAsia" w:ascii="仿宋_GB2312"/>
                <w:sz w:val="21"/>
                <w:szCs w:val="21"/>
              </w:rPr>
              <w:t>万元/人</w:t>
            </w:r>
          </w:p>
        </w:tc>
        <w:tc>
          <w:tcPr>
            <w:tcW w:w="424" w:type="pct"/>
            <w:shd w:val="clear" w:color="auto" w:fill="auto"/>
            <w:vAlign w:val="center"/>
          </w:tcPr>
          <w:p w14:paraId="2E1E83BF">
            <w:pPr>
              <w:adjustRightInd w:val="0"/>
              <w:spacing w:line="240" w:lineRule="auto"/>
              <w:jc w:val="center"/>
              <w:rPr>
                <w:rFonts w:ascii="仿宋_GB2312"/>
                <w:sz w:val="21"/>
                <w:szCs w:val="21"/>
              </w:rPr>
            </w:pPr>
            <w:r>
              <w:rPr>
                <w:rFonts w:hint="eastAsia" w:ascii="仿宋_GB2312"/>
                <w:sz w:val="21"/>
                <w:szCs w:val="21"/>
              </w:rPr>
              <w:t>18.5</w:t>
            </w:r>
          </w:p>
        </w:tc>
        <w:tc>
          <w:tcPr>
            <w:tcW w:w="707" w:type="pct"/>
            <w:shd w:val="clear" w:color="auto" w:fill="auto"/>
            <w:vAlign w:val="center"/>
          </w:tcPr>
          <w:p w14:paraId="42EFA88D">
            <w:pPr>
              <w:adjustRightInd w:val="0"/>
              <w:spacing w:line="240" w:lineRule="auto"/>
              <w:jc w:val="center"/>
              <w:rPr>
                <w:rFonts w:ascii="仿宋_GB2312"/>
                <w:sz w:val="21"/>
                <w:szCs w:val="21"/>
              </w:rPr>
            </w:pPr>
          </w:p>
        </w:tc>
        <w:tc>
          <w:tcPr>
            <w:tcW w:w="670" w:type="pct"/>
            <w:vAlign w:val="center"/>
          </w:tcPr>
          <w:p w14:paraId="384C0341">
            <w:pPr>
              <w:adjustRightInd w:val="0"/>
              <w:spacing w:line="240" w:lineRule="auto"/>
              <w:jc w:val="center"/>
              <w:rPr>
                <w:rFonts w:ascii="仿宋_GB2312"/>
                <w:sz w:val="21"/>
                <w:szCs w:val="21"/>
              </w:rPr>
            </w:pPr>
            <w:r>
              <w:rPr>
                <w:rFonts w:hint="eastAsia" w:ascii="仿宋_GB2312"/>
                <w:sz w:val="21"/>
                <w:szCs w:val="21"/>
              </w:rPr>
              <w:t>6%</w:t>
            </w:r>
          </w:p>
        </w:tc>
        <w:tc>
          <w:tcPr>
            <w:tcW w:w="475" w:type="pct"/>
            <w:shd w:val="clear" w:color="auto" w:fill="auto"/>
            <w:vAlign w:val="center"/>
          </w:tcPr>
          <w:p w14:paraId="21D21821">
            <w:pPr>
              <w:adjustRightInd w:val="0"/>
              <w:spacing w:line="240" w:lineRule="auto"/>
              <w:jc w:val="center"/>
              <w:rPr>
                <w:rFonts w:ascii="仿宋_GB2312"/>
                <w:sz w:val="21"/>
                <w:szCs w:val="21"/>
              </w:rPr>
            </w:pPr>
            <w:r>
              <w:rPr>
                <w:rFonts w:hint="eastAsia" w:ascii="仿宋_GB2312"/>
                <w:sz w:val="21"/>
                <w:szCs w:val="21"/>
              </w:rPr>
              <w:t>预期性</w:t>
            </w:r>
          </w:p>
        </w:tc>
      </w:tr>
      <w:tr w14:paraId="7950654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24D7E504">
            <w:pPr>
              <w:adjustRightInd w:val="0"/>
              <w:spacing w:line="240" w:lineRule="auto"/>
              <w:jc w:val="center"/>
              <w:rPr>
                <w:rFonts w:ascii="仿宋_GB2312"/>
                <w:sz w:val="21"/>
                <w:szCs w:val="21"/>
              </w:rPr>
            </w:pPr>
          </w:p>
        </w:tc>
        <w:tc>
          <w:tcPr>
            <w:tcW w:w="291" w:type="pct"/>
            <w:shd w:val="clear" w:color="auto" w:fill="auto"/>
            <w:vAlign w:val="center"/>
          </w:tcPr>
          <w:p w14:paraId="784575D5">
            <w:pPr>
              <w:adjustRightInd w:val="0"/>
              <w:spacing w:line="240" w:lineRule="auto"/>
              <w:jc w:val="center"/>
              <w:rPr>
                <w:rFonts w:ascii="仿宋_GB2312"/>
                <w:sz w:val="21"/>
                <w:szCs w:val="21"/>
              </w:rPr>
            </w:pPr>
            <w:r>
              <w:rPr>
                <w:rFonts w:hint="eastAsia" w:ascii="仿宋_GB2312"/>
                <w:sz w:val="21"/>
                <w:szCs w:val="21"/>
              </w:rPr>
              <w:t>3</w:t>
            </w:r>
          </w:p>
        </w:tc>
        <w:tc>
          <w:tcPr>
            <w:tcW w:w="1440" w:type="pct"/>
            <w:shd w:val="clear" w:color="auto" w:fill="auto"/>
            <w:vAlign w:val="center"/>
          </w:tcPr>
          <w:p w14:paraId="2C43811F">
            <w:pPr>
              <w:adjustRightInd w:val="0"/>
              <w:spacing w:line="240" w:lineRule="auto"/>
              <w:rPr>
                <w:rFonts w:ascii="仿宋_GB2312"/>
                <w:sz w:val="21"/>
                <w:szCs w:val="21"/>
              </w:rPr>
            </w:pPr>
            <w:r>
              <w:rPr>
                <w:rFonts w:hint="eastAsia" w:ascii="仿宋_GB2312"/>
                <w:sz w:val="21"/>
                <w:szCs w:val="21"/>
              </w:rPr>
              <w:t>常住人口城镇化率</w:t>
            </w:r>
          </w:p>
        </w:tc>
        <w:tc>
          <w:tcPr>
            <w:tcW w:w="537" w:type="pct"/>
            <w:shd w:val="clear" w:color="auto" w:fill="auto"/>
            <w:vAlign w:val="center"/>
          </w:tcPr>
          <w:p w14:paraId="2135FB1E">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7B1201B8">
            <w:pPr>
              <w:adjustRightInd w:val="0"/>
              <w:spacing w:line="240" w:lineRule="auto"/>
              <w:jc w:val="center"/>
              <w:rPr>
                <w:rFonts w:ascii="仿宋_GB2312"/>
                <w:sz w:val="21"/>
                <w:szCs w:val="21"/>
              </w:rPr>
            </w:pPr>
            <w:r>
              <w:rPr>
                <w:rFonts w:hint="eastAsia" w:ascii="仿宋_GB2312"/>
                <w:sz w:val="21"/>
                <w:szCs w:val="21"/>
              </w:rPr>
              <w:t>63*</w:t>
            </w:r>
          </w:p>
        </w:tc>
        <w:tc>
          <w:tcPr>
            <w:tcW w:w="707" w:type="pct"/>
            <w:shd w:val="clear" w:color="auto" w:fill="auto"/>
            <w:vAlign w:val="center"/>
          </w:tcPr>
          <w:p w14:paraId="214D0642">
            <w:pPr>
              <w:adjustRightInd w:val="0"/>
              <w:spacing w:line="240" w:lineRule="auto"/>
              <w:jc w:val="center"/>
              <w:rPr>
                <w:rFonts w:ascii="仿宋_GB2312"/>
                <w:sz w:val="21"/>
                <w:szCs w:val="21"/>
              </w:rPr>
            </w:pPr>
            <w:r>
              <w:rPr>
                <w:rFonts w:hint="eastAsia" w:ascii="仿宋_GB2312"/>
                <w:sz w:val="21"/>
                <w:szCs w:val="21"/>
              </w:rPr>
              <w:t>70</w:t>
            </w:r>
          </w:p>
        </w:tc>
        <w:tc>
          <w:tcPr>
            <w:tcW w:w="670" w:type="pct"/>
            <w:vAlign w:val="center"/>
          </w:tcPr>
          <w:p w14:paraId="6E7A7A78">
            <w:pPr>
              <w:adjustRightInd w:val="0"/>
              <w:spacing w:line="240" w:lineRule="auto"/>
              <w:jc w:val="center"/>
              <w:rPr>
                <w:rFonts w:ascii="仿宋_GB2312"/>
                <w:sz w:val="21"/>
                <w:szCs w:val="21"/>
              </w:rPr>
            </w:pPr>
          </w:p>
        </w:tc>
        <w:tc>
          <w:tcPr>
            <w:tcW w:w="475" w:type="pct"/>
            <w:shd w:val="clear" w:color="auto" w:fill="auto"/>
            <w:vAlign w:val="center"/>
          </w:tcPr>
          <w:p w14:paraId="5EA2EA98">
            <w:pPr>
              <w:adjustRightInd w:val="0"/>
              <w:spacing w:line="240" w:lineRule="auto"/>
              <w:jc w:val="center"/>
              <w:rPr>
                <w:rFonts w:ascii="仿宋_GB2312"/>
                <w:sz w:val="21"/>
                <w:szCs w:val="21"/>
              </w:rPr>
            </w:pPr>
            <w:r>
              <w:rPr>
                <w:rFonts w:hint="eastAsia" w:ascii="仿宋_GB2312"/>
                <w:sz w:val="21"/>
                <w:szCs w:val="21"/>
              </w:rPr>
              <w:t>预期性</w:t>
            </w:r>
          </w:p>
        </w:tc>
      </w:tr>
      <w:tr w14:paraId="279A095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77EF3162">
            <w:pPr>
              <w:adjustRightInd w:val="0"/>
              <w:spacing w:line="240" w:lineRule="auto"/>
              <w:jc w:val="center"/>
              <w:rPr>
                <w:rFonts w:ascii="仿宋_GB2312"/>
                <w:sz w:val="21"/>
                <w:szCs w:val="21"/>
              </w:rPr>
            </w:pPr>
          </w:p>
        </w:tc>
        <w:tc>
          <w:tcPr>
            <w:tcW w:w="291" w:type="pct"/>
            <w:shd w:val="clear" w:color="auto" w:fill="auto"/>
            <w:vAlign w:val="center"/>
          </w:tcPr>
          <w:p w14:paraId="5EF1DDC7">
            <w:pPr>
              <w:adjustRightInd w:val="0"/>
              <w:spacing w:line="240" w:lineRule="auto"/>
              <w:jc w:val="center"/>
              <w:rPr>
                <w:rFonts w:ascii="仿宋_GB2312"/>
                <w:sz w:val="21"/>
                <w:szCs w:val="21"/>
              </w:rPr>
            </w:pPr>
            <w:r>
              <w:rPr>
                <w:rFonts w:hint="eastAsia" w:ascii="仿宋_GB2312"/>
                <w:sz w:val="21"/>
                <w:szCs w:val="21"/>
              </w:rPr>
              <w:t>4</w:t>
            </w:r>
          </w:p>
        </w:tc>
        <w:tc>
          <w:tcPr>
            <w:tcW w:w="1440" w:type="pct"/>
            <w:shd w:val="clear" w:color="auto" w:fill="auto"/>
            <w:vAlign w:val="center"/>
          </w:tcPr>
          <w:p w14:paraId="0E81945B">
            <w:pPr>
              <w:adjustRightInd w:val="0"/>
              <w:spacing w:line="240" w:lineRule="auto"/>
              <w:rPr>
                <w:rFonts w:ascii="仿宋_GB2312"/>
                <w:sz w:val="21"/>
                <w:szCs w:val="21"/>
              </w:rPr>
            </w:pPr>
            <w:r>
              <w:rPr>
                <w:rFonts w:hint="eastAsia" w:ascii="仿宋_GB2312"/>
                <w:sz w:val="21"/>
                <w:szCs w:val="21"/>
              </w:rPr>
              <w:t>人均GDP（常住人口）</w:t>
            </w:r>
          </w:p>
        </w:tc>
        <w:tc>
          <w:tcPr>
            <w:tcW w:w="537" w:type="pct"/>
            <w:shd w:val="clear" w:color="auto" w:fill="auto"/>
            <w:vAlign w:val="center"/>
          </w:tcPr>
          <w:p w14:paraId="759CF45B">
            <w:pPr>
              <w:adjustRightInd w:val="0"/>
              <w:spacing w:line="240" w:lineRule="auto"/>
              <w:jc w:val="center"/>
              <w:rPr>
                <w:rFonts w:ascii="仿宋_GB2312"/>
                <w:sz w:val="21"/>
                <w:szCs w:val="21"/>
              </w:rPr>
            </w:pPr>
            <w:r>
              <w:rPr>
                <w:rFonts w:hint="eastAsia" w:ascii="仿宋_GB2312"/>
                <w:sz w:val="21"/>
                <w:szCs w:val="21"/>
              </w:rPr>
              <w:t>万元/人</w:t>
            </w:r>
          </w:p>
        </w:tc>
        <w:tc>
          <w:tcPr>
            <w:tcW w:w="424" w:type="pct"/>
            <w:shd w:val="clear" w:color="auto" w:fill="auto"/>
            <w:vAlign w:val="center"/>
          </w:tcPr>
          <w:p w14:paraId="0BE05E9B">
            <w:pPr>
              <w:adjustRightInd w:val="0"/>
              <w:spacing w:line="240" w:lineRule="auto"/>
              <w:jc w:val="center"/>
              <w:rPr>
                <w:rFonts w:ascii="仿宋_GB2312"/>
                <w:sz w:val="21"/>
                <w:szCs w:val="21"/>
              </w:rPr>
            </w:pPr>
          </w:p>
        </w:tc>
        <w:tc>
          <w:tcPr>
            <w:tcW w:w="707" w:type="pct"/>
            <w:shd w:val="clear" w:color="auto" w:fill="auto"/>
            <w:vAlign w:val="center"/>
          </w:tcPr>
          <w:p w14:paraId="6186448C">
            <w:pPr>
              <w:adjustRightInd w:val="0"/>
              <w:spacing w:line="240" w:lineRule="auto"/>
              <w:jc w:val="center"/>
              <w:rPr>
                <w:rFonts w:ascii="仿宋_GB2312"/>
                <w:sz w:val="21"/>
                <w:szCs w:val="21"/>
              </w:rPr>
            </w:pPr>
            <w:r>
              <w:rPr>
                <w:rFonts w:hint="eastAsia" w:ascii="仿宋_GB2312"/>
                <w:sz w:val="21"/>
                <w:szCs w:val="21"/>
              </w:rPr>
              <w:t>13</w:t>
            </w:r>
          </w:p>
        </w:tc>
        <w:tc>
          <w:tcPr>
            <w:tcW w:w="670" w:type="pct"/>
            <w:vAlign w:val="center"/>
          </w:tcPr>
          <w:p w14:paraId="17820104">
            <w:pPr>
              <w:adjustRightInd w:val="0"/>
              <w:spacing w:line="240" w:lineRule="auto"/>
              <w:jc w:val="center"/>
              <w:rPr>
                <w:rFonts w:ascii="仿宋_GB2312"/>
                <w:sz w:val="21"/>
                <w:szCs w:val="21"/>
              </w:rPr>
            </w:pPr>
          </w:p>
        </w:tc>
        <w:tc>
          <w:tcPr>
            <w:tcW w:w="475" w:type="pct"/>
            <w:shd w:val="clear" w:color="auto" w:fill="auto"/>
            <w:vAlign w:val="center"/>
          </w:tcPr>
          <w:p w14:paraId="01CE051A">
            <w:pPr>
              <w:adjustRightInd w:val="0"/>
              <w:spacing w:line="240" w:lineRule="auto"/>
              <w:jc w:val="center"/>
              <w:rPr>
                <w:rFonts w:ascii="仿宋_GB2312"/>
                <w:sz w:val="21"/>
                <w:szCs w:val="21"/>
              </w:rPr>
            </w:pPr>
            <w:r>
              <w:rPr>
                <w:rFonts w:hint="eastAsia" w:ascii="仿宋_GB2312"/>
                <w:sz w:val="21"/>
                <w:szCs w:val="21"/>
              </w:rPr>
              <w:t>预期性</w:t>
            </w:r>
          </w:p>
        </w:tc>
      </w:tr>
      <w:tr w14:paraId="01E76C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1BF0A49A">
            <w:pPr>
              <w:adjustRightInd w:val="0"/>
              <w:spacing w:line="240" w:lineRule="auto"/>
              <w:jc w:val="center"/>
              <w:rPr>
                <w:rFonts w:ascii="仿宋_GB2312"/>
                <w:sz w:val="21"/>
                <w:szCs w:val="21"/>
              </w:rPr>
            </w:pPr>
          </w:p>
        </w:tc>
        <w:tc>
          <w:tcPr>
            <w:tcW w:w="291" w:type="pct"/>
            <w:shd w:val="clear" w:color="auto" w:fill="auto"/>
            <w:vAlign w:val="center"/>
          </w:tcPr>
          <w:p w14:paraId="38EB6E09">
            <w:pPr>
              <w:adjustRightInd w:val="0"/>
              <w:spacing w:line="240" w:lineRule="auto"/>
              <w:jc w:val="center"/>
              <w:rPr>
                <w:rFonts w:ascii="仿宋_GB2312"/>
                <w:sz w:val="21"/>
                <w:szCs w:val="21"/>
              </w:rPr>
            </w:pPr>
            <w:r>
              <w:rPr>
                <w:rFonts w:hint="eastAsia" w:ascii="仿宋_GB2312"/>
                <w:sz w:val="21"/>
                <w:szCs w:val="21"/>
              </w:rPr>
              <w:t>5</w:t>
            </w:r>
          </w:p>
        </w:tc>
        <w:tc>
          <w:tcPr>
            <w:tcW w:w="1440" w:type="pct"/>
            <w:shd w:val="clear" w:color="auto" w:fill="auto"/>
            <w:vAlign w:val="center"/>
          </w:tcPr>
          <w:p w14:paraId="6D6FE157">
            <w:pPr>
              <w:adjustRightInd w:val="0"/>
              <w:spacing w:line="240" w:lineRule="auto"/>
              <w:rPr>
                <w:rFonts w:ascii="仿宋_GB2312"/>
                <w:sz w:val="21"/>
                <w:szCs w:val="21"/>
              </w:rPr>
            </w:pPr>
            <w:r>
              <w:rPr>
                <w:rFonts w:hint="eastAsia" w:ascii="仿宋_GB2312"/>
                <w:sz w:val="21"/>
                <w:szCs w:val="21"/>
              </w:rPr>
              <w:t>财政总收入</w:t>
            </w:r>
          </w:p>
        </w:tc>
        <w:tc>
          <w:tcPr>
            <w:tcW w:w="537" w:type="pct"/>
            <w:shd w:val="clear" w:color="auto" w:fill="auto"/>
            <w:vAlign w:val="center"/>
          </w:tcPr>
          <w:p w14:paraId="66A617A0">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73DEF185">
            <w:pPr>
              <w:adjustRightInd w:val="0"/>
              <w:spacing w:line="240" w:lineRule="auto"/>
              <w:jc w:val="center"/>
              <w:rPr>
                <w:rFonts w:ascii="仿宋_GB2312"/>
                <w:sz w:val="21"/>
                <w:szCs w:val="21"/>
              </w:rPr>
            </w:pPr>
            <w:r>
              <w:rPr>
                <w:rFonts w:hint="eastAsia" w:ascii="仿宋_GB2312"/>
                <w:sz w:val="21"/>
                <w:szCs w:val="21"/>
              </w:rPr>
              <w:t>121.76</w:t>
            </w:r>
          </w:p>
        </w:tc>
        <w:tc>
          <w:tcPr>
            <w:tcW w:w="707" w:type="pct"/>
            <w:shd w:val="clear" w:color="auto" w:fill="auto"/>
            <w:vAlign w:val="center"/>
          </w:tcPr>
          <w:p w14:paraId="3AECB545">
            <w:pPr>
              <w:adjustRightInd w:val="0"/>
              <w:spacing w:line="240" w:lineRule="auto"/>
              <w:jc w:val="center"/>
              <w:rPr>
                <w:rFonts w:ascii="仿宋_GB2312"/>
                <w:sz w:val="21"/>
                <w:szCs w:val="21"/>
              </w:rPr>
            </w:pPr>
            <w:r>
              <w:rPr>
                <w:rFonts w:hint="eastAsia" w:ascii="仿宋_GB2312"/>
                <w:sz w:val="21"/>
                <w:szCs w:val="21"/>
              </w:rPr>
              <w:t>200</w:t>
            </w:r>
          </w:p>
        </w:tc>
        <w:tc>
          <w:tcPr>
            <w:tcW w:w="670" w:type="pct"/>
            <w:vAlign w:val="center"/>
          </w:tcPr>
          <w:p w14:paraId="73190511">
            <w:pPr>
              <w:adjustRightInd w:val="0"/>
              <w:spacing w:line="240" w:lineRule="auto"/>
              <w:jc w:val="center"/>
              <w:rPr>
                <w:rFonts w:ascii="仿宋_GB2312"/>
                <w:sz w:val="21"/>
                <w:szCs w:val="21"/>
              </w:rPr>
            </w:pPr>
          </w:p>
        </w:tc>
        <w:tc>
          <w:tcPr>
            <w:tcW w:w="475" w:type="pct"/>
            <w:shd w:val="clear" w:color="auto" w:fill="auto"/>
            <w:vAlign w:val="center"/>
          </w:tcPr>
          <w:p w14:paraId="201B58A0">
            <w:pPr>
              <w:adjustRightInd w:val="0"/>
              <w:spacing w:line="240" w:lineRule="auto"/>
              <w:jc w:val="center"/>
              <w:rPr>
                <w:rFonts w:ascii="仿宋_GB2312"/>
                <w:sz w:val="21"/>
                <w:szCs w:val="21"/>
              </w:rPr>
            </w:pPr>
            <w:r>
              <w:rPr>
                <w:rFonts w:hint="eastAsia" w:ascii="仿宋_GB2312"/>
                <w:sz w:val="21"/>
                <w:szCs w:val="21"/>
              </w:rPr>
              <w:t>预期性</w:t>
            </w:r>
          </w:p>
        </w:tc>
      </w:tr>
      <w:tr w14:paraId="4E59DF7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0A7F3E58">
            <w:pPr>
              <w:adjustRightInd w:val="0"/>
              <w:spacing w:line="240" w:lineRule="auto"/>
              <w:jc w:val="center"/>
              <w:rPr>
                <w:rFonts w:ascii="仿宋_GB2312"/>
                <w:sz w:val="21"/>
                <w:szCs w:val="21"/>
              </w:rPr>
            </w:pPr>
          </w:p>
        </w:tc>
        <w:tc>
          <w:tcPr>
            <w:tcW w:w="291" w:type="pct"/>
            <w:shd w:val="clear" w:color="auto" w:fill="auto"/>
            <w:vAlign w:val="center"/>
          </w:tcPr>
          <w:p w14:paraId="573EBB36">
            <w:pPr>
              <w:adjustRightInd w:val="0"/>
              <w:spacing w:line="240" w:lineRule="auto"/>
              <w:jc w:val="center"/>
              <w:rPr>
                <w:rFonts w:ascii="仿宋_GB2312"/>
                <w:sz w:val="21"/>
                <w:szCs w:val="21"/>
              </w:rPr>
            </w:pPr>
            <w:r>
              <w:rPr>
                <w:rFonts w:hint="eastAsia" w:ascii="仿宋_GB2312"/>
                <w:sz w:val="21"/>
                <w:szCs w:val="21"/>
              </w:rPr>
              <w:t>6</w:t>
            </w:r>
          </w:p>
        </w:tc>
        <w:tc>
          <w:tcPr>
            <w:tcW w:w="1440" w:type="pct"/>
            <w:shd w:val="clear" w:color="auto" w:fill="auto"/>
            <w:vAlign w:val="center"/>
          </w:tcPr>
          <w:p w14:paraId="7A573C95">
            <w:pPr>
              <w:adjustRightInd w:val="0"/>
              <w:spacing w:line="240" w:lineRule="auto"/>
              <w:rPr>
                <w:rFonts w:ascii="仿宋_GB2312"/>
                <w:sz w:val="21"/>
                <w:szCs w:val="21"/>
              </w:rPr>
            </w:pPr>
            <w:r>
              <w:rPr>
                <w:rFonts w:hint="eastAsia" w:ascii="仿宋_GB2312"/>
                <w:sz w:val="21"/>
                <w:szCs w:val="21"/>
              </w:rPr>
              <w:t>一般公共预算收入</w:t>
            </w:r>
          </w:p>
        </w:tc>
        <w:tc>
          <w:tcPr>
            <w:tcW w:w="537" w:type="pct"/>
            <w:shd w:val="clear" w:color="auto" w:fill="auto"/>
            <w:vAlign w:val="center"/>
          </w:tcPr>
          <w:p w14:paraId="6ADBB64F">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4085B487">
            <w:pPr>
              <w:adjustRightInd w:val="0"/>
              <w:spacing w:line="240" w:lineRule="auto"/>
              <w:jc w:val="center"/>
              <w:rPr>
                <w:rFonts w:ascii="仿宋_GB2312"/>
                <w:sz w:val="21"/>
                <w:szCs w:val="21"/>
              </w:rPr>
            </w:pPr>
            <w:r>
              <w:rPr>
                <w:rFonts w:hint="eastAsia" w:ascii="仿宋_GB2312"/>
                <w:sz w:val="21"/>
                <w:szCs w:val="21"/>
              </w:rPr>
              <w:t>67.55</w:t>
            </w:r>
          </w:p>
        </w:tc>
        <w:tc>
          <w:tcPr>
            <w:tcW w:w="707" w:type="pct"/>
            <w:shd w:val="clear" w:color="auto" w:fill="auto"/>
            <w:vAlign w:val="center"/>
          </w:tcPr>
          <w:p w14:paraId="261499D4">
            <w:pPr>
              <w:adjustRightInd w:val="0"/>
              <w:spacing w:line="240" w:lineRule="auto"/>
              <w:jc w:val="center"/>
              <w:rPr>
                <w:rFonts w:ascii="仿宋_GB2312"/>
                <w:sz w:val="21"/>
                <w:szCs w:val="21"/>
              </w:rPr>
            </w:pPr>
            <w:r>
              <w:rPr>
                <w:rFonts w:hint="eastAsia" w:ascii="仿宋_GB2312"/>
                <w:sz w:val="21"/>
                <w:szCs w:val="21"/>
              </w:rPr>
              <w:t>＞100</w:t>
            </w:r>
          </w:p>
        </w:tc>
        <w:tc>
          <w:tcPr>
            <w:tcW w:w="670" w:type="pct"/>
            <w:vAlign w:val="center"/>
          </w:tcPr>
          <w:p w14:paraId="68ED5B59">
            <w:pPr>
              <w:adjustRightInd w:val="0"/>
              <w:spacing w:line="240" w:lineRule="auto"/>
              <w:jc w:val="center"/>
              <w:rPr>
                <w:rFonts w:ascii="仿宋_GB2312"/>
                <w:sz w:val="21"/>
                <w:szCs w:val="21"/>
              </w:rPr>
            </w:pPr>
          </w:p>
        </w:tc>
        <w:tc>
          <w:tcPr>
            <w:tcW w:w="475" w:type="pct"/>
            <w:shd w:val="clear" w:color="auto" w:fill="auto"/>
            <w:vAlign w:val="center"/>
          </w:tcPr>
          <w:p w14:paraId="277C4792">
            <w:pPr>
              <w:adjustRightInd w:val="0"/>
              <w:spacing w:line="240" w:lineRule="auto"/>
              <w:jc w:val="center"/>
              <w:rPr>
                <w:rFonts w:ascii="仿宋_GB2312"/>
                <w:sz w:val="21"/>
                <w:szCs w:val="21"/>
              </w:rPr>
            </w:pPr>
            <w:r>
              <w:rPr>
                <w:rFonts w:hint="eastAsia" w:ascii="仿宋_GB2312"/>
                <w:sz w:val="21"/>
                <w:szCs w:val="21"/>
              </w:rPr>
              <w:t>预期性</w:t>
            </w:r>
          </w:p>
        </w:tc>
      </w:tr>
      <w:tr w14:paraId="16195F8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5DB64E46">
            <w:pPr>
              <w:adjustRightInd w:val="0"/>
              <w:spacing w:line="240" w:lineRule="auto"/>
              <w:jc w:val="center"/>
              <w:rPr>
                <w:rFonts w:ascii="仿宋_GB2312"/>
                <w:sz w:val="21"/>
                <w:szCs w:val="21"/>
              </w:rPr>
            </w:pPr>
          </w:p>
        </w:tc>
        <w:tc>
          <w:tcPr>
            <w:tcW w:w="291" w:type="pct"/>
            <w:shd w:val="clear" w:color="auto" w:fill="auto"/>
            <w:vAlign w:val="center"/>
          </w:tcPr>
          <w:p w14:paraId="657C35F4">
            <w:pPr>
              <w:adjustRightInd w:val="0"/>
              <w:spacing w:line="240" w:lineRule="auto"/>
              <w:jc w:val="center"/>
              <w:rPr>
                <w:rFonts w:ascii="仿宋_GB2312"/>
                <w:sz w:val="21"/>
                <w:szCs w:val="21"/>
              </w:rPr>
            </w:pPr>
            <w:r>
              <w:rPr>
                <w:rFonts w:hint="eastAsia" w:ascii="仿宋_GB2312"/>
                <w:sz w:val="21"/>
                <w:szCs w:val="21"/>
              </w:rPr>
              <w:t>7</w:t>
            </w:r>
          </w:p>
        </w:tc>
        <w:tc>
          <w:tcPr>
            <w:tcW w:w="1440" w:type="pct"/>
            <w:shd w:val="clear" w:color="auto" w:fill="auto"/>
            <w:vAlign w:val="center"/>
          </w:tcPr>
          <w:p w14:paraId="71EB70EC">
            <w:pPr>
              <w:adjustRightInd w:val="0"/>
              <w:spacing w:line="240" w:lineRule="auto"/>
              <w:rPr>
                <w:rFonts w:ascii="仿宋_GB2312"/>
                <w:sz w:val="21"/>
                <w:szCs w:val="21"/>
              </w:rPr>
            </w:pPr>
            <w:r>
              <w:rPr>
                <w:rFonts w:hint="eastAsia" w:ascii="仿宋_GB2312"/>
                <w:sz w:val="21"/>
                <w:szCs w:val="21"/>
              </w:rPr>
              <w:t>社会消费品零售总额</w:t>
            </w:r>
          </w:p>
        </w:tc>
        <w:tc>
          <w:tcPr>
            <w:tcW w:w="537" w:type="pct"/>
            <w:shd w:val="clear" w:color="auto" w:fill="auto"/>
            <w:vAlign w:val="center"/>
          </w:tcPr>
          <w:p w14:paraId="76CC7EEA">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076FA74F">
            <w:pPr>
              <w:adjustRightInd w:val="0"/>
              <w:spacing w:line="240" w:lineRule="auto"/>
              <w:jc w:val="center"/>
              <w:rPr>
                <w:rFonts w:ascii="仿宋_GB2312"/>
                <w:sz w:val="21"/>
                <w:szCs w:val="21"/>
              </w:rPr>
            </w:pPr>
            <w:r>
              <w:rPr>
                <w:rFonts w:hint="eastAsia" w:ascii="仿宋_GB2312"/>
                <w:sz w:val="21"/>
                <w:szCs w:val="21"/>
              </w:rPr>
              <w:t>-</w:t>
            </w:r>
          </w:p>
        </w:tc>
        <w:tc>
          <w:tcPr>
            <w:tcW w:w="707" w:type="pct"/>
            <w:shd w:val="clear" w:color="auto" w:fill="auto"/>
            <w:vAlign w:val="center"/>
          </w:tcPr>
          <w:p w14:paraId="420DF5A9">
            <w:pPr>
              <w:adjustRightInd w:val="0"/>
              <w:spacing w:line="240" w:lineRule="auto"/>
              <w:jc w:val="center"/>
              <w:rPr>
                <w:rFonts w:ascii="仿宋_GB2312"/>
                <w:sz w:val="21"/>
                <w:szCs w:val="21"/>
              </w:rPr>
            </w:pPr>
          </w:p>
        </w:tc>
        <w:tc>
          <w:tcPr>
            <w:tcW w:w="670" w:type="pct"/>
            <w:vAlign w:val="center"/>
          </w:tcPr>
          <w:p w14:paraId="414951EC">
            <w:pPr>
              <w:adjustRightInd w:val="0"/>
              <w:spacing w:line="240" w:lineRule="auto"/>
              <w:jc w:val="center"/>
              <w:rPr>
                <w:rFonts w:ascii="仿宋_GB2312"/>
                <w:sz w:val="21"/>
                <w:szCs w:val="21"/>
              </w:rPr>
            </w:pPr>
            <w:r>
              <w:rPr>
                <w:rFonts w:hint="eastAsia" w:ascii="仿宋_GB2312"/>
                <w:sz w:val="21"/>
                <w:szCs w:val="21"/>
              </w:rPr>
              <w:t>8%</w:t>
            </w:r>
          </w:p>
        </w:tc>
        <w:tc>
          <w:tcPr>
            <w:tcW w:w="475" w:type="pct"/>
            <w:shd w:val="clear" w:color="auto" w:fill="auto"/>
            <w:vAlign w:val="center"/>
          </w:tcPr>
          <w:p w14:paraId="383DFADB">
            <w:pPr>
              <w:adjustRightInd w:val="0"/>
              <w:spacing w:line="240" w:lineRule="auto"/>
              <w:jc w:val="center"/>
              <w:rPr>
                <w:rFonts w:ascii="仿宋_GB2312"/>
                <w:sz w:val="21"/>
                <w:szCs w:val="21"/>
              </w:rPr>
            </w:pPr>
            <w:r>
              <w:rPr>
                <w:rFonts w:hint="eastAsia" w:ascii="仿宋_GB2312"/>
                <w:sz w:val="21"/>
                <w:szCs w:val="21"/>
              </w:rPr>
              <w:t>预期性</w:t>
            </w:r>
          </w:p>
        </w:tc>
      </w:tr>
      <w:tr w14:paraId="592666D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1554DFA7">
            <w:pPr>
              <w:adjustRightInd w:val="0"/>
              <w:spacing w:line="240" w:lineRule="auto"/>
              <w:jc w:val="center"/>
              <w:rPr>
                <w:rFonts w:ascii="仿宋_GB2312"/>
                <w:sz w:val="21"/>
                <w:szCs w:val="21"/>
              </w:rPr>
            </w:pPr>
            <w:r>
              <w:rPr>
                <w:rFonts w:hint="eastAsia" w:ascii="仿宋_GB2312"/>
                <w:sz w:val="21"/>
                <w:szCs w:val="21"/>
              </w:rPr>
              <w:t>科技创新</w:t>
            </w:r>
          </w:p>
        </w:tc>
        <w:tc>
          <w:tcPr>
            <w:tcW w:w="291" w:type="pct"/>
            <w:shd w:val="clear" w:color="auto" w:fill="auto"/>
            <w:vAlign w:val="center"/>
          </w:tcPr>
          <w:p w14:paraId="73B33D84">
            <w:pPr>
              <w:adjustRightInd w:val="0"/>
              <w:spacing w:line="240" w:lineRule="auto"/>
              <w:jc w:val="center"/>
              <w:rPr>
                <w:rFonts w:ascii="仿宋_GB2312"/>
                <w:sz w:val="21"/>
                <w:szCs w:val="21"/>
              </w:rPr>
            </w:pPr>
            <w:r>
              <w:rPr>
                <w:rFonts w:hint="eastAsia" w:ascii="仿宋_GB2312"/>
                <w:sz w:val="21"/>
                <w:szCs w:val="21"/>
              </w:rPr>
              <w:t>8</w:t>
            </w:r>
          </w:p>
        </w:tc>
        <w:tc>
          <w:tcPr>
            <w:tcW w:w="1440" w:type="pct"/>
            <w:shd w:val="clear" w:color="auto" w:fill="auto"/>
            <w:vAlign w:val="center"/>
          </w:tcPr>
          <w:p w14:paraId="2C4C8404">
            <w:pPr>
              <w:adjustRightInd w:val="0"/>
              <w:spacing w:line="240" w:lineRule="auto"/>
              <w:rPr>
                <w:rFonts w:ascii="仿宋_GB2312"/>
                <w:sz w:val="21"/>
                <w:szCs w:val="21"/>
              </w:rPr>
            </w:pPr>
            <w:r>
              <w:rPr>
                <w:rFonts w:hint="eastAsia" w:ascii="仿宋_GB2312"/>
                <w:sz w:val="21"/>
                <w:szCs w:val="21"/>
              </w:rPr>
              <w:t>R&amp;D经费支出占GDP比重</w:t>
            </w:r>
          </w:p>
        </w:tc>
        <w:tc>
          <w:tcPr>
            <w:tcW w:w="537" w:type="pct"/>
            <w:shd w:val="clear" w:color="auto" w:fill="auto"/>
            <w:vAlign w:val="center"/>
          </w:tcPr>
          <w:p w14:paraId="10D153DB">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021CEAA8">
            <w:pPr>
              <w:adjustRightInd w:val="0"/>
              <w:spacing w:line="240" w:lineRule="auto"/>
              <w:jc w:val="center"/>
              <w:rPr>
                <w:rFonts w:ascii="仿宋_GB2312"/>
                <w:sz w:val="21"/>
                <w:szCs w:val="21"/>
              </w:rPr>
            </w:pPr>
            <w:r>
              <w:rPr>
                <w:rFonts w:hint="eastAsia" w:ascii="仿宋_GB2312"/>
                <w:sz w:val="21"/>
                <w:szCs w:val="21"/>
              </w:rPr>
              <w:t>3.0*</w:t>
            </w:r>
          </w:p>
        </w:tc>
        <w:tc>
          <w:tcPr>
            <w:tcW w:w="1377" w:type="pct"/>
            <w:gridSpan w:val="2"/>
            <w:shd w:val="clear" w:color="auto" w:fill="auto"/>
            <w:vAlign w:val="center"/>
          </w:tcPr>
          <w:p w14:paraId="222D33D0">
            <w:pPr>
              <w:adjustRightInd w:val="0"/>
              <w:spacing w:line="240" w:lineRule="auto"/>
              <w:jc w:val="center"/>
              <w:rPr>
                <w:rFonts w:ascii="仿宋_GB2312"/>
                <w:sz w:val="21"/>
                <w:szCs w:val="21"/>
              </w:rPr>
            </w:pPr>
            <w:r>
              <w:rPr>
                <w:rFonts w:hint="eastAsia" w:ascii="仿宋_GB2312"/>
                <w:sz w:val="21"/>
                <w:szCs w:val="21"/>
              </w:rPr>
              <w:t>高于全市平均</w:t>
            </w:r>
          </w:p>
        </w:tc>
        <w:tc>
          <w:tcPr>
            <w:tcW w:w="475" w:type="pct"/>
            <w:shd w:val="clear" w:color="auto" w:fill="auto"/>
            <w:vAlign w:val="center"/>
          </w:tcPr>
          <w:p w14:paraId="43C2547D">
            <w:pPr>
              <w:adjustRightInd w:val="0"/>
              <w:spacing w:line="240" w:lineRule="auto"/>
              <w:jc w:val="center"/>
              <w:rPr>
                <w:rFonts w:ascii="仿宋_GB2312"/>
                <w:sz w:val="21"/>
                <w:szCs w:val="21"/>
              </w:rPr>
            </w:pPr>
            <w:r>
              <w:rPr>
                <w:rFonts w:hint="eastAsia" w:ascii="仿宋_GB2312"/>
                <w:sz w:val="21"/>
                <w:szCs w:val="21"/>
              </w:rPr>
              <w:t>预期性</w:t>
            </w:r>
          </w:p>
        </w:tc>
      </w:tr>
      <w:tr w14:paraId="2CAD79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3C7905A0">
            <w:pPr>
              <w:adjustRightInd w:val="0"/>
              <w:spacing w:line="240" w:lineRule="auto"/>
              <w:jc w:val="center"/>
              <w:rPr>
                <w:rFonts w:ascii="仿宋_GB2312"/>
                <w:sz w:val="21"/>
                <w:szCs w:val="21"/>
              </w:rPr>
            </w:pPr>
          </w:p>
        </w:tc>
        <w:tc>
          <w:tcPr>
            <w:tcW w:w="291" w:type="pct"/>
            <w:shd w:val="clear" w:color="auto" w:fill="auto"/>
            <w:vAlign w:val="center"/>
          </w:tcPr>
          <w:p w14:paraId="52EE573F">
            <w:pPr>
              <w:adjustRightInd w:val="0"/>
              <w:spacing w:line="240" w:lineRule="auto"/>
              <w:jc w:val="center"/>
              <w:rPr>
                <w:rFonts w:ascii="仿宋_GB2312"/>
                <w:sz w:val="21"/>
                <w:szCs w:val="21"/>
              </w:rPr>
            </w:pPr>
            <w:r>
              <w:rPr>
                <w:rFonts w:hint="eastAsia" w:ascii="仿宋_GB2312"/>
                <w:sz w:val="21"/>
                <w:szCs w:val="21"/>
              </w:rPr>
              <w:t>9</w:t>
            </w:r>
          </w:p>
        </w:tc>
        <w:tc>
          <w:tcPr>
            <w:tcW w:w="1440" w:type="pct"/>
            <w:shd w:val="clear" w:color="auto" w:fill="auto"/>
            <w:vAlign w:val="center"/>
          </w:tcPr>
          <w:p w14:paraId="5DAD3C6E">
            <w:pPr>
              <w:adjustRightInd w:val="0"/>
              <w:spacing w:line="240" w:lineRule="auto"/>
              <w:rPr>
                <w:rFonts w:ascii="仿宋_GB2312"/>
                <w:sz w:val="21"/>
                <w:szCs w:val="21"/>
              </w:rPr>
            </w:pPr>
            <w:r>
              <w:rPr>
                <w:rFonts w:hint="eastAsia" w:ascii="仿宋_GB2312"/>
                <w:sz w:val="21"/>
                <w:szCs w:val="21"/>
              </w:rPr>
              <w:t>人才资源总量</w:t>
            </w:r>
          </w:p>
        </w:tc>
        <w:tc>
          <w:tcPr>
            <w:tcW w:w="537" w:type="pct"/>
            <w:shd w:val="clear" w:color="auto" w:fill="auto"/>
            <w:vAlign w:val="center"/>
          </w:tcPr>
          <w:p w14:paraId="2355BFCF">
            <w:pPr>
              <w:adjustRightInd w:val="0"/>
              <w:spacing w:line="240" w:lineRule="auto"/>
              <w:jc w:val="center"/>
              <w:rPr>
                <w:rFonts w:ascii="仿宋_GB2312"/>
                <w:sz w:val="21"/>
                <w:szCs w:val="21"/>
              </w:rPr>
            </w:pPr>
            <w:r>
              <w:rPr>
                <w:rFonts w:hint="eastAsia" w:ascii="仿宋_GB2312"/>
                <w:sz w:val="21"/>
                <w:szCs w:val="21"/>
              </w:rPr>
              <w:t>万人</w:t>
            </w:r>
          </w:p>
        </w:tc>
        <w:tc>
          <w:tcPr>
            <w:tcW w:w="424" w:type="pct"/>
            <w:shd w:val="clear" w:color="auto" w:fill="auto"/>
            <w:vAlign w:val="center"/>
          </w:tcPr>
          <w:p w14:paraId="40E8FC52">
            <w:pPr>
              <w:adjustRightInd w:val="0"/>
              <w:spacing w:line="240" w:lineRule="auto"/>
              <w:jc w:val="center"/>
              <w:rPr>
                <w:rFonts w:ascii="仿宋_GB2312"/>
                <w:sz w:val="21"/>
                <w:szCs w:val="21"/>
              </w:rPr>
            </w:pPr>
            <w:r>
              <w:rPr>
                <w:rFonts w:hint="eastAsia" w:ascii="仿宋_GB2312"/>
                <w:sz w:val="21"/>
                <w:szCs w:val="21"/>
              </w:rPr>
              <w:t>20.28</w:t>
            </w:r>
          </w:p>
        </w:tc>
        <w:tc>
          <w:tcPr>
            <w:tcW w:w="707" w:type="pct"/>
            <w:shd w:val="clear" w:color="auto" w:fill="auto"/>
            <w:vAlign w:val="center"/>
          </w:tcPr>
          <w:p w14:paraId="6C007E41">
            <w:pPr>
              <w:adjustRightInd w:val="0"/>
              <w:spacing w:line="240" w:lineRule="auto"/>
              <w:jc w:val="center"/>
              <w:rPr>
                <w:rFonts w:ascii="仿宋_GB2312"/>
                <w:sz w:val="21"/>
                <w:szCs w:val="21"/>
              </w:rPr>
            </w:pPr>
            <w:r>
              <w:rPr>
                <w:rFonts w:hint="eastAsia" w:ascii="仿宋_GB2312"/>
                <w:sz w:val="21"/>
                <w:szCs w:val="21"/>
              </w:rPr>
              <w:t>25</w:t>
            </w:r>
          </w:p>
        </w:tc>
        <w:tc>
          <w:tcPr>
            <w:tcW w:w="670" w:type="pct"/>
            <w:vAlign w:val="center"/>
          </w:tcPr>
          <w:p w14:paraId="07A0063A">
            <w:pPr>
              <w:adjustRightInd w:val="0"/>
              <w:spacing w:line="240" w:lineRule="auto"/>
              <w:jc w:val="center"/>
              <w:rPr>
                <w:rFonts w:ascii="仿宋_GB2312"/>
                <w:sz w:val="21"/>
                <w:szCs w:val="21"/>
              </w:rPr>
            </w:pPr>
          </w:p>
        </w:tc>
        <w:tc>
          <w:tcPr>
            <w:tcW w:w="475" w:type="pct"/>
            <w:shd w:val="clear" w:color="auto" w:fill="auto"/>
            <w:vAlign w:val="center"/>
          </w:tcPr>
          <w:p w14:paraId="0A2B1896">
            <w:pPr>
              <w:adjustRightInd w:val="0"/>
              <w:spacing w:line="240" w:lineRule="auto"/>
              <w:jc w:val="center"/>
              <w:rPr>
                <w:rFonts w:ascii="仿宋_GB2312"/>
                <w:sz w:val="21"/>
                <w:szCs w:val="21"/>
              </w:rPr>
            </w:pPr>
            <w:r>
              <w:rPr>
                <w:rFonts w:hint="eastAsia" w:ascii="仿宋_GB2312"/>
                <w:sz w:val="21"/>
                <w:szCs w:val="21"/>
              </w:rPr>
              <w:t>预期性</w:t>
            </w:r>
          </w:p>
        </w:tc>
      </w:tr>
      <w:tr w14:paraId="0C228FB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02370F33">
            <w:pPr>
              <w:adjustRightInd w:val="0"/>
              <w:spacing w:line="240" w:lineRule="auto"/>
              <w:jc w:val="center"/>
              <w:rPr>
                <w:rFonts w:ascii="仿宋_GB2312"/>
                <w:sz w:val="21"/>
                <w:szCs w:val="21"/>
              </w:rPr>
            </w:pPr>
          </w:p>
        </w:tc>
        <w:tc>
          <w:tcPr>
            <w:tcW w:w="291" w:type="pct"/>
            <w:shd w:val="clear" w:color="auto" w:fill="auto"/>
            <w:vAlign w:val="center"/>
          </w:tcPr>
          <w:p w14:paraId="0C6CA17D">
            <w:pPr>
              <w:adjustRightInd w:val="0"/>
              <w:spacing w:line="240" w:lineRule="auto"/>
              <w:jc w:val="center"/>
              <w:rPr>
                <w:rFonts w:ascii="仿宋_GB2312"/>
                <w:sz w:val="21"/>
                <w:szCs w:val="21"/>
              </w:rPr>
            </w:pPr>
            <w:r>
              <w:rPr>
                <w:rFonts w:hint="eastAsia" w:ascii="仿宋_GB2312"/>
                <w:sz w:val="21"/>
                <w:szCs w:val="21"/>
              </w:rPr>
              <w:t>10</w:t>
            </w:r>
          </w:p>
        </w:tc>
        <w:tc>
          <w:tcPr>
            <w:tcW w:w="1440" w:type="pct"/>
            <w:shd w:val="clear" w:color="auto" w:fill="auto"/>
            <w:vAlign w:val="center"/>
          </w:tcPr>
          <w:p w14:paraId="5EC39690">
            <w:pPr>
              <w:adjustRightInd w:val="0"/>
              <w:spacing w:line="240" w:lineRule="auto"/>
              <w:rPr>
                <w:rFonts w:ascii="仿宋_GB2312"/>
                <w:sz w:val="21"/>
                <w:szCs w:val="21"/>
              </w:rPr>
            </w:pPr>
            <w:r>
              <w:rPr>
                <w:rFonts w:hint="eastAsia" w:ascii="仿宋_GB2312"/>
                <w:sz w:val="21"/>
                <w:szCs w:val="21"/>
              </w:rPr>
              <w:t>每万人高价值发明专利拥有量</w:t>
            </w:r>
          </w:p>
        </w:tc>
        <w:tc>
          <w:tcPr>
            <w:tcW w:w="537" w:type="pct"/>
            <w:shd w:val="clear" w:color="auto" w:fill="auto"/>
            <w:vAlign w:val="center"/>
          </w:tcPr>
          <w:p w14:paraId="71437FFC">
            <w:pPr>
              <w:adjustRightInd w:val="0"/>
              <w:spacing w:line="240" w:lineRule="auto"/>
              <w:jc w:val="center"/>
              <w:rPr>
                <w:rFonts w:ascii="仿宋_GB2312"/>
                <w:sz w:val="21"/>
                <w:szCs w:val="21"/>
              </w:rPr>
            </w:pPr>
            <w:r>
              <w:rPr>
                <w:rFonts w:hint="eastAsia" w:ascii="仿宋_GB2312"/>
                <w:sz w:val="21"/>
                <w:szCs w:val="21"/>
              </w:rPr>
              <w:t>件</w:t>
            </w:r>
          </w:p>
        </w:tc>
        <w:tc>
          <w:tcPr>
            <w:tcW w:w="424" w:type="pct"/>
            <w:shd w:val="clear" w:color="auto" w:fill="auto"/>
            <w:vAlign w:val="center"/>
          </w:tcPr>
          <w:p w14:paraId="330F34D6">
            <w:pPr>
              <w:adjustRightInd w:val="0"/>
              <w:spacing w:line="240" w:lineRule="auto"/>
              <w:jc w:val="center"/>
              <w:rPr>
                <w:rFonts w:ascii="仿宋_GB2312"/>
                <w:sz w:val="21"/>
                <w:szCs w:val="21"/>
              </w:rPr>
            </w:pPr>
            <w:r>
              <w:rPr>
                <w:rFonts w:hint="eastAsia" w:ascii="仿宋_GB2312"/>
                <w:sz w:val="21"/>
                <w:szCs w:val="21"/>
              </w:rPr>
              <w:t>6.5</w:t>
            </w:r>
          </w:p>
        </w:tc>
        <w:tc>
          <w:tcPr>
            <w:tcW w:w="707" w:type="pct"/>
            <w:shd w:val="clear" w:color="auto" w:fill="auto"/>
            <w:vAlign w:val="center"/>
          </w:tcPr>
          <w:p w14:paraId="17746DCD">
            <w:pPr>
              <w:adjustRightInd w:val="0"/>
              <w:spacing w:line="240" w:lineRule="auto"/>
              <w:jc w:val="center"/>
              <w:rPr>
                <w:rFonts w:ascii="仿宋_GB2312"/>
                <w:sz w:val="21"/>
                <w:szCs w:val="21"/>
              </w:rPr>
            </w:pPr>
            <w:r>
              <w:rPr>
                <w:rFonts w:hint="eastAsia" w:ascii="仿宋_GB2312"/>
                <w:sz w:val="21"/>
                <w:szCs w:val="21"/>
              </w:rPr>
              <w:t>9</w:t>
            </w:r>
          </w:p>
        </w:tc>
        <w:tc>
          <w:tcPr>
            <w:tcW w:w="670" w:type="pct"/>
            <w:vAlign w:val="center"/>
          </w:tcPr>
          <w:p w14:paraId="53B8C974">
            <w:pPr>
              <w:adjustRightInd w:val="0"/>
              <w:spacing w:line="240" w:lineRule="auto"/>
              <w:jc w:val="center"/>
              <w:rPr>
                <w:rFonts w:ascii="仿宋_GB2312"/>
                <w:sz w:val="21"/>
                <w:szCs w:val="21"/>
              </w:rPr>
            </w:pPr>
          </w:p>
        </w:tc>
        <w:tc>
          <w:tcPr>
            <w:tcW w:w="475" w:type="pct"/>
            <w:shd w:val="clear" w:color="auto" w:fill="auto"/>
            <w:vAlign w:val="center"/>
          </w:tcPr>
          <w:p w14:paraId="5C130DCB">
            <w:pPr>
              <w:adjustRightInd w:val="0"/>
              <w:spacing w:line="240" w:lineRule="auto"/>
              <w:jc w:val="center"/>
              <w:rPr>
                <w:rFonts w:ascii="仿宋_GB2312"/>
                <w:sz w:val="21"/>
                <w:szCs w:val="21"/>
              </w:rPr>
            </w:pPr>
            <w:r>
              <w:rPr>
                <w:rFonts w:hint="eastAsia" w:ascii="仿宋_GB2312"/>
                <w:sz w:val="21"/>
                <w:szCs w:val="21"/>
              </w:rPr>
              <w:t>预期性</w:t>
            </w:r>
          </w:p>
        </w:tc>
      </w:tr>
      <w:tr w14:paraId="03DAE89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48200DC6">
            <w:pPr>
              <w:adjustRightInd w:val="0"/>
              <w:spacing w:line="240" w:lineRule="auto"/>
              <w:jc w:val="center"/>
              <w:rPr>
                <w:rFonts w:ascii="仿宋_GB2312"/>
                <w:sz w:val="21"/>
                <w:szCs w:val="21"/>
              </w:rPr>
            </w:pPr>
          </w:p>
        </w:tc>
        <w:tc>
          <w:tcPr>
            <w:tcW w:w="291" w:type="pct"/>
            <w:shd w:val="clear" w:color="auto" w:fill="auto"/>
            <w:vAlign w:val="center"/>
          </w:tcPr>
          <w:p w14:paraId="6A38B8B2">
            <w:pPr>
              <w:adjustRightInd w:val="0"/>
              <w:spacing w:line="240" w:lineRule="auto"/>
              <w:jc w:val="center"/>
              <w:rPr>
                <w:rFonts w:ascii="仿宋_GB2312"/>
                <w:sz w:val="21"/>
                <w:szCs w:val="21"/>
              </w:rPr>
            </w:pPr>
            <w:r>
              <w:rPr>
                <w:rFonts w:hint="eastAsia" w:ascii="仿宋_GB2312"/>
                <w:sz w:val="21"/>
                <w:szCs w:val="21"/>
              </w:rPr>
              <w:t>11</w:t>
            </w:r>
          </w:p>
        </w:tc>
        <w:tc>
          <w:tcPr>
            <w:tcW w:w="1440" w:type="pct"/>
            <w:shd w:val="clear" w:color="auto" w:fill="auto"/>
            <w:vAlign w:val="center"/>
          </w:tcPr>
          <w:p w14:paraId="1DE75CFB">
            <w:pPr>
              <w:adjustRightInd w:val="0"/>
              <w:spacing w:line="240" w:lineRule="auto"/>
              <w:rPr>
                <w:rFonts w:ascii="仿宋_GB2312"/>
                <w:snapToGrid w:val="0"/>
                <w:spacing w:val="-5"/>
                <w:sz w:val="21"/>
                <w:szCs w:val="21"/>
              </w:rPr>
            </w:pPr>
            <w:r>
              <w:rPr>
                <w:rFonts w:hint="eastAsia" w:ascii="仿宋_GB2312"/>
                <w:snapToGrid w:val="0"/>
                <w:spacing w:val="-5"/>
                <w:sz w:val="21"/>
                <w:szCs w:val="21"/>
              </w:rPr>
              <w:t>数字经济核心产业增加值占GDP比重</w:t>
            </w:r>
          </w:p>
        </w:tc>
        <w:tc>
          <w:tcPr>
            <w:tcW w:w="537" w:type="pct"/>
            <w:shd w:val="clear" w:color="auto" w:fill="auto"/>
            <w:vAlign w:val="center"/>
          </w:tcPr>
          <w:p w14:paraId="73DA98FF">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noWrap/>
            <w:vAlign w:val="center"/>
          </w:tcPr>
          <w:p w14:paraId="772E50A3">
            <w:pPr>
              <w:adjustRightInd w:val="0"/>
              <w:spacing w:line="240" w:lineRule="auto"/>
              <w:jc w:val="center"/>
              <w:rPr>
                <w:rFonts w:ascii="仿宋_GB2312"/>
                <w:sz w:val="21"/>
                <w:szCs w:val="21"/>
              </w:rPr>
            </w:pPr>
            <w:r>
              <w:rPr>
                <w:rFonts w:hint="eastAsia" w:ascii="仿宋_GB2312"/>
                <w:sz w:val="21"/>
                <w:szCs w:val="21"/>
              </w:rPr>
              <w:t>5.6</w:t>
            </w:r>
          </w:p>
        </w:tc>
        <w:tc>
          <w:tcPr>
            <w:tcW w:w="707" w:type="pct"/>
            <w:shd w:val="clear" w:color="auto" w:fill="auto"/>
            <w:vAlign w:val="center"/>
          </w:tcPr>
          <w:p w14:paraId="7D2A4CA2">
            <w:pPr>
              <w:adjustRightInd w:val="0"/>
              <w:spacing w:line="240" w:lineRule="auto"/>
              <w:jc w:val="center"/>
              <w:rPr>
                <w:rFonts w:ascii="仿宋_GB2312"/>
                <w:sz w:val="21"/>
                <w:szCs w:val="21"/>
              </w:rPr>
            </w:pPr>
            <w:r>
              <w:rPr>
                <w:rFonts w:hint="eastAsia" w:ascii="仿宋_GB2312"/>
                <w:sz w:val="21"/>
                <w:szCs w:val="21"/>
              </w:rPr>
              <w:t>7.5</w:t>
            </w:r>
          </w:p>
        </w:tc>
        <w:tc>
          <w:tcPr>
            <w:tcW w:w="670" w:type="pct"/>
            <w:vAlign w:val="center"/>
          </w:tcPr>
          <w:p w14:paraId="6D2D9EC8">
            <w:pPr>
              <w:adjustRightInd w:val="0"/>
              <w:spacing w:line="240" w:lineRule="auto"/>
              <w:jc w:val="center"/>
              <w:rPr>
                <w:rFonts w:ascii="仿宋_GB2312"/>
                <w:sz w:val="21"/>
                <w:szCs w:val="21"/>
              </w:rPr>
            </w:pPr>
          </w:p>
        </w:tc>
        <w:tc>
          <w:tcPr>
            <w:tcW w:w="475" w:type="pct"/>
            <w:shd w:val="clear" w:color="auto" w:fill="auto"/>
            <w:vAlign w:val="center"/>
          </w:tcPr>
          <w:p w14:paraId="55FAEA49">
            <w:pPr>
              <w:adjustRightInd w:val="0"/>
              <w:spacing w:line="240" w:lineRule="auto"/>
              <w:jc w:val="center"/>
              <w:rPr>
                <w:rFonts w:ascii="仿宋_GB2312"/>
                <w:sz w:val="21"/>
                <w:szCs w:val="21"/>
              </w:rPr>
            </w:pPr>
            <w:r>
              <w:rPr>
                <w:rFonts w:hint="eastAsia" w:ascii="仿宋_GB2312"/>
                <w:sz w:val="21"/>
                <w:szCs w:val="21"/>
              </w:rPr>
              <w:t>预期性</w:t>
            </w:r>
          </w:p>
        </w:tc>
      </w:tr>
      <w:tr w14:paraId="620618B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223AA64F">
            <w:pPr>
              <w:adjustRightInd w:val="0"/>
              <w:spacing w:line="240" w:lineRule="auto"/>
              <w:jc w:val="center"/>
              <w:rPr>
                <w:rFonts w:ascii="仿宋_GB2312"/>
                <w:sz w:val="21"/>
                <w:szCs w:val="21"/>
              </w:rPr>
            </w:pPr>
            <w:r>
              <w:rPr>
                <w:rFonts w:hint="eastAsia" w:ascii="仿宋_GB2312"/>
                <w:sz w:val="21"/>
                <w:szCs w:val="21"/>
              </w:rPr>
              <w:t>改革开放</w:t>
            </w:r>
          </w:p>
        </w:tc>
        <w:tc>
          <w:tcPr>
            <w:tcW w:w="291" w:type="pct"/>
            <w:shd w:val="clear" w:color="auto" w:fill="auto"/>
            <w:vAlign w:val="center"/>
          </w:tcPr>
          <w:p w14:paraId="5DAD5ACE">
            <w:pPr>
              <w:adjustRightInd w:val="0"/>
              <w:spacing w:line="240" w:lineRule="auto"/>
              <w:jc w:val="center"/>
              <w:rPr>
                <w:rFonts w:ascii="仿宋_GB2312"/>
                <w:sz w:val="21"/>
                <w:szCs w:val="21"/>
              </w:rPr>
            </w:pPr>
            <w:r>
              <w:rPr>
                <w:rFonts w:hint="eastAsia" w:ascii="仿宋_GB2312"/>
                <w:sz w:val="21"/>
                <w:szCs w:val="21"/>
              </w:rPr>
              <w:t>12</w:t>
            </w:r>
          </w:p>
        </w:tc>
        <w:tc>
          <w:tcPr>
            <w:tcW w:w="1440" w:type="pct"/>
            <w:shd w:val="clear" w:color="auto" w:fill="auto"/>
            <w:vAlign w:val="center"/>
          </w:tcPr>
          <w:p w14:paraId="7567DB68">
            <w:pPr>
              <w:adjustRightInd w:val="0"/>
              <w:spacing w:line="240" w:lineRule="auto"/>
              <w:rPr>
                <w:rFonts w:ascii="仿宋_GB2312"/>
                <w:sz w:val="21"/>
                <w:szCs w:val="21"/>
              </w:rPr>
            </w:pPr>
            <w:r>
              <w:rPr>
                <w:rFonts w:hint="eastAsia" w:ascii="仿宋_GB2312"/>
                <w:sz w:val="21"/>
                <w:szCs w:val="21"/>
              </w:rPr>
              <w:t>货物贸易进出口额</w:t>
            </w:r>
          </w:p>
        </w:tc>
        <w:tc>
          <w:tcPr>
            <w:tcW w:w="537" w:type="pct"/>
            <w:shd w:val="clear" w:color="auto" w:fill="auto"/>
            <w:vAlign w:val="center"/>
          </w:tcPr>
          <w:p w14:paraId="29EBEE9B">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187CD0D5">
            <w:pPr>
              <w:adjustRightInd w:val="0"/>
              <w:spacing w:line="240" w:lineRule="auto"/>
              <w:jc w:val="center"/>
              <w:rPr>
                <w:rFonts w:ascii="仿宋_GB2312"/>
                <w:sz w:val="21"/>
                <w:szCs w:val="21"/>
              </w:rPr>
            </w:pPr>
            <w:r>
              <w:rPr>
                <w:rFonts w:hint="eastAsia" w:ascii="仿宋_GB2312"/>
                <w:sz w:val="21"/>
                <w:szCs w:val="21"/>
              </w:rPr>
              <w:t>239</w:t>
            </w:r>
          </w:p>
        </w:tc>
        <w:tc>
          <w:tcPr>
            <w:tcW w:w="707" w:type="pct"/>
            <w:shd w:val="clear" w:color="auto" w:fill="auto"/>
            <w:vAlign w:val="center"/>
          </w:tcPr>
          <w:p w14:paraId="29E2367D">
            <w:pPr>
              <w:adjustRightInd w:val="0"/>
              <w:spacing w:line="240" w:lineRule="auto"/>
              <w:jc w:val="center"/>
              <w:rPr>
                <w:rFonts w:ascii="仿宋_GB2312"/>
                <w:sz w:val="21"/>
                <w:szCs w:val="21"/>
              </w:rPr>
            </w:pPr>
            <w:r>
              <w:rPr>
                <w:rFonts w:hint="eastAsia" w:ascii="仿宋_GB2312"/>
                <w:sz w:val="21"/>
                <w:szCs w:val="21"/>
              </w:rPr>
              <w:t>350</w:t>
            </w:r>
          </w:p>
        </w:tc>
        <w:tc>
          <w:tcPr>
            <w:tcW w:w="670" w:type="pct"/>
            <w:vAlign w:val="center"/>
          </w:tcPr>
          <w:p w14:paraId="4956D3D8">
            <w:pPr>
              <w:adjustRightInd w:val="0"/>
              <w:spacing w:line="240" w:lineRule="auto"/>
              <w:jc w:val="center"/>
              <w:rPr>
                <w:rFonts w:ascii="仿宋_GB2312"/>
                <w:sz w:val="21"/>
                <w:szCs w:val="21"/>
              </w:rPr>
            </w:pPr>
          </w:p>
        </w:tc>
        <w:tc>
          <w:tcPr>
            <w:tcW w:w="475" w:type="pct"/>
            <w:shd w:val="clear" w:color="auto" w:fill="auto"/>
            <w:vAlign w:val="center"/>
          </w:tcPr>
          <w:p w14:paraId="7F425281">
            <w:pPr>
              <w:adjustRightInd w:val="0"/>
              <w:spacing w:line="240" w:lineRule="auto"/>
              <w:jc w:val="center"/>
              <w:rPr>
                <w:rFonts w:ascii="仿宋_GB2312"/>
                <w:sz w:val="21"/>
                <w:szCs w:val="21"/>
              </w:rPr>
            </w:pPr>
            <w:r>
              <w:rPr>
                <w:rFonts w:hint="eastAsia" w:ascii="仿宋_GB2312"/>
                <w:sz w:val="21"/>
                <w:szCs w:val="21"/>
              </w:rPr>
              <w:t>预期性</w:t>
            </w:r>
          </w:p>
        </w:tc>
      </w:tr>
      <w:tr w14:paraId="065BE7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29CB93ED">
            <w:pPr>
              <w:adjustRightInd w:val="0"/>
              <w:spacing w:line="240" w:lineRule="auto"/>
              <w:jc w:val="center"/>
              <w:rPr>
                <w:rFonts w:ascii="仿宋_GB2312"/>
                <w:sz w:val="21"/>
                <w:szCs w:val="21"/>
              </w:rPr>
            </w:pPr>
          </w:p>
        </w:tc>
        <w:tc>
          <w:tcPr>
            <w:tcW w:w="291" w:type="pct"/>
            <w:shd w:val="clear" w:color="auto" w:fill="auto"/>
            <w:vAlign w:val="center"/>
          </w:tcPr>
          <w:p w14:paraId="12F55F08">
            <w:pPr>
              <w:adjustRightInd w:val="0"/>
              <w:spacing w:line="240" w:lineRule="auto"/>
              <w:jc w:val="center"/>
              <w:rPr>
                <w:rFonts w:ascii="仿宋_GB2312"/>
                <w:sz w:val="21"/>
                <w:szCs w:val="21"/>
              </w:rPr>
            </w:pPr>
            <w:r>
              <w:rPr>
                <w:rFonts w:hint="eastAsia" w:ascii="仿宋_GB2312"/>
                <w:sz w:val="21"/>
                <w:szCs w:val="21"/>
              </w:rPr>
              <w:t>13</w:t>
            </w:r>
          </w:p>
        </w:tc>
        <w:tc>
          <w:tcPr>
            <w:tcW w:w="1440" w:type="pct"/>
            <w:shd w:val="clear" w:color="auto" w:fill="auto"/>
            <w:vAlign w:val="center"/>
          </w:tcPr>
          <w:p w14:paraId="6764F8CE">
            <w:pPr>
              <w:adjustRightInd w:val="0"/>
              <w:spacing w:line="240" w:lineRule="auto"/>
              <w:rPr>
                <w:rFonts w:ascii="仿宋_GB2312"/>
                <w:sz w:val="21"/>
                <w:szCs w:val="21"/>
              </w:rPr>
            </w:pPr>
            <w:r>
              <w:rPr>
                <w:rFonts w:hint="eastAsia" w:ascii="仿宋_GB2312"/>
                <w:sz w:val="21"/>
                <w:szCs w:val="21"/>
              </w:rPr>
              <w:t>服务贸易进出口额</w:t>
            </w:r>
          </w:p>
        </w:tc>
        <w:tc>
          <w:tcPr>
            <w:tcW w:w="537" w:type="pct"/>
            <w:shd w:val="clear" w:color="auto" w:fill="auto"/>
            <w:vAlign w:val="center"/>
          </w:tcPr>
          <w:p w14:paraId="2E05968A">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21690B62">
            <w:pPr>
              <w:adjustRightInd w:val="0"/>
              <w:spacing w:line="240" w:lineRule="auto"/>
              <w:jc w:val="center"/>
              <w:rPr>
                <w:rFonts w:ascii="仿宋_GB2312"/>
                <w:sz w:val="21"/>
                <w:szCs w:val="21"/>
              </w:rPr>
            </w:pPr>
            <w:r>
              <w:rPr>
                <w:rFonts w:hint="eastAsia" w:ascii="仿宋_GB2312"/>
                <w:sz w:val="21"/>
                <w:szCs w:val="21"/>
              </w:rPr>
              <w:t>19.16</w:t>
            </w:r>
          </w:p>
        </w:tc>
        <w:tc>
          <w:tcPr>
            <w:tcW w:w="707" w:type="pct"/>
            <w:shd w:val="clear" w:color="auto" w:fill="auto"/>
            <w:vAlign w:val="center"/>
          </w:tcPr>
          <w:p w14:paraId="1BEB9F1B">
            <w:pPr>
              <w:adjustRightInd w:val="0"/>
              <w:spacing w:line="240" w:lineRule="auto"/>
              <w:jc w:val="center"/>
              <w:rPr>
                <w:rFonts w:ascii="仿宋_GB2312"/>
                <w:sz w:val="21"/>
                <w:szCs w:val="21"/>
              </w:rPr>
            </w:pPr>
            <w:r>
              <w:rPr>
                <w:rFonts w:hint="eastAsia" w:ascii="仿宋_GB2312"/>
                <w:sz w:val="21"/>
                <w:szCs w:val="21"/>
              </w:rPr>
              <w:t>＞30</w:t>
            </w:r>
          </w:p>
        </w:tc>
        <w:tc>
          <w:tcPr>
            <w:tcW w:w="670" w:type="pct"/>
            <w:vAlign w:val="center"/>
          </w:tcPr>
          <w:p w14:paraId="71A92192">
            <w:pPr>
              <w:adjustRightInd w:val="0"/>
              <w:spacing w:line="240" w:lineRule="auto"/>
              <w:jc w:val="center"/>
              <w:rPr>
                <w:rFonts w:ascii="仿宋_GB2312"/>
                <w:sz w:val="21"/>
                <w:szCs w:val="21"/>
              </w:rPr>
            </w:pPr>
          </w:p>
        </w:tc>
        <w:tc>
          <w:tcPr>
            <w:tcW w:w="475" w:type="pct"/>
            <w:shd w:val="clear" w:color="auto" w:fill="auto"/>
            <w:vAlign w:val="center"/>
          </w:tcPr>
          <w:p w14:paraId="3203ED67">
            <w:pPr>
              <w:adjustRightInd w:val="0"/>
              <w:spacing w:line="240" w:lineRule="auto"/>
              <w:jc w:val="center"/>
              <w:rPr>
                <w:rFonts w:ascii="仿宋_GB2312"/>
                <w:sz w:val="21"/>
                <w:szCs w:val="21"/>
              </w:rPr>
            </w:pPr>
            <w:r>
              <w:rPr>
                <w:rFonts w:hint="eastAsia" w:ascii="仿宋_GB2312"/>
                <w:sz w:val="21"/>
                <w:szCs w:val="21"/>
              </w:rPr>
              <w:t>预期性</w:t>
            </w:r>
          </w:p>
        </w:tc>
      </w:tr>
      <w:tr w14:paraId="47972A5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42C5E6D7">
            <w:pPr>
              <w:adjustRightInd w:val="0"/>
              <w:spacing w:line="240" w:lineRule="auto"/>
              <w:jc w:val="center"/>
              <w:rPr>
                <w:rFonts w:ascii="仿宋_GB2312"/>
                <w:sz w:val="21"/>
                <w:szCs w:val="21"/>
              </w:rPr>
            </w:pPr>
          </w:p>
        </w:tc>
        <w:tc>
          <w:tcPr>
            <w:tcW w:w="291" w:type="pct"/>
            <w:shd w:val="clear" w:color="auto" w:fill="auto"/>
            <w:vAlign w:val="center"/>
          </w:tcPr>
          <w:p w14:paraId="015F1AC3">
            <w:pPr>
              <w:adjustRightInd w:val="0"/>
              <w:spacing w:line="240" w:lineRule="auto"/>
              <w:jc w:val="center"/>
              <w:rPr>
                <w:rFonts w:ascii="仿宋_GB2312"/>
                <w:sz w:val="21"/>
                <w:szCs w:val="21"/>
              </w:rPr>
            </w:pPr>
            <w:r>
              <w:rPr>
                <w:rFonts w:hint="eastAsia" w:ascii="仿宋_GB2312"/>
                <w:sz w:val="21"/>
                <w:szCs w:val="21"/>
              </w:rPr>
              <w:t>14</w:t>
            </w:r>
          </w:p>
        </w:tc>
        <w:tc>
          <w:tcPr>
            <w:tcW w:w="1440" w:type="pct"/>
            <w:shd w:val="clear" w:color="auto" w:fill="auto"/>
            <w:vAlign w:val="center"/>
          </w:tcPr>
          <w:p w14:paraId="00607F36">
            <w:pPr>
              <w:adjustRightInd w:val="0"/>
              <w:spacing w:line="240" w:lineRule="auto"/>
              <w:rPr>
                <w:rFonts w:ascii="仿宋_GB2312"/>
                <w:sz w:val="21"/>
                <w:szCs w:val="21"/>
              </w:rPr>
            </w:pPr>
            <w:r>
              <w:rPr>
                <w:rFonts w:hint="eastAsia" w:ascii="仿宋_GB2312"/>
                <w:sz w:val="21"/>
                <w:szCs w:val="21"/>
              </w:rPr>
              <w:t>实际使用外资额</w:t>
            </w:r>
          </w:p>
        </w:tc>
        <w:tc>
          <w:tcPr>
            <w:tcW w:w="537" w:type="pct"/>
            <w:shd w:val="clear" w:color="auto" w:fill="auto"/>
            <w:vAlign w:val="center"/>
          </w:tcPr>
          <w:p w14:paraId="0CDDA731">
            <w:pPr>
              <w:adjustRightInd w:val="0"/>
              <w:spacing w:line="240" w:lineRule="auto"/>
              <w:jc w:val="center"/>
              <w:rPr>
                <w:rFonts w:ascii="仿宋_GB2312"/>
                <w:sz w:val="21"/>
                <w:szCs w:val="21"/>
              </w:rPr>
            </w:pPr>
            <w:r>
              <w:rPr>
                <w:rFonts w:hint="eastAsia" w:ascii="仿宋_GB2312"/>
                <w:sz w:val="21"/>
                <w:szCs w:val="21"/>
              </w:rPr>
              <w:t>亿美元</w:t>
            </w:r>
          </w:p>
        </w:tc>
        <w:tc>
          <w:tcPr>
            <w:tcW w:w="424" w:type="pct"/>
            <w:shd w:val="clear" w:color="auto" w:fill="auto"/>
            <w:vAlign w:val="center"/>
          </w:tcPr>
          <w:p w14:paraId="1A548929">
            <w:pPr>
              <w:adjustRightInd w:val="0"/>
              <w:spacing w:line="240" w:lineRule="auto"/>
              <w:jc w:val="center"/>
              <w:rPr>
                <w:rFonts w:ascii="仿宋_GB2312"/>
                <w:sz w:val="21"/>
                <w:szCs w:val="21"/>
              </w:rPr>
            </w:pPr>
            <w:r>
              <w:rPr>
                <w:rFonts w:hint="eastAsia" w:ascii="仿宋_GB2312"/>
                <w:sz w:val="21"/>
                <w:szCs w:val="21"/>
              </w:rPr>
              <w:t>2.82</w:t>
            </w:r>
          </w:p>
        </w:tc>
        <w:tc>
          <w:tcPr>
            <w:tcW w:w="707" w:type="pct"/>
            <w:shd w:val="clear" w:color="auto" w:fill="auto"/>
            <w:vAlign w:val="center"/>
          </w:tcPr>
          <w:p w14:paraId="240C84CF">
            <w:pPr>
              <w:adjustRightInd w:val="0"/>
              <w:spacing w:line="240" w:lineRule="auto"/>
              <w:jc w:val="center"/>
              <w:rPr>
                <w:rFonts w:ascii="仿宋_GB2312"/>
                <w:sz w:val="21"/>
                <w:szCs w:val="21"/>
              </w:rPr>
            </w:pPr>
            <w:r>
              <w:rPr>
                <w:rFonts w:hint="eastAsia" w:ascii="仿宋_GB2312"/>
                <w:sz w:val="21"/>
                <w:szCs w:val="21"/>
              </w:rPr>
              <w:t>［≥16］</w:t>
            </w:r>
          </w:p>
        </w:tc>
        <w:tc>
          <w:tcPr>
            <w:tcW w:w="670" w:type="pct"/>
            <w:vAlign w:val="center"/>
          </w:tcPr>
          <w:p w14:paraId="02F214F1">
            <w:pPr>
              <w:adjustRightInd w:val="0"/>
              <w:spacing w:line="240" w:lineRule="auto"/>
              <w:jc w:val="center"/>
              <w:rPr>
                <w:rFonts w:ascii="仿宋_GB2312"/>
                <w:sz w:val="21"/>
                <w:szCs w:val="21"/>
              </w:rPr>
            </w:pPr>
          </w:p>
        </w:tc>
        <w:tc>
          <w:tcPr>
            <w:tcW w:w="475" w:type="pct"/>
            <w:shd w:val="clear" w:color="auto" w:fill="auto"/>
            <w:vAlign w:val="center"/>
          </w:tcPr>
          <w:p w14:paraId="79BEE0B2">
            <w:pPr>
              <w:adjustRightInd w:val="0"/>
              <w:spacing w:line="240" w:lineRule="auto"/>
              <w:jc w:val="center"/>
              <w:rPr>
                <w:rFonts w:ascii="仿宋_GB2312"/>
                <w:sz w:val="21"/>
                <w:szCs w:val="21"/>
              </w:rPr>
            </w:pPr>
            <w:r>
              <w:rPr>
                <w:rFonts w:hint="eastAsia" w:ascii="仿宋_GB2312"/>
                <w:sz w:val="21"/>
                <w:szCs w:val="21"/>
              </w:rPr>
              <w:t>预期性</w:t>
            </w:r>
          </w:p>
        </w:tc>
      </w:tr>
      <w:tr w14:paraId="6B84FCE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5593DFCB">
            <w:pPr>
              <w:adjustRightInd w:val="0"/>
              <w:spacing w:line="240" w:lineRule="auto"/>
              <w:jc w:val="center"/>
              <w:rPr>
                <w:rFonts w:ascii="仿宋_GB2312"/>
                <w:sz w:val="21"/>
                <w:szCs w:val="21"/>
              </w:rPr>
            </w:pPr>
            <w:r>
              <w:rPr>
                <w:rFonts w:hint="eastAsia" w:ascii="仿宋_GB2312"/>
                <w:sz w:val="21"/>
                <w:szCs w:val="21"/>
              </w:rPr>
              <w:t>文化发展</w:t>
            </w:r>
          </w:p>
        </w:tc>
        <w:tc>
          <w:tcPr>
            <w:tcW w:w="291" w:type="pct"/>
            <w:shd w:val="clear" w:color="auto" w:fill="auto"/>
            <w:vAlign w:val="center"/>
          </w:tcPr>
          <w:p w14:paraId="32B8ACCF">
            <w:pPr>
              <w:adjustRightInd w:val="0"/>
              <w:spacing w:line="240" w:lineRule="auto"/>
              <w:jc w:val="center"/>
              <w:rPr>
                <w:rFonts w:ascii="仿宋_GB2312"/>
                <w:sz w:val="21"/>
                <w:szCs w:val="21"/>
              </w:rPr>
            </w:pPr>
            <w:r>
              <w:rPr>
                <w:rFonts w:hint="eastAsia" w:ascii="仿宋_GB2312"/>
                <w:sz w:val="21"/>
                <w:szCs w:val="21"/>
              </w:rPr>
              <w:t>15</w:t>
            </w:r>
          </w:p>
        </w:tc>
        <w:tc>
          <w:tcPr>
            <w:tcW w:w="1440" w:type="pct"/>
            <w:shd w:val="clear" w:color="auto" w:fill="auto"/>
            <w:vAlign w:val="center"/>
          </w:tcPr>
          <w:p w14:paraId="5EA6B531">
            <w:pPr>
              <w:adjustRightInd w:val="0"/>
              <w:spacing w:line="240" w:lineRule="auto"/>
              <w:rPr>
                <w:rFonts w:ascii="仿宋_GB2312"/>
                <w:sz w:val="21"/>
                <w:szCs w:val="21"/>
              </w:rPr>
            </w:pPr>
            <w:r>
              <w:rPr>
                <w:rFonts w:hint="eastAsia" w:ascii="仿宋_GB2312"/>
                <w:sz w:val="21"/>
                <w:szCs w:val="21"/>
              </w:rPr>
              <w:t>文化及相关产业增加值</w:t>
            </w:r>
          </w:p>
        </w:tc>
        <w:tc>
          <w:tcPr>
            <w:tcW w:w="537" w:type="pct"/>
            <w:shd w:val="clear" w:color="auto" w:fill="auto"/>
            <w:vAlign w:val="center"/>
          </w:tcPr>
          <w:p w14:paraId="5C125629">
            <w:pPr>
              <w:adjustRightInd w:val="0"/>
              <w:spacing w:line="240" w:lineRule="auto"/>
              <w:jc w:val="center"/>
              <w:rPr>
                <w:rFonts w:ascii="仿宋_GB2312"/>
                <w:sz w:val="21"/>
                <w:szCs w:val="21"/>
              </w:rPr>
            </w:pPr>
            <w:r>
              <w:rPr>
                <w:rFonts w:hint="eastAsia" w:ascii="仿宋_GB2312"/>
                <w:sz w:val="21"/>
                <w:szCs w:val="21"/>
              </w:rPr>
              <w:t>亿元</w:t>
            </w:r>
          </w:p>
        </w:tc>
        <w:tc>
          <w:tcPr>
            <w:tcW w:w="424" w:type="pct"/>
            <w:shd w:val="clear" w:color="auto" w:fill="auto"/>
            <w:vAlign w:val="center"/>
          </w:tcPr>
          <w:p w14:paraId="5193E2CB">
            <w:pPr>
              <w:adjustRightInd w:val="0"/>
              <w:spacing w:line="240" w:lineRule="auto"/>
              <w:jc w:val="center"/>
              <w:rPr>
                <w:rFonts w:ascii="仿宋_GB2312"/>
                <w:sz w:val="21"/>
                <w:szCs w:val="21"/>
              </w:rPr>
            </w:pPr>
            <w:r>
              <w:rPr>
                <w:rFonts w:hint="eastAsia" w:ascii="仿宋_GB2312"/>
                <w:sz w:val="21"/>
                <w:szCs w:val="21"/>
              </w:rPr>
              <w:t>46</w:t>
            </w:r>
          </w:p>
        </w:tc>
        <w:tc>
          <w:tcPr>
            <w:tcW w:w="707" w:type="pct"/>
            <w:shd w:val="clear" w:color="auto" w:fill="auto"/>
            <w:vAlign w:val="center"/>
          </w:tcPr>
          <w:p w14:paraId="6694052B">
            <w:pPr>
              <w:adjustRightInd w:val="0"/>
              <w:spacing w:line="240" w:lineRule="auto"/>
              <w:jc w:val="center"/>
              <w:rPr>
                <w:rFonts w:ascii="仿宋_GB2312"/>
                <w:sz w:val="21"/>
                <w:szCs w:val="21"/>
              </w:rPr>
            </w:pPr>
          </w:p>
        </w:tc>
        <w:tc>
          <w:tcPr>
            <w:tcW w:w="670" w:type="pct"/>
            <w:vAlign w:val="center"/>
          </w:tcPr>
          <w:p w14:paraId="0123D91B">
            <w:pPr>
              <w:adjustRightInd w:val="0"/>
              <w:spacing w:line="240" w:lineRule="auto"/>
              <w:jc w:val="center"/>
              <w:rPr>
                <w:rFonts w:ascii="仿宋_GB2312"/>
                <w:sz w:val="21"/>
                <w:szCs w:val="21"/>
              </w:rPr>
            </w:pPr>
            <w:r>
              <w:rPr>
                <w:rFonts w:hint="eastAsia" w:ascii="仿宋_GB2312"/>
                <w:sz w:val="21"/>
                <w:szCs w:val="21"/>
              </w:rPr>
              <w:t>10%以上</w:t>
            </w:r>
          </w:p>
        </w:tc>
        <w:tc>
          <w:tcPr>
            <w:tcW w:w="475" w:type="pct"/>
            <w:shd w:val="clear" w:color="auto" w:fill="auto"/>
            <w:vAlign w:val="center"/>
          </w:tcPr>
          <w:p w14:paraId="06E47606">
            <w:pPr>
              <w:adjustRightInd w:val="0"/>
              <w:spacing w:line="240" w:lineRule="auto"/>
              <w:jc w:val="center"/>
              <w:rPr>
                <w:rFonts w:ascii="仿宋_GB2312"/>
                <w:sz w:val="21"/>
                <w:szCs w:val="21"/>
              </w:rPr>
            </w:pPr>
            <w:r>
              <w:rPr>
                <w:rFonts w:hint="eastAsia" w:ascii="仿宋_GB2312"/>
                <w:sz w:val="21"/>
                <w:szCs w:val="21"/>
              </w:rPr>
              <w:t>预期性</w:t>
            </w:r>
          </w:p>
        </w:tc>
      </w:tr>
      <w:tr w14:paraId="415CAF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34215766">
            <w:pPr>
              <w:adjustRightInd w:val="0"/>
              <w:spacing w:line="240" w:lineRule="auto"/>
              <w:jc w:val="center"/>
              <w:rPr>
                <w:rFonts w:ascii="仿宋_GB2312"/>
                <w:sz w:val="21"/>
                <w:szCs w:val="21"/>
              </w:rPr>
            </w:pPr>
          </w:p>
        </w:tc>
        <w:tc>
          <w:tcPr>
            <w:tcW w:w="291" w:type="pct"/>
            <w:shd w:val="clear" w:color="auto" w:fill="auto"/>
            <w:vAlign w:val="center"/>
          </w:tcPr>
          <w:p w14:paraId="2ACBAC80">
            <w:pPr>
              <w:adjustRightInd w:val="0"/>
              <w:spacing w:line="240" w:lineRule="auto"/>
              <w:jc w:val="center"/>
              <w:rPr>
                <w:rFonts w:ascii="仿宋_GB2312"/>
                <w:sz w:val="21"/>
                <w:szCs w:val="21"/>
              </w:rPr>
            </w:pPr>
            <w:r>
              <w:rPr>
                <w:rFonts w:hint="eastAsia" w:ascii="仿宋_GB2312"/>
                <w:sz w:val="21"/>
                <w:szCs w:val="21"/>
              </w:rPr>
              <w:t>16</w:t>
            </w:r>
          </w:p>
        </w:tc>
        <w:tc>
          <w:tcPr>
            <w:tcW w:w="1440" w:type="pct"/>
            <w:shd w:val="clear" w:color="auto" w:fill="auto"/>
            <w:vAlign w:val="center"/>
          </w:tcPr>
          <w:p w14:paraId="13B8B5EF">
            <w:pPr>
              <w:adjustRightInd w:val="0"/>
              <w:spacing w:line="240" w:lineRule="auto"/>
              <w:rPr>
                <w:rFonts w:ascii="仿宋_GB2312"/>
                <w:sz w:val="21"/>
                <w:szCs w:val="21"/>
              </w:rPr>
            </w:pPr>
            <w:r>
              <w:rPr>
                <w:rFonts w:hint="eastAsia" w:ascii="仿宋_GB2312"/>
                <w:sz w:val="21"/>
                <w:szCs w:val="21"/>
              </w:rPr>
              <w:t>居民综合阅读率</w:t>
            </w:r>
          </w:p>
        </w:tc>
        <w:tc>
          <w:tcPr>
            <w:tcW w:w="537" w:type="pct"/>
            <w:shd w:val="clear" w:color="auto" w:fill="auto"/>
            <w:vAlign w:val="center"/>
          </w:tcPr>
          <w:p w14:paraId="2804BBA4">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546D96C3">
            <w:pPr>
              <w:adjustRightInd w:val="0"/>
              <w:spacing w:line="240" w:lineRule="auto"/>
              <w:jc w:val="center"/>
              <w:rPr>
                <w:rFonts w:ascii="仿宋_GB2312"/>
                <w:sz w:val="21"/>
                <w:szCs w:val="21"/>
              </w:rPr>
            </w:pPr>
            <w:r>
              <w:rPr>
                <w:rFonts w:hint="eastAsia" w:ascii="仿宋_GB2312"/>
                <w:sz w:val="21"/>
                <w:szCs w:val="21"/>
              </w:rPr>
              <w:t>80</w:t>
            </w:r>
          </w:p>
        </w:tc>
        <w:tc>
          <w:tcPr>
            <w:tcW w:w="1377" w:type="pct"/>
            <w:gridSpan w:val="2"/>
            <w:shd w:val="clear" w:color="auto" w:fill="auto"/>
            <w:vAlign w:val="center"/>
          </w:tcPr>
          <w:p w14:paraId="5F1E6F0F">
            <w:pPr>
              <w:adjustRightInd w:val="0"/>
              <w:spacing w:line="240" w:lineRule="auto"/>
              <w:jc w:val="center"/>
              <w:rPr>
                <w:rFonts w:ascii="仿宋_GB2312"/>
                <w:sz w:val="21"/>
                <w:szCs w:val="21"/>
              </w:rPr>
            </w:pPr>
            <w:r>
              <w:rPr>
                <w:rFonts w:hint="eastAsia" w:ascii="仿宋_GB2312"/>
                <w:sz w:val="21"/>
                <w:szCs w:val="21"/>
              </w:rPr>
              <w:t>达到全市平均</w:t>
            </w:r>
          </w:p>
        </w:tc>
        <w:tc>
          <w:tcPr>
            <w:tcW w:w="475" w:type="pct"/>
            <w:shd w:val="clear" w:color="auto" w:fill="auto"/>
            <w:vAlign w:val="center"/>
          </w:tcPr>
          <w:p w14:paraId="6E4270FB">
            <w:pPr>
              <w:adjustRightInd w:val="0"/>
              <w:spacing w:line="240" w:lineRule="auto"/>
              <w:jc w:val="center"/>
              <w:rPr>
                <w:rFonts w:ascii="仿宋_GB2312"/>
                <w:sz w:val="21"/>
                <w:szCs w:val="21"/>
              </w:rPr>
            </w:pPr>
            <w:r>
              <w:rPr>
                <w:rFonts w:hint="eastAsia" w:ascii="仿宋_GB2312"/>
                <w:sz w:val="21"/>
                <w:szCs w:val="21"/>
              </w:rPr>
              <w:t>预期性</w:t>
            </w:r>
          </w:p>
        </w:tc>
      </w:tr>
      <w:tr w14:paraId="0E19BB1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32C0185B">
            <w:pPr>
              <w:adjustRightInd w:val="0"/>
              <w:spacing w:line="240" w:lineRule="auto"/>
              <w:jc w:val="center"/>
              <w:rPr>
                <w:rFonts w:ascii="仿宋_GB2312"/>
                <w:sz w:val="21"/>
                <w:szCs w:val="21"/>
              </w:rPr>
            </w:pPr>
            <w:r>
              <w:rPr>
                <w:rFonts w:hint="eastAsia" w:ascii="仿宋_GB2312"/>
                <w:sz w:val="21"/>
                <w:szCs w:val="21"/>
              </w:rPr>
              <w:t>生态环境</w:t>
            </w:r>
          </w:p>
        </w:tc>
        <w:tc>
          <w:tcPr>
            <w:tcW w:w="291" w:type="pct"/>
            <w:shd w:val="clear" w:color="auto" w:fill="auto"/>
            <w:vAlign w:val="center"/>
          </w:tcPr>
          <w:p w14:paraId="7017D03F">
            <w:pPr>
              <w:adjustRightInd w:val="0"/>
              <w:spacing w:line="240" w:lineRule="auto"/>
              <w:jc w:val="center"/>
              <w:rPr>
                <w:rFonts w:ascii="仿宋_GB2312"/>
                <w:sz w:val="21"/>
                <w:szCs w:val="21"/>
              </w:rPr>
            </w:pPr>
            <w:r>
              <w:rPr>
                <w:rFonts w:hint="eastAsia" w:ascii="仿宋_GB2312"/>
                <w:sz w:val="21"/>
                <w:szCs w:val="21"/>
              </w:rPr>
              <w:t>17</w:t>
            </w:r>
          </w:p>
        </w:tc>
        <w:tc>
          <w:tcPr>
            <w:tcW w:w="1440" w:type="pct"/>
            <w:shd w:val="clear" w:color="auto" w:fill="auto"/>
            <w:vAlign w:val="center"/>
          </w:tcPr>
          <w:p w14:paraId="744638E8">
            <w:pPr>
              <w:adjustRightInd w:val="0"/>
              <w:spacing w:line="240" w:lineRule="auto"/>
              <w:rPr>
                <w:rFonts w:ascii="仿宋_GB2312"/>
                <w:sz w:val="21"/>
                <w:szCs w:val="21"/>
              </w:rPr>
            </w:pPr>
            <w:r>
              <w:rPr>
                <w:rFonts w:hint="eastAsia" w:ascii="仿宋_GB2312"/>
                <w:sz w:val="21"/>
                <w:szCs w:val="21"/>
              </w:rPr>
              <w:t>单位GDP能耗降低率</w:t>
            </w:r>
          </w:p>
        </w:tc>
        <w:tc>
          <w:tcPr>
            <w:tcW w:w="537" w:type="pct"/>
            <w:shd w:val="clear" w:color="auto" w:fill="auto"/>
            <w:vAlign w:val="center"/>
          </w:tcPr>
          <w:p w14:paraId="4E839898">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3BBA6F64">
            <w:pPr>
              <w:adjustRightInd w:val="0"/>
              <w:spacing w:line="240" w:lineRule="auto"/>
              <w:jc w:val="center"/>
              <w:rPr>
                <w:rFonts w:ascii="仿宋_GB2312"/>
                <w:sz w:val="21"/>
                <w:szCs w:val="21"/>
              </w:rPr>
            </w:pPr>
            <w:r>
              <w:rPr>
                <w:rFonts w:hint="eastAsia" w:ascii="仿宋_GB2312"/>
                <w:sz w:val="21"/>
                <w:szCs w:val="21"/>
              </w:rPr>
              <w:t>-</w:t>
            </w:r>
          </w:p>
        </w:tc>
        <w:tc>
          <w:tcPr>
            <w:tcW w:w="1377" w:type="pct"/>
            <w:gridSpan w:val="2"/>
            <w:vMerge w:val="restart"/>
            <w:shd w:val="clear" w:color="auto" w:fill="auto"/>
            <w:vAlign w:val="center"/>
          </w:tcPr>
          <w:p w14:paraId="24C251FC">
            <w:pPr>
              <w:adjustRightInd w:val="0"/>
              <w:spacing w:line="240" w:lineRule="auto"/>
              <w:jc w:val="center"/>
              <w:rPr>
                <w:rFonts w:ascii="仿宋_GB2312"/>
                <w:sz w:val="21"/>
                <w:szCs w:val="21"/>
              </w:rPr>
            </w:pPr>
            <w:r>
              <w:rPr>
                <w:rFonts w:hint="eastAsia" w:ascii="仿宋_GB2312"/>
                <w:sz w:val="21"/>
                <w:szCs w:val="21"/>
              </w:rPr>
              <w:t>完成上级下达任务</w:t>
            </w:r>
          </w:p>
        </w:tc>
        <w:tc>
          <w:tcPr>
            <w:tcW w:w="475" w:type="pct"/>
            <w:shd w:val="clear" w:color="auto" w:fill="auto"/>
            <w:vAlign w:val="center"/>
          </w:tcPr>
          <w:p w14:paraId="47191D0D">
            <w:pPr>
              <w:adjustRightInd w:val="0"/>
              <w:spacing w:line="240" w:lineRule="auto"/>
              <w:jc w:val="center"/>
              <w:rPr>
                <w:rFonts w:ascii="仿宋_GB2312"/>
                <w:sz w:val="21"/>
                <w:szCs w:val="21"/>
              </w:rPr>
            </w:pPr>
            <w:r>
              <w:rPr>
                <w:rFonts w:hint="eastAsia" w:ascii="仿宋_GB2312"/>
                <w:sz w:val="21"/>
                <w:szCs w:val="21"/>
              </w:rPr>
              <w:t>约束性</w:t>
            </w:r>
          </w:p>
        </w:tc>
      </w:tr>
      <w:tr w14:paraId="090BF96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2341E1A4">
            <w:pPr>
              <w:adjustRightInd w:val="0"/>
              <w:spacing w:line="240" w:lineRule="auto"/>
              <w:jc w:val="center"/>
              <w:rPr>
                <w:rFonts w:ascii="仿宋_GB2312"/>
                <w:sz w:val="21"/>
                <w:szCs w:val="21"/>
              </w:rPr>
            </w:pPr>
          </w:p>
        </w:tc>
        <w:tc>
          <w:tcPr>
            <w:tcW w:w="291" w:type="pct"/>
            <w:shd w:val="clear" w:color="auto" w:fill="auto"/>
            <w:vAlign w:val="center"/>
          </w:tcPr>
          <w:p w14:paraId="39EEEEEA">
            <w:pPr>
              <w:adjustRightInd w:val="0"/>
              <w:spacing w:line="240" w:lineRule="auto"/>
              <w:jc w:val="center"/>
              <w:rPr>
                <w:rFonts w:ascii="仿宋_GB2312"/>
                <w:sz w:val="21"/>
                <w:szCs w:val="21"/>
              </w:rPr>
            </w:pPr>
            <w:r>
              <w:rPr>
                <w:rFonts w:hint="eastAsia" w:ascii="仿宋_GB2312"/>
                <w:sz w:val="21"/>
                <w:szCs w:val="21"/>
              </w:rPr>
              <w:t>18</w:t>
            </w:r>
          </w:p>
        </w:tc>
        <w:tc>
          <w:tcPr>
            <w:tcW w:w="1440" w:type="pct"/>
            <w:shd w:val="clear" w:color="auto" w:fill="auto"/>
            <w:vAlign w:val="center"/>
          </w:tcPr>
          <w:p w14:paraId="61EA7179">
            <w:pPr>
              <w:adjustRightInd w:val="0"/>
              <w:spacing w:line="240" w:lineRule="auto"/>
              <w:rPr>
                <w:rFonts w:ascii="仿宋_GB2312"/>
                <w:sz w:val="21"/>
                <w:szCs w:val="21"/>
              </w:rPr>
            </w:pPr>
            <w:r>
              <w:rPr>
                <w:rFonts w:hint="eastAsia" w:ascii="仿宋_GB2312"/>
                <w:sz w:val="21"/>
                <w:szCs w:val="21"/>
              </w:rPr>
              <w:t>单位GDP二氧化碳排放降低率</w:t>
            </w:r>
          </w:p>
        </w:tc>
        <w:tc>
          <w:tcPr>
            <w:tcW w:w="537" w:type="pct"/>
            <w:shd w:val="clear" w:color="auto" w:fill="auto"/>
            <w:vAlign w:val="center"/>
          </w:tcPr>
          <w:p w14:paraId="56A97BB9">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5E3B9D53">
            <w:pPr>
              <w:adjustRightInd w:val="0"/>
              <w:spacing w:line="240" w:lineRule="auto"/>
              <w:jc w:val="center"/>
              <w:rPr>
                <w:rFonts w:ascii="仿宋_GB2312"/>
                <w:sz w:val="21"/>
                <w:szCs w:val="21"/>
              </w:rPr>
            </w:pPr>
            <w:r>
              <w:rPr>
                <w:rFonts w:hint="eastAsia" w:ascii="仿宋_GB2312"/>
                <w:sz w:val="21"/>
                <w:szCs w:val="21"/>
              </w:rPr>
              <w:t>-</w:t>
            </w:r>
          </w:p>
        </w:tc>
        <w:tc>
          <w:tcPr>
            <w:tcW w:w="1377" w:type="pct"/>
            <w:gridSpan w:val="2"/>
            <w:vMerge w:val="continue"/>
            <w:shd w:val="clear" w:color="auto" w:fill="auto"/>
            <w:vAlign w:val="center"/>
          </w:tcPr>
          <w:p w14:paraId="1070FFFA">
            <w:pPr>
              <w:adjustRightInd w:val="0"/>
              <w:spacing w:line="240" w:lineRule="auto"/>
              <w:jc w:val="center"/>
              <w:rPr>
                <w:rFonts w:ascii="仿宋_GB2312"/>
                <w:sz w:val="21"/>
                <w:szCs w:val="21"/>
              </w:rPr>
            </w:pPr>
          </w:p>
        </w:tc>
        <w:tc>
          <w:tcPr>
            <w:tcW w:w="475" w:type="pct"/>
            <w:shd w:val="clear" w:color="auto" w:fill="auto"/>
            <w:vAlign w:val="center"/>
          </w:tcPr>
          <w:p w14:paraId="77F39047">
            <w:pPr>
              <w:adjustRightInd w:val="0"/>
              <w:spacing w:line="240" w:lineRule="auto"/>
              <w:jc w:val="center"/>
              <w:rPr>
                <w:rFonts w:ascii="仿宋_GB2312"/>
                <w:sz w:val="21"/>
                <w:szCs w:val="21"/>
              </w:rPr>
            </w:pPr>
            <w:r>
              <w:rPr>
                <w:rFonts w:hint="eastAsia" w:ascii="仿宋_GB2312"/>
                <w:sz w:val="21"/>
                <w:szCs w:val="21"/>
              </w:rPr>
              <w:t>约束性</w:t>
            </w:r>
          </w:p>
        </w:tc>
      </w:tr>
      <w:tr w14:paraId="01C4A0F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continue"/>
            <w:shd w:val="clear" w:color="auto" w:fill="auto"/>
            <w:vAlign w:val="center"/>
          </w:tcPr>
          <w:p w14:paraId="178D9099">
            <w:pPr>
              <w:adjustRightInd w:val="0"/>
              <w:spacing w:line="240" w:lineRule="auto"/>
              <w:jc w:val="center"/>
              <w:rPr>
                <w:rFonts w:ascii="仿宋_GB2312"/>
                <w:sz w:val="21"/>
                <w:szCs w:val="21"/>
              </w:rPr>
            </w:pPr>
          </w:p>
        </w:tc>
        <w:tc>
          <w:tcPr>
            <w:tcW w:w="291" w:type="pct"/>
            <w:shd w:val="clear" w:color="auto" w:fill="auto"/>
            <w:vAlign w:val="center"/>
          </w:tcPr>
          <w:p w14:paraId="5CA0197B">
            <w:pPr>
              <w:adjustRightInd w:val="0"/>
              <w:spacing w:line="240" w:lineRule="auto"/>
              <w:jc w:val="center"/>
              <w:rPr>
                <w:rFonts w:ascii="仿宋_GB2312"/>
                <w:sz w:val="21"/>
                <w:szCs w:val="21"/>
              </w:rPr>
            </w:pPr>
            <w:r>
              <w:rPr>
                <w:rFonts w:hint="eastAsia" w:ascii="仿宋_GB2312"/>
                <w:sz w:val="21"/>
                <w:szCs w:val="21"/>
              </w:rPr>
              <w:t>19</w:t>
            </w:r>
          </w:p>
        </w:tc>
        <w:tc>
          <w:tcPr>
            <w:tcW w:w="1440" w:type="pct"/>
            <w:shd w:val="clear" w:color="auto" w:fill="auto"/>
            <w:vAlign w:val="center"/>
          </w:tcPr>
          <w:p w14:paraId="4B236B62">
            <w:pPr>
              <w:adjustRightInd w:val="0"/>
              <w:spacing w:line="240" w:lineRule="auto"/>
              <w:rPr>
                <w:rFonts w:ascii="仿宋_GB2312"/>
                <w:sz w:val="21"/>
                <w:szCs w:val="21"/>
              </w:rPr>
            </w:pPr>
            <w:r>
              <w:rPr>
                <w:rFonts w:hint="eastAsia" w:ascii="仿宋_GB2312"/>
                <w:sz w:val="21"/>
                <w:szCs w:val="21"/>
              </w:rPr>
              <w:t>万元GDP用水量降低率</w:t>
            </w:r>
          </w:p>
        </w:tc>
        <w:tc>
          <w:tcPr>
            <w:tcW w:w="537" w:type="pct"/>
            <w:shd w:val="clear" w:color="auto" w:fill="auto"/>
            <w:vAlign w:val="center"/>
          </w:tcPr>
          <w:p w14:paraId="0F9FDD2F">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3C4AF730">
            <w:pPr>
              <w:adjustRightInd w:val="0"/>
              <w:spacing w:line="240" w:lineRule="auto"/>
              <w:jc w:val="center"/>
              <w:rPr>
                <w:rFonts w:ascii="仿宋_GB2312"/>
                <w:sz w:val="21"/>
                <w:szCs w:val="21"/>
              </w:rPr>
            </w:pPr>
            <w:r>
              <w:rPr>
                <w:rFonts w:hint="eastAsia" w:ascii="仿宋_GB2312"/>
                <w:sz w:val="21"/>
                <w:szCs w:val="21"/>
              </w:rPr>
              <w:t>-</w:t>
            </w:r>
          </w:p>
        </w:tc>
        <w:tc>
          <w:tcPr>
            <w:tcW w:w="1377" w:type="pct"/>
            <w:gridSpan w:val="2"/>
            <w:vMerge w:val="continue"/>
            <w:shd w:val="clear" w:color="auto" w:fill="auto"/>
            <w:vAlign w:val="center"/>
          </w:tcPr>
          <w:p w14:paraId="0A52FE34">
            <w:pPr>
              <w:adjustRightInd w:val="0"/>
              <w:spacing w:line="240" w:lineRule="auto"/>
              <w:jc w:val="center"/>
              <w:rPr>
                <w:rFonts w:ascii="仿宋_GB2312"/>
                <w:sz w:val="21"/>
                <w:szCs w:val="21"/>
              </w:rPr>
            </w:pPr>
          </w:p>
        </w:tc>
        <w:tc>
          <w:tcPr>
            <w:tcW w:w="475" w:type="pct"/>
            <w:shd w:val="clear" w:color="auto" w:fill="auto"/>
            <w:vAlign w:val="center"/>
          </w:tcPr>
          <w:p w14:paraId="25CD4A4A">
            <w:pPr>
              <w:adjustRightInd w:val="0"/>
              <w:spacing w:line="240" w:lineRule="auto"/>
              <w:jc w:val="center"/>
              <w:rPr>
                <w:rFonts w:ascii="仿宋_GB2312"/>
                <w:sz w:val="21"/>
                <w:szCs w:val="21"/>
              </w:rPr>
            </w:pPr>
            <w:r>
              <w:rPr>
                <w:rFonts w:hint="eastAsia" w:ascii="仿宋_GB2312"/>
                <w:sz w:val="21"/>
                <w:szCs w:val="21"/>
              </w:rPr>
              <w:t>约束性</w:t>
            </w:r>
          </w:p>
        </w:tc>
      </w:tr>
      <w:tr w14:paraId="0945475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55" w:type="pct"/>
            <w:vMerge w:val="restart"/>
            <w:shd w:val="clear" w:color="auto" w:fill="auto"/>
            <w:vAlign w:val="center"/>
          </w:tcPr>
          <w:p w14:paraId="1A623AA9">
            <w:pPr>
              <w:adjustRightInd w:val="0"/>
              <w:spacing w:line="240" w:lineRule="auto"/>
              <w:jc w:val="center"/>
              <w:rPr>
                <w:rFonts w:ascii="仿宋_GB2312"/>
                <w:sz w:val="21"/>
                <w:szCs w:val="21"/>
              </w:rPr>
            </w:pPr>
            <w:r>
              <w:rPr>
                <w:rFonts w:hint="eastAsia" w:ascii="仿宋_GB2312"/>
                <w:sz w:val="21"/>
                <w:szCs w:val="21"/>
              </w:rPr>
              <w:t>生态环境</w:t>
            </w:r>
          </w:p>
        </w:tc>
        <w:tc>
          <w:tcPr>
            <w:tcW w:w="291" w:type="pct"/>
            <w:shd w:val="clear" w:color="auto" w:fill="auto"/>
            <w:vAlign w:val="center"/>
          </w:tcPr>
          <w:p w14:paraId="455902CA">
            <w:pPr>
              <w:adjustRightInd w:val="0"/>
              <w:spacing w:line="240" w:lineRule="auto"/>
              <w:jc w:val="center"/>
              <w:rPr>
                <w:rFonts w:ascii="仿宋_GB2312"/>
                <w:sz w:val="21"/>
                <w:szCs w:val="21"/>
              </w:rPr>
            </w:pPr>
            <w:r>
              <w:rPr>
                <w:rFonts w:hint="eastAsia" w:ascii="仿宋_GB2312"/>
                <w:sz w:val="21"/>
                <w:szCs w:val="21"/>
              </w:rPr>
              <w:t>20</w:t>
            </w:r>
          </w:p>
        </w:tc>
        <w:tc>
          <w:tcPr>
            <w:tcW w:w="1440" w:type="pct"/>
            <w:shd w:val="clear" w:color="auto" w:fill="auto"/>
            <w:vAlign w:val="center"/>
          </w:tcPr>
          <w:p w14:paraId="150C7C22">
            <w:pPr>
              <w:adjustRightInd w:val="0"/>
              <w:spacing w:line="240" w:lineRule="auto"/>
              <w:rPr>
                <w:rFonts w:ascii="仿宋_GB2312"/>
                <w:sz w:val="21"/>
                <w:szCs w:val="21"/>
              </w:rPr>
            </w:pPr>
            <w:r>
              <w:rPr>
                <w:rFonts w:hint="eastAsia" w:ascii="仿宋_GB2312"/>
                <w:sz w:val="21"/>
                <w:szCs w:val="21"/>
              </w:rPr>
              <w:t>空气质量优良天数比率</w:t>
            </w:r>
          </w:p>
        </w:tc>
        <w:tc>
          <w:tcPr>
            <w:tcW w:w="537" w:type="pct"/>
            <w:shd w:val="clear" w:color="auto" w:fill="auto"/>
            <w:vAlign w:val="center"/>
          </w:tcPr>
          <w:p w14:paraId="3E96085F">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7F67EFF4">
            <w:pPr>
              <w:adjustRightInd w:val="0"/>
              <w:spacing w:line="240" w:lineRule="auto"/>
              <w:jc w:val="center"/>
              <w:rPr>
                <w:rFonts w:ascii="仿宋_GB2312"/>
                <w:sz w:val="21"/>
                <w:szCs w:val="21"/>
              </w:rPr>
            </w:pPr>
            <w:r>
              <w:rPr>
                <w:rFonts w:hint="eastAsia" w:ascii="仿宋_GB2312"/>
                <w:sz w:val="21"/>
                <w:szCs w:val="21"/>
              </w:rPr>
              <w:t>89.6</w:t>
            </w:r>
          </w:p>
        </w:tc>
        <w:tc>
          <w:tcPr>
            <w:tcW w:w="707" w:type="pct"/>
            <w:shd w:val="clear" w:color="auto" w:fill="auto"/>
            <w:vAlign w:val="center"/>
          </w:tcPr>
          <w:p w14:paraId="040B179B">
            <w:pPr>
              <w:adjustRightInd w:val="0"/>
              <w:spacing w:line="240" w:lineRule="auto"/>
              <w:jc w:val="center"/>
              <w:rPr>
                <w:rFonts w:ascii="仿宋_GB2312"/>
                <w:sz w:val="21"/>
                <w:szCs w:val="21"/>
              </w:rPr>
            </w:pPr>
            <w:r>
              <w:rPr>
                <w:rFonts w:hint="eastAsia" w:ascii="仿宋_GB2312"/>
                <w:sz w:val="21"/>
                <w:szCs w:val="21"/>
              </w:rPr>
              <w:t>＞90</w:t>
            </w:r>
          </w:p>
        </w:tc>
        <w:tc>
          <w:tcPr>
            <w:tcW w:w="670" w:type="pct"/>
            <w:vAlign w:val="center"/>
          </w:tcPr>
          <w:p w14:paraId="00A04E83">
            <w:pPr>
              <w:adjustRightInd w:val="0"/>
              <w:spacing w:line="240" w:lineRule="auto"/>
              <w:jc w:val="center"/>
              <w:rPr>
                <w:rFonts w:ascii="仿宋_GB2312"/>
                <w:sz w:val="21"/>
                <w:szCs w:val="21"/>
              </w:rPr>
            </w:pPr>
          </w:p>
        </w:tc>
        <w:tc>
          <w:tcPr>
            <w:tcW w:w="475" w:type="pct"/>
            <w:shd w:val="clear" w:color="auto" w:fill="auto"/>
            <w:vAlign w:val="center"/>
          </w:tcPr>
          <w:p w14:paraId="32D4934A">
            <w:pPr>
              <w:adjustRightInd w:val="0"/>
              <w:spacing w:line="240" w:lineRule="auto"/>
              <w:jc w:val="center"/>
              <w:rPr>
                <w:rFonts w:ascii="仿宋_GB2312"/>
                <w:sz w:val="21"/>
                <w:szCs w:val="21"/>
              </w:rPr>
            </w:pPr>
            <w:r>
              <w:rPr>
                <w:rFonts w:hint="eastAsia" w:ascii="仿宋_GB2312"/>
                <w:sz w:val="21"/>
                <w:szCs w:val="21"/>
              </w:rPr>
              <w:t>约束性</w:t>
            </w:r>
          </w:p>
        </w:tc>
      </w:tr>
      <w:tr w14:paraId="4CD3D4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0A6C48D4">
            <w:pPr>
              <w:adjustRightInd w:val="0"/>
              <w:spacing w:line="240" w:lineRule="auto"/>
              <w:jc w:val="center"/>
              <w:rPr>
                <w:rFonts w:ascii="仿宋_GB2312"/>
                <w:sz w:val="21"/>
                <w:szCs w:val="21"/>
              </w:rPr>
            </w:pPr>
          </w:p>
        </w:tc>
        <w:tc>
          <w:tcPr>
            <w:tcW w:w="291" w:type="pct"/>
            <w:shd w:val="clear" w:color="auto" w:fill="auto"/>
            <w:vAlign w:val="center"/>
          </w:tcPr>
          <w:p w14:paraId="010A32E3">
            <w:pPr>
              <w:adjustRightInd w:val="0"/>
              <w:spacing w:line="240" w:lineRule="auto"/>
              <w:jc w:val="center"/>
              <w:rPr>
                <w:rFonts w:ascii="仿宋_GB2312"/>
                <w:sz w:val="21"/>
                <w:szCs w:val="21"/>
              </w:rPr>
            </w:pPr>
            <w:r>
              <w:rPr>
                <w:rFonts w:hint="eastAsia" w:ascii="仿宋_GB2312"/>
                <w:sz w:val="21"/>
                <w:szCs w:val="21"/>
              </w:rPr>
              <w:t>21</w:t>
            </w:r>
          </w:p>
        </w:tc>
        <w:tc>
          <w:tcPr>
            <w:tcW w:w="1440" w:type="pct"/>
            <w:shd w:val="clear" w:color="auto" w:fill="auto"/>
            <w:vAlign w:val="center"/>
          </w:tcPr>
          <w:p w14:paraId="7D41B2E1">
            <w:pPr>
              <w:adjustRightInd w:val="0"/>
              <w:spacing w:line="240" w:lineRule="auto"/>
              <w:rPr>
                <w:rFonts w:ascii="仿宋_GB2312"/>
                <w:sz w:val="21"/>
                <w:szCs w:val="21"/>
              </w:rPr>
            </w:pPr>
            <w:r>
              <w:rPr>
                <w:rFonts w:hint="eastAsia" w:ascii="仿宋_GB2312"/>
                <w:sz w:val="21"/>
                <w:szCs w:val="21"/>
              </w:rPr>
              <w:t>细颗粒物（PM</w:t>
            </w:r>
            <w:r>
              <w:rPr>
                <w:rFonts w:hint="eastAsia" w:ascii="仿宋_GB2312"/>
                <w:sz w:val="21"/>
                <w:szCs w:val="21"/>
                <w:vertAlign w:val="subscript"/>
              </w:rPr>
              <w:t>2.5</w:t>
            </w:r>
            <w:r>
              <w:rPr>
                <w:rFonts w:hint="eastAsia" w:ascii="仿宋_GB2312"/>
                <w:sz w:val="21"/>
                <w:szCs w:val="21"/>
              </w:rPr>
              <w:t>）平均浓度</w:t>
            </w:r>
          </w:p>
        </w:tc>
        <w:tc>
          <w:tcPr>
            <w:tcW w:w="537" w:type="pct"/>
            <w:shd w:val="clear" w:color="auto" w:fill="auto"/>
            <w:vAlign w:val="center"/>
          </w:tcPr>
          <w:p w14:paraId="67DCBE2C">
            <w:pPr>
              <w:adjustRightInd w:val="0"/>
              <w:spacing w:line="240" w:lineRule="auto"/>
              <w:jc w:val="center"/>
              <w:rPr>
                <w:rFonts w:ascii="仿宋_GB2312"/>
                <w:sz w:val="21"/>
                <w:szCs w:val="21"/>
              </w:rPr>
            </w:pPr>
            <w:r>
              <w:rPr>
                <w:rFonts w:hint="eastAsia" w:ascii="仿宋_GB2312"/>
                <w:snapToGrid w:val="0"/>
                <w:spacing w:val="-5"/>
                <w:sz w:val="21"/>
                <w:szCs w:val="21"/>
              </w:rPr>
              <w:t>微克/立方米</w:t>
            </w:r>
          </w:p>
        </w:tc>
        <w:tc>
          <w:tcPr>
            <w:tcW w:w="424" w:type="pct"/>
            <w:shd w:val="clear" w:color="auto" w:fill="auto"/>
            <w:vAlign w:val="center"/>
          </w:tcPr>
          <w:p w14:paraId="2C859413">
            <w:pPr>
              <w:adjustRightInd w:val="0"/>
              <w:spacing w:line="240" w:lineRule="auto"/>
              <w:jc w:val="center"/>
              <w:rPr>
                <w:rFonts w:ascii="仿宋_GB2312"/>
                <w:sz w:val="21"/>
                <w:szCs w:val="21"/>
              </w:rPr>
            </w:pPr>
            <w:r>
              <w:rPr>
                <w:rFonts w:hint="eastAsia" w:ascii="仿宋_GB2312"/>
                <w:sz w:val="21"/>
                <w:szCs w:val="21"/>
              </w:rPr>
              <w:t>29</w:t>
            </w:r>
          </w:p>
        </w:tc>
        <w:tc>
          <w:tcPr>
            <w:tcW w:w="707" w:type="pct"/>
            <w:shd w:val="clear" w:color="auto" w:fill="auto"/>
            <w:vAlign w:val="center"/>
          </w:tcPr>
          <w:p w14:paraId="1454D17F">
            <w:pPr>
              <w:adjustRightInd w:val="0"/>
              <w:spacing w:line="240" w:lineRule="auto"/>
              <w:jc w:val="center"/>
              <w:rPr>
                <w:rFonts w:ascii="仿宋_GB2312"/>
                <w:sz w:val="21"/>
                <w:szCs w:val="21"/>
              </w:rPr>
            </w:pPr>
            <w:r>
              <w:rPr>
                <w:rFonts w:hint="eastAsia" w:ascii="仿宋_GB2312"/>
                <w:sz w:val="21"/>
                <w:szCs w:val="21"/>
              </w:rPr>
              <w:t>&lt;25</w:t>
            </w:r>
          </w:p>
        </w:tc>
        <w:tc>
          <w:tcPr>
            <w:tcW w:w="670" w:type="pct"/>
            <w:vAlign w:val="center"/>
          </w:tcPr>
          <w:p w14:paraId="7F9DB05E">
            <w:pPr>
              <w:adjustRightInd w:val="0"/>
              <w:spacing w:line="240" w:lineRule="auto"/>
              <w:jc w:val="center"/>
              <w:rPr>
                <w:rFonts w:ascii="仿宋_GB2312"/>
                <w:sz w:val="21"/>
                <w:szCs w:val="21"/>
              </w:rPr>
            </w:pPr>
          </w:p>
        </w:tc>
        <w:tc>
          <w:tcPr>
            <w:tcW w:w="475" w:type="pct"/>
            <w:shd w:val="clear" w:color="auto" w:fill="auto"/>
            <w:vAlign w:val="center"/>
          </w:tcPr>
          <w:p w14:paraId="4B58076F">
            <w:pPr>
              <w:adjustRightInd w:val="0"/>
              <w:spacing w:line="240" w:lineRule="auto"/>
              <w:jc w:val="center"/>
              <w:rPr>
                <w:rFonts w:ascii="仿宋_GB2312"/>
                <w:sz w:val="21"/>
                <w:szCs w:val="21"/>
              </w:rPr>
            </w:pPr>
            <w:r>
              <w:rPr>
                <w:rFonts w:hint="eastAsia" w:ascii="仿宋_GB2312"/>
                <w:sz w:val="21"/>
                <w:szCs w:val="21"/>
              </w:rPr>
              <w:t>约束性</w:t>
            </w:r>
          </w:p>
        </w:tc>
      </w:tr>
      <w:tr w14:paraId="24DE11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09C0FD50">
            <w:pPr>
              <w:adjustRightInd w:val="0"/>
              <w:spacing w:line="240" w:lineRule="auto"/>
              <w:jc w:val="center"/>
              <w:rPr>
                <w:rFonts w:ascii="仿宋_GB2312"/>
                <w:sz w:val="21"/>
                <w:szCs w:val="21"/>
              </w:rPr>
            </w:pPr>
          </w:p>
        </w:tc>
        <w:tc>
          <w:tcPr>
            <w:tcW w:w="291" w:type="pct"/>
            <w:shd w:val="clear" w:color="auto" w:fill="auto"/>
            <w:vAlign w:val="center"/>
          </w:tcPr>
          <w:p w14:paraId="7AD2F317">
            <w:pPr>
              <w:adjustRightInd w:val="0"/>
              <w:spacing w:line="240" w:lineRule="auto"/>
              <w:jc w:val="center"/>
              <w:rPr>
                <w:rFonts w:ascii="仿宋_GB2312"/>
                <w:sz w:val="21"/>
                <w:szCs w:val="21"/>
              </w:rPr>
            </w:pPr>
            <w:r>
              <w:rPr>
                <w:rFonts w:hint="eastAsia" w:ascii="仿宋_GB2312"/>
                <w:sz w:val="21"/>
                <w:szCs w:val="21"/>
              </w:rPr>
              <w:t>22</w:t>
            </w:r>
          </w:p>
        </w:tc>
        <w:tc>
          <w:tcPr>
            <w:tcW w:w="1440" w:type="pct"/>
            <w:shd w:val="clear" w:color="auto" w:fill="auto"/>
            <w:vAlign w:val="center"/>
          </w:tcPr>
          <w:p w14:paraId="49AE9EFD">
            <w:pPr>
              <w:adjustRightInd w:val="0"/>
              <w:spacing w:line="240" w:lineRule="auto"/>
              <w:rPr>
                <w:rFonts w:ascii="仿宋_GB2312"/>
                <w:sz w:val="21"/>
                <w:szCs w:val="21"/>
              </w:rPr>
            </w:pPr>
            <w:r>
              <w:rPr>
                <w:rFonts w:hint="eastAsia" w:ascii="仿宋_GB2312"/>
                <w:sz w:val="21"/>
                <w:szCs w:val="21"/>
              </w:rPr>
              <w:t>达到或好于Ⅲ类水体占地表水比例</w:t>
            </w:r>
          </w:p>
        </w:tc>
        <w:tc>
          <w:tcPr>
            <w:tcW w:w="537" w:type="pct"/>
            <w:shd w:val="clear" w:color="auto" w:fill="auto"/>
            <w:vAlign w:val="center"/>
          </w:tcPr>
          <w:p w14:paraId="0CD3A5F5">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3A27843A">
            <w:pPr>
              <w:adjustRightInd w:val="0"/>
              <w:spacing w:line="240" w:lineRule="auto"/>
              <w:jc w:val="center"/>
              <w:rPr>
                <w:rFonts w:ascii="仿宋_GB2312"/>
                <w:sz w:val="21"/>
                <w:szCs w:val="21"/>
              </w:rPr>
            </w:pPr>
            <w:r>
              <w:rPr>
                <w:rFonts w:hint="eastAsia" w:ascii="仿宋_GB2312"/>
                <w:sz w:val="21"/>
                <w:szCs w:val="21"/>
              </w:rPr>
              <w:t>100</w:t>
            </w:r>
          </w:p>
        </w:tc>
        <w:tc>
          <w:tcPr>
            <w:tcW w:w="707" w:type="pct"/>
            <w:shd w:val="clear" w:color="auto" w:fill="auto"/>
            <w:vAlign w:val="center"/>
          </w:tcPr>
          <w:p w14:paraId="5D55AA92">
            <w:pPr>
              <w:adjustRightInd w:val="0"/>
              <w:spacing w:line="240" w:lineRule="auto"/>
              <w:jc w:val="center"/>
              <w:rPr>
                <w:rFonts w:ascii="仿宋_GB2312"/>
                <w:sz w:val="21"/>
                <w:szCs w:val="21"/>
              </w:rPr>
            </w:pPr>
            <w:r>
              <w:rPr>
                <w:rFonts w:hint="eastAsia" w:ascii="仿宋_GB2312"/>
                <w:sz w:val="21"/>
                <w:szCs w:val="21"/>
              </w:rPr>
              <w:t>100</w:t>
            </w:r>
          </w:p>
        </w:tc>
        <w:tc>
          <w:tcPr>
            <w:tcW w:w="670" w:type="pct"/>
            <w:vAlign w:val="center"/>
          </w:tcPr>
          <w:p w14:paraId="25D015C4">
            <w:pPr>
              <w:adjustRightInd w:val="0"/>
              <w:spacing w:line="240" w:lineRule="auto"/>
              <w:jc w:val="center"/>
              <w:rPr>
                <w:rFonts w:ascii="仿宋_GB2312"/>
                <w:sz w:val="21"/>
                <w:szCs w:val="21"/>
              </w:rPr>
            </w:pPr>
          </w:p>
        </w:tc>
        <w:tc>
          <w:tcPr>
            <w:tcW w:w="475" w:type="pct"/>
            <w:shd w:val="clear" w:color="auto" w:fill="auto"/>
            <w:vAlign w:val="center"/>
          </w:tcPr>
          <w:p w14:paraId="4C1BCD42">
            <w:pPr>
              <w:adjustRightInd w:val="0"/>
              <w:spacing w:line="240" w:lineRule="auto"/>
              <w:jc w:val="center"/>
              <w:rPr>
                <w:rFonts w:ascii="仿宋_GB2312"/>
                <w:sz w:val="21"/>
                <w:szCs w:val="21"/>
              </w:rPr>
            </w:pPr>
            <w:r>
              <w:rPr>
                <w:rFonts w:hint="eastAsia" w:ascii="仿宋_GB2312"/>
                <w:sz w:val="21"/>
                <w:szCs w:val="21"/>
              </w:rPr>
              <w:t>约束性</w:t>
            </w:r>
          </w:p>
        </w:tc>
      </w:tr>
      <w:tr w14:paraId="09ABAF5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37A7B332">
            <w:pPr>
              <w:adjustRightInd w:val="0"/>
              <w:spacing w:line="240" w:lineRule="auto"/>
              <w:jc w:val="center"/>
              <w:rPr>
                <w:rFonts w:ascii="仿宋_GB2312"/>
                <w:sz w:val="21"/>
                <w:szCs w:val="21"/>
              </w:rPr>
            </w:pPr>
          </w:p>
        </w:tc>
        <w:tc>
          <w:tcPr>
            <w:tcW w:w="291" w:type="pct"/>
            <w:shd w:val="clear" w:color="auto" w:fill="auto"/>
            <w:vAlign w:val="center"/>
          </w:tcPr>
          <w:p w14:paraId="5CAAA0D6">
            <w:pPr>
              <w:adjustRightInd w:val="0"/>
              <w:spacing w:line="240" w:lineRule="auto"/>
              <w:jc w:val="center"/>
              <w:rPr>
                <w:rFonts w:ascii="仿宋_GB2312"/>
                <w:sz w:val="21"/>
                <w:szCs w:val="21"/>
              </w:rPr>
            </w:pPr>
            <w:r>
              <w:rPr>
                <w:rFonts w:hint="eastAsia" w:ascii="仿宋_GB2312"/>
                <w:sz w:val="21"/>
                <w:szCs w:val="21"/>
              </w:rPr>
              <w:t>23</w:t>
            </w:r>
          </w:p>
        </w:tc>
        <w:tc>
          <w:tcPr>
            <w:tcW w:w="1440" w:type="pct"/>
            <w:shd w:val="clear" w:color="auto" w:fill="auto"/>
            <w:vAlign w:val="center"/>
          </w:tcPr>
          <w:p w14:paraId="19B83817">
            <w:pPr>
              <w:adjustRightInd w:val="0"/>
              <w:spacing w:line="240" w:lineRule="auto"/>
              <w:rPr>
                <w:rFonts w:ascii="仿宋_GB2312"/>
                <w:sz w:val="21"/>
                <w:szCs w:val="21"/>
              </w:rPr>
            </w:pPr>
            <w:r>
              <w:rPr>
                <w:rFonts w:hint="eastAsia" w:ascii="仿宋_GB2312"/>
                <w:sz w:val="21"/>
                <w:szCs w:val="21"/>
              </w:rPr>
              <w:t>森林覆盖率</w:t>
            </w:r>
          </w:p>
        </w:tc>
        <w:tc>
          <w:tcPr>
            <w:tcW w:w="537" w:type="pct"/>
            <w:shd w:val="clear" w:color="auto" w:fill="auto"/>
            <w:vAlign w:val="center"/>
          </w:tcPr>
          <w:p w14:paraId="03555836">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2740DE70">
            <w:pPr>
              <w:adjustRightInd w:val="0"/>
              <w:spacing w:line="240" w:lineRule="auto"/>
              <w:jc w:val="center"/>
              <w:rPr>
                <w:rFonts w:ascii="仿宋_GB2312"/>
                <w:sz w:val="21"/>
                <w:szCs w:val="21"/>
              </w:rPr>
            </w:pPr>
            <w:r>
              <w:rPr>
                <w:rFonts w:hint="eastAsia" w:ascii="仿宋_GB2312"/>
                <w:sz w:val="21"/>
                <w:szCs w:val="21"/>
              </w:rPr>
              <w:t>47.42</w:t>
            </w:r>
          </w:p>
        </w:tc>
        <w:tc>
          <w:tcPr>
            <w:tcW w:w="707" w:type="pct"/>
            <w:shd w:val="clear" w:color="auto" w:fill="auto"/>
            <w:vAlign w:val="center"/>
          </w:tcPr>
          <w:p w14:paraId="21CFF3CE">
            <w:pPr>
              <w:adjustRightInd w:val="0"/>
              <w:spacing w:line="240" w:lineRule="auto"/>
              <w:jc w:val="center"/>
              <w:rPr>
                <w:rFonts w:ascii="仿宋_GB2312"/>
                <w:sz w:val="21"/>
                <w:szCs w:val="21"/>
              </w:rPr>
            </w:pPr>
            <w:r>
              <w:rPr>
                <w:rFonts w:hint="eastAsia" w:ascii="仿宋_GB2312"/>
                <w:sz w:val="21"/>
                <w:szCs w:val="21"/>
              </w:rPr>
              <w:t>≥47.42</w:t>
            </w:r>
          </w:p>
        </w:tc>
        <w:tc>
          <w:tcPr>
            <w:tcW w:w="670" w:type="pct"/>
            <w:vAlign w:val="center"/>
          </w:tcPr>
          <w:p w14:paraId="00AFA3A4">
            <w:pPr>
              <w:adjustRightInd w:val="0"/>
              <w:spacing w:line="240" w:lineRule="auto"/>
              <w:jc w:val="center"/>
              <w:rPr>
                <w:rFonts w:ascii="仿宋_GB2312"/>
                <w:sz w:val="21"/>
                <w:szCs w:val="21"/>
              </w:rPr>
            </w:pPr>
          </w:p>
        </w:tc>
        <w:tc>
          <w:tcPr>
            <w:tcW w:w="475" w:type="pct"/>
            <w:shd w:val="clear" w:color="auto" w:fill="auto"/>
            <w:vAlign w:val="center"/>
          </w:tcPr>
          <w:p w14:paraId="0AC742E3">
            <w:pPr>
              <w:adjustRightInd w:val="0"/>
              <w:spacing w:line="240" w:lineRule="auto"/>
              <w:jc w:val="center"/>
              <w:rPr>
                <w:rFonts w:ascii="仿宋_GB2312"/>
                <w:sz w:val="21"/>
                <w:szCs w:val="21"/>
              </w:rPr>
            </w:pPr>
            <w:r>
              <w:rPr>
                <w:rFonts w:hint="eastAsia" w:ascii="仿宋_GB2312"/>
                <w:sz w:val="21"/>
                <w:szCs w:val="21"/>
              </w:rPr>
              <w:t>预期性</w:t>
            </w:r>
          </w:p>
        </w:tc>
      </w:tr>
      <w:tr w14:paraId="3B3A804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restart"/>
            <w:shd w:val="clear" w:color="auto" w:fill="auto"/>
            <w:vAlign w:val="center"/>
          </w:tcPr>
          <w:p w14:paraId="0FF80707">
            <w:pPr>
              <w:adjustRightInd w:val="0"/>
              <w:spacing w:line="240" w:lineRule="auto"/>
              <w:jc w:val="center"/>
              <w:rPr>
                <w:rFonts w:ascii="仿宋_GB2312"/>
                <w:sz w:val="21"/>
                <w:szCs w:val="21"/>
              </w:rPr>
            </w:pPr>
            <w:r>
              <w:rPr>
                <w:rFonts w:hint="eastAsia" w:ascii="仿宋_GB2312"/>
                <w:sz w:val="21"/>
                <w:szCs w:val="21"/>
              </w:rPr>
              <w:t>县域治理</w:t>
            </w:r>
          </w:p>
        </w:tc>
        <w:tc>
          <w:tcPr>
            <w:tcW w:w="291" w:type="pct"/>
            <w:shd w:val="clear" w:color="auto" w:fill="auto"/>
            <w:vAlign w:val="center"/>
          </w:tcPr>
          <w:p w14:paraId="2F96ECBA">
            <w:pPr>
              <w:adjustRightInd w:val="0"/>
              <w:spacing w:line="240" w:lineRule="auto"/>
              <w:jc w:val="center"/>
              <w:rPr>
                <w:rFonts w:ascii="仿宋_GB2312"/>
                <w:sz w:val="21"/>
                <w:szCs w:val="21"/>
              </w:rPr>
            </w:pPr>
            <w:r>
              <w:rPr>
                <w:rFonts w:hint="eastAsia" w:ascii="仿宋_GB2312"/>
                <w:sz w:val="21"/>
                <w:szCs w:val="21"/>
              </w:rPr>
              <w:t>24</w:t>
            </w:r>
          </w:p>
        </w:tc>
        <w:tc>
          <w:tcPr>
            <w:tcW w:w="1440" w:type="pct"/>
            <w:shd w:val="clear" w:color="auto" w:fill="auto"/>
            <w:vAlign w:val="center"/>
          </w:tcPr>
          <w:p w14:paraId="295B39ED">
            <w:pPr>
              <w:adjustRightInd w:val="0"/>
              <w:spacing w:line="240" w:lineRule="auto"/>
              <w:rPr>
                <w:rFonts w:ascii="仿宋_GB2312"/>
                <w:sz w:val="21"/>
                <w:szCs w:val="21"/>
              </w:rPr>
            </w:pPr>
            <w:r>
              <w:rPr>
                <w:rFonts w:hint="eastAsia" w:ascii="仿宋_GB2312"/>
                <w:snapToGrid w:val="0"/>
                <w:spacing w:val="-5"/>
                <w:sz w:val="21"/>
                <w:szCs w:val="21"/>
              </w:rPr>
              <w:t>依申请政务服务办件“一网通办”率</w:t>
            </w:r>
          </w:p>
        </w:tc>
        <w:tc>
          <w:tcPr>
            <w:tcW w:w="537" w:type="pct"/>
            <w:shd w:val="clear" w:color="auto" w:fill="auto"/>
            <w:vAlign w:val="center"/>
          </w:tcPr>
          <w:p w14:paraId="3EB7E245">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1507CA04">
            <w:pPr>
              <w:adjustRightInd w:val="0"/>
              <w:spacing w:line="240" w:lineRule="auto"/>
              <w:jc w:val="center"/>
              <w:rPr>
                <w:rFonts w:ascii="仿宋_GB2312"/>
                <w:sz w:val="21"/>
                <w:szCs w:val="21"/>
              </w:rPr>
            </w:pPr>
            <w:r>
              <w:rPr>
                <w:rFonts w:hint="eastAsia" w:ascii="仿宋_GB2312"/>
                <w:sz w:val="21"/>
                <w:szCs w:val="21"/>
              </w:rPr>
              <w:t>85</w:t>
            </w:r>
          </w:p>
        </w:tc>
        <w:tc>
          <w:tcPr>
            <w:tcW w:w="707" w:type="pct"/>
            <w:shd w:val="clear" w:color="auto" w:fill="auto"/>
            <w:vAlign w:val="center"/>
          </w:tcPr>
          <w:p w14:paraId="522F2158">
            <w:pPr>
              <w:adjustRightInd w:val="0"/>
              <w:spacing w:line="240" w:lineRule="auto"/>
              <w:jc w:val="center"/>
              <w:rPr>
                <w:rFonts w:ascii="仿宋_GB2312"/>
                <w:sz w:val="21"/>
                <w:szCs w:val="21"/>
              </w:rPr>
            </w:pPr>
            <w:r>
              <w:rPr>
                <w:rFonts w:hint="eastAsia" w:ascii="仿宋_GB2312"/>
                <w:sz w:val="21"/>
                <w:szCs w:val="21"/>
              </w:rPr>
              <w:t>90</w:t>
            </w:r>
          </w:p>
        </w:tc>
        <w:tc>
          <w:tcPr>
            <w:tcW w:w="670" w:type="pct"/>
            <w:vAlign w:val="center"/>
          </w:tcPr>
          <w:p w14:paraId="7139C9F3">
            <w:pPr>
              <w:adjustRightInd w:val="0"/>
              <w:spacing w:line="240" w:lineRule="auto"/>
              <w:jc w:val="center"/>
              <w:rPr>
                <w:rFonts w:ascii="仿宋_GB2312"/>
                <w:sz w:val="21"/>
                <w:szCs w:val="21"/>
              </w:rPr>
            </w:pPr>
          </w:p>
        </w:tc>
        <w:tc>
          <w:tcPr>
            <w:tcW w:w="475" w:type="pct"/>
            <w:shd w:val="clear" w:color="auto" w:fill="auto"/>
            <w:vAlign w:val="center"/>
          </w:tcPr>
          <w:p w14:paraId="3ED3B342">
            <w:pPr>
              <w:adjustRightInd w:val="0"/>
              <w:spacing w:line="240" w:lineRule="auto"/>
              <w:jc w:val="center"/>
              <w:rPr>
                <w:rFonts w:ascii="仿宋_GB2312"/>
                <w:sz w:val="21"/>
                <w:szCs w:val="21"/>
              </w:rPr>
            </w:pPr>
            <w:r>
              <w:rPr>
                <w:rFonts w:hint="eastAsia" w:ascii="仿宋_GB2312"/>
                <w:sz w:val="21"/>
                <w:szCs w:val="21"/>
              </w:rPr>
              <w:t>约束性</w:t>
            </w:r>
          </w:p>
        </w:tc>
      </w:tr>
      <w:tr w14:paraId="041C150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3CE045AE">
            <w:pPr>
              <w:adjustRightInd w:val="0"/>
              <w:spacing w:line="240" w:lineRule="auto"/>
              <w:jc w:val="center"/>
              <w:rPr>
                <w:rFonts w:ascii="仿宋_GB2312"/>
                <w:sz w:val="21"/>
                <w:szCs w:val="21"/>
              </w:rPr>
            </w:pPr>
          </w:p>
        </w:tc>
        <w:tc>
          <w:tcPr>
            <w:tcW w:w="291" w:type="pct"/>
            <w:shd w:val="clear" w:color="auto" w:fill="auto"/>
            <w:vAlign w:val="center"/>
          </w:tcPr>
          <w:p w14:paraId="6574DF5B">
            <w:pPr>
              <w:adjustRightInd w:val="0"/>
              <w:spacing w:line="240" w:lineRule="auto"/>
              <w:jc w:val="center"/>
              <w:rPr>
                <w:rFonts w:ascii="仿宋_GB2312"/>
                <w:sz w:val="21"/>
                <w:szCs w:val="21"/>
              </w:rPr>
            </w:pPr>
            <w:r>
              <w:rPr>
                <w:rFonts w:hint="eastAsia" w:ascii="仿宋_GB2312"/>
                <w:sz w:val="21"/>
                <w:szCs w:val="21"/>
              </w:rPr>
              <w:t>25</w:t>
            </w:r>
          </w:p>
        </w:tc>
        <w:tc>
          <w:tcPr>
            <w:tcW w:w="1440" w:type="pct"/>
            <w:shd w:val="clear" w:color="auto" w:fill="auto"/>
            <w:vAlign w:val="center"/>
          </w:tcPr>
          <w:p w14:paraId="4B2057F6">
            <w:pPr>
              <w:adjustRightInd w:val="0"/>
              <w:spacing w:line="240" w:lineRule="auto"/>
              <w:rPr>
                <w:rFonts w:ascii="仿宋_GB2312"/>
                <w:sz w:val="21"/>
                <w:szCs w:val="21"/>
              </w:rPr>
            </w:pPr>
            <w:r>
              <w:rPr>
                <w:rFonts w:hint="eastAsia" w:ascii="仿宋_GB2312"/>
                <w:sz w:val="21"/>
                <w:szCs w:val="21"/>
              </w:rPr>
              <w:t>综合行政执法事项占比</w:t>
            </w:r>
          </w:p>
        </w:tc>
        <w:tc>
          <w:tcPr>
            <w:tcW w:w="537" w:type="pct"/>
            <w:shd w:val="clear" w:color="auto" w:fill="auto"/>
            <w:vAlign w:val="center"/>
          </w:tcPr>
          <w:p w14:paraId="62E3DBF2">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601F4B94">
            <w:pPr>
              <w:adjustRightInd w:val="0"/>
              <w:spacing w:line="240" w:lineRule="auto"/>
              <w:jc w:val="center"/>
              <w:rPr>
                <w:rFonts w:ascii="仿宋_GB2312"/>
                <w:sz w:val="21"/>
                <w:szCs w:val="21"/>
              </w:rPr>
            </w:pPr>
            <w:r>
              <w:rPr>
                <w:rFonts w:hint="eastAsia" w:ascii="仿宋_GB2312"/>
                <w:sz w:val="21"/>
                <w:szCs w:val="21"/>
              </w:rPr>
              <w:t>7</w:t>
            </w:r>
          </w:p>
        </w:tc>
        <w:tc>
          <w:tcPr>
            <w:tcW w:w="707" w:type="pct"/>
            <w:shd w:val="clear" w:color="auto" w:fill="auto"/>
            <w:vAlign w:val="center"/>
          </w:tcPr>
          <w:p w14:paraId="60A33E2D">
            <w:pPr>
              <w:adjustRightInd w:val="0"/>
              <w:spacing w:line="240" w:lineRule="auto"/>
              <w:jc w:val="center"/>
              <w:rPr>
                <w:rFonts w:ascii="仿宋_GB2312"/>
                <w:sz w:val="21"/>
                <w:szCs w:val="21"/>
              </w:rPr>
            </w:pPr>
            <w:r>
              <w:rPr>
                <w:rFonts w:hint="eastAsia" w:ascii="仿宋_GB2312"/>
                <w:sz w:val="21"/>
                <w:szCs w:val="21"/>
              </w:rPr>
              <w:t>＞20</w:t>
            </w:r>
          </w:p>
        </w:tc>
        <w:tc>
          <w:tcPr>
            <w:tcW w:w="670" w:type="pct"/>
            <w:vAlign w:val="center"/>
          </w:tcPr>
          <w:p w14:paraId="7AC1A1A4">
            <w:pPr>
              <w:adjustRightInd w:val="0"/>
              <w:spacing w:line="240" w:lineRule="auto"/>
              <w:jc w:val="center"/>
              <w:rPr>
                <w:rFonts w:ascii="仿宋_GB2312"/>
                <w:sz w:val="21"/>
                <w:szCs w:val="21"/>
              </w:rPr>
            </w:pPr>
          </w:p>
        </w:tc>
        <w:tc>
          <w:tcPr>
            <w:tcW w:w="475" w:type="pct"/>
            <w:shd w:val="clear" w:color="auto" w:fill="auto"/>
            <w:vAlign w:val="center"/>
          </w:tcPr>
          <w:p w14:paraId="06F4A62B">
            <w:pPr>
              <w:adjustRightInd w:val="0"/>
              <w:spacing w:line="240" w:lineRule="auto"/>
              <w:jc w:val="center"/>
              <w:rPr>
                <w:rFonts w:ascii="仿宋_GB2312"/>
                <w:sz w:val="21"/>
                <w:szCs w:val="21"/>
              </w:rPr>
            </w:pPr>
            <w:r>
              <w:rPr>
                <w:rFonts w:hint="eastAsia" w:ascii="仿宋_GB2312"/>
                <w:sz w:val="21"/>
                <w:szCs w:val="21"/>
              </w:rPr>
              <w:t>预期性</w:t>
            </w:r>
          </w:p>
        </w:tc>
      </w:tr>
      <w:tr w14:paraId="7CDFB62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restart"/>
            <w:shd w:val="clear" w:color="auto" w:fill="auto"/>
            <w:vAlign w:val="center"/>
          </w:tcPr>
          <w:p w14:paraId="7D58727C">
            <w:pPr>
              <w:adjustRightInd w:val="0"/>
              <w:spacing w:line="240" w:lineRule="auto"/>
              <w:jc w:val="center"/>
              <w:rPr>
                <w:rFonts w:ascii="仿宋_GB2312"/>
                <w:sz w:val="21"/>
                <w:szCs w:val="21"/>
              </w:rPr>
            </w:pPr>
            <w:r>
              <w:rPr>
                <w:rFonts w:hint="eastAsia" w:ascii="仿宋_GB2312"/>
                <w:sz w:val="21"/>
                <w:szCs w:val="21"/>
              </w:rPr>
              <w:t>社会民生</w:t>
            </w:r>
          </w:p>
        </w:tc>
        <w:tc>
          <w:tcPr>
            <w:tcW w:w="291" w:type="pct"/>
            <w:shd w:val="clear" w:color="auto" w:fill="auto"/>
            <w:vAlign w:val="center"/>
          </w:tcPr>
          <w:p w14:paraId="27791C4B">
            <w:pPr>
              <w:adjustRightInd w:val="0"/>
              <w:spacing w:line="240" w:lineRule="auto"/>
              <w:jc w:val="center"/>
              <w:rPr>
                <w:rFonts w:ascii="仿宋_GB2312"/>
                <w:sz w:val="21"/>
                <w:szCs w:val="21"/>
              </w:rPr>
            </w:pPr>
            <w:r>
              <w:rPr>
                <w:rFonts w:hint="eastAsia" w:ascii="仿宋_GB2312"/>
                <w:sz w:val="21"/>
                <w:szCs w:val="21"/>
              </w:rPr>
              <w:t>26</w:t>
            </w:r>
          </w:p>
        </w:tc>
        <w:tc>
          <w:tcPr>
            <w:tcW w:w="1440" w:type="pct"/>
            <w:shd w:val="clear" w:color="auto" w:fill="auto"/>
            <w:vAlign w:val="center"/>
          </w:tcPr>
          <w:p w14:paraId="5A2C511F">
            <w:pPr>
              <w:adjustRightInd w:val="0"/>
              <w:spacing w:line="240" w:lineRule="auto"/>
              <w:rPr>
                <w:rFonts w:ascii="仿宋_GB2312"/>
                <w:sz w:val="21"/>
                <w:szCs w:val="21"/>
              </w:rPr>
            </w:pPr>
            <w:r>
              <w:rPr>
                <w:rFonts w:hint="eastAsia" w:ascii="仿宋_GB2312"/>
                <w:sz w:val="21"/>
                <w:szCs w:val="21"/>
              </w:rPr>
              <w:t>每千人拥有3岁以下婴幼儿托位数</w:t>
            </w:r>
          </w:p>
        </w:tc>
        <w:tc>
          <w:tcPr>
            <w:tcW w:w="537" w:type="pct"/>
            <w:shd w:val="clear" w:color="auto" w:fill="auto"/>
            <w:vAlign w:val="center"/>
          </w:tcPr>
          <w:p w14:paraId="215F0254">
            <w:pPr>
              <w:adjustRightInd w:val="0"/>
              <w:spacing w:line="240" w:lineRule="auto"/>
              <w:jc w:val="center"/>
              <w:rPr>
                <w:rFonts w:ascii="仿宋_GB2312"/>
                <w:sz w:val="21"/>
                <w:szCs w:val="21"/>
              </w:rPr>
            </w:pPr>
            <w:r>
              <w:rPr>
                <w:rFonts w:hint="eastAsia" w:ascii="仿宋_GB2312"/>
                <w:sz w:val="21"/>
                <w:szCs w:val="21"/>
              </w:rPr>
              <w:t>个</w:t>
            </w:r>
          </w:p>
        </w:tc>
        <w:tc>
          <w:tcPr>
            <w:tcW w:w="424" w:type="pct"/>
            <w:shd w:val="clear" w:color="auto" w:fill="auto"/>
            <w:vAlign w:val="center"/>
          </w:tcPr>
          <w:p w14:paraId="4A3DD941">
            <w:pPr>
              <w:adjustRightInd w:val="0"/>
              <w:spacing w:line="240" w:lineRule="auto"/>
              <w:jc w:val="center"/>
              <w:rPr>
                <w:rFonts w:ascii="仿宋_GB2312"/>
                <w:sz w:val="21"/>
                <w:szCs w:val="21"/>
              </w:rPr>
            </w:pPr>
            <w:r>
              <w:rPr>
                <w:rFonts w:hint="eastAsia" w:ascii="仿宋_GB2312"/>
                <w:sz w:val="21"/>
                <w:szCs w:val="21"/>
              </w:rPr>
              <w:t>1.7</w:t>
            </w:r>
          </w:p>
        </w:tc>
        <w:tc>
          <w:tcPr>
            <w:tcW w:w="707" w:type="pct"/>
            <w:shd w:val="clear" w:color="auto" w:fill="auto"/>
            <w:vAlign w:val="center"/>
          </w:tcPr>
          <w:p w14:paraId="07306D8C">
            <w:pPr>
              <w:adjustRightInd w:val="0"/>
              <w:spacing w:line="240" w:lineRule="auto"/>
              <w:jc w:val="center"/>
              <w:rPr>
                <w:rFonts w:ascii="仿宋_GB2312"/>
                <w:sz w:val="21"/>
                <w:szCs w:val="21"/>
              </w:rPr>
            </w:pPr>
            <w:r>
              <w:rPr>
                <w:rFonts w:hint="eastAsia" w:ascii="仿宋_GB2312"/>
                <w:sz w:val="21"/>
                <w:szCs w:val="21"/>
              </w:rPr>
              <w:t>4.6</w:t>
            </w:r>
          </w:p>
        </w:tc>
        <w:tc>
          <w:tcPr>
            <w:tcW w:w="670" w:type="pct"/>
            <w:vAlign w:val="center"/>
          </w:tcPr>
          <w:p w14:paraId="4FBEE489">
            <w:pPr>
              <w:adjustRightInd w:val="0"/>
              <w:spacing w:line="240" w:lineRule="auto"/>
              <w:jc w:val="center"/>
              <w:rPr>
                <w:rFonts w:ascii="仿宋_GB2312"/>
                <w:sz w:val="21"/>
                <w:szCs w:val="21"/>
              </w:rPr>
            </w:pPr>
          </w:p>
        </w:tc>
        <w:tc>
          <w:tcPr>
            <w:tcW w:w="475" w:type="pct"/>
            <w:shd w:val="clear" w:color="auto" w:fill="auto"/>
            <w:vAlign w:val="center"/>
          </w:tcPr>
          <w:p w14:paraId="61DCEEFA">
            <w:pPr>
              <w:adjustRightInd w:val="0"/>
              <w:spacing w:line="240" w:lineRule="auto"/>
              <w:jc w:val="center"/>
              <w:rPr>
                <w:rFonts w:ascii="仿宋_GB2312"/>
                <w:sz w:val="21"/>
                <w:szCs w:val="21"/>
              </w:rPr>
            </w:pPr>
            <w:r>
              <w:rPr>
                <w:rFonts w:hint="eastAsia" w:ascii="仿宋_GB2312"/>
                <w:sz w:val="21"/>
                <w:szCs w:val="21"/>
              </w:rPr>
              <w:t>预期性</w:t>
            </w:r>
          </w:p>
        </w:tc>
      </w:tr>
      <w:tr w14:paraId="137A10B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226A377F">
            <w:pPr>
              <w:adjustRightInd w:val="0"/>
              <w:spacing w:line="240" w:lineRule="auto"/>
              <w:jc w:val="center"/>
              <w:rPr>
                <w:rFonts w:ascii="仿宋_GB2312"/>
                <w:sz w:val="21"/>
                <w:szCs w:val="21"/>
              </w:rPr>
            </w:pPr>
          </w:p>
        </w:tc>
        <w:tc>
          <w:tcPr>
            <w:tcW w:w="291" w:type="pct"/>
            <w:shd w:val="clear" w:color="auto" w:fill="auto"/>
            <w:vAlign w:val="center"/>
          </w:tcPr>
          <w:p w14:paraId="1AC633E7">
            <w:pPr>
              <w:adjustRightInd w:val="0"/>
              <w:spacing w:line="240" w:lineRule="auto"/>
              <w:jc w:val="center"/>
              <w:rPr>
                <w:rFonts w:ascii="仿宋_GB2312"/>
                <w:sz w:val="21"/>
                <w:szCs w:val="21"/>
              </w:rPr>
            </w:pPr>
            <w:r>
              <w:rPr>
                <w:rFonts w:hint="eastAsia" w:ascii="仿宋_GB2312"/>
                <w:sz w:val="21"/>
                <w:szCs w:val="21"/>
              </w:rPr>
              <w:t>27</w:t>
            </w:r>
          </w:p>
        </w:tc>
        <w:tc>
          <w:tcPr>
            <w:tcW w:w="1440" w:type="pct"/>
            <w:shd w:val="clear" w:color="auto" w:fill="auto"/>
            <w:vAlign w:val="center"/>
          </w:tcPr>
          <w:p w14:paraId="685F6BA7">
            <w:pPr>
              <w:adjustRightInd w:val="0"/>
              <w:spacing w:line="240" w:lineRule="auto"/>
              <w:rPr>
                <w:rFonts w:ascii="仿宋_GB2312"/>
                <w:sz w:val="21"/>
                <w:szCs w:val="21"/>
              </w:rPr>
            </w:pPr>
            <w:r>
              <w:rPr>
                <w:rFonts w:hint="eastAsia" w:ascii="仿宋_GB2312"/>
                <w:sz w:val="21"/>
                <w:szCs w:val="21"/>
              </w:rPr>
              <w:t>劳动年龄人口平均受教育年限</w:t>
            </w:r>
          </w:p>
        </w:tc>
        <w:tc>
          <w:tcPr>
            <w:tcW w:w="537" w:type="pct"/>
            <w:shd w:val="clear" w:color="auto" w:fill="auto"/>
            <w:vAlign w:val="center"/>
          </w:tcPr>
          <w:p w14:paraId="002E24DD">
            <w:pPr>
              <w:adjustRightInd w:val="0"/>
              <w:spacing w:line="240" w:lineRule="auto"/>
              <w:jc w:val="center"/>
              <w:rPr>
                <w:rFonts w:ascii="仿宋_GB2312"/>
                <w:sz w:val="21"/>
                <w:szCs w:val="21"/>
              </w:rPr>
            </w:pPr>
            <w:r>
              <w:rPr>
                <w:rFonts w:hint="eastAsia" w:ascii="仿宋_GB2312"/>
                <w:sz w:val="21"/>
                <w:szCs w:val="21"/>
              </w:rPr>
              <w:t>年</w:t>
            </w:r>
          </w:p>
        </w:tc>
        <w:tc>
          <w:tcPr>
            <w:tcW w:w="424" w:type="pct"/>
            <w:shd w:val="clear" w:color="auto" w:fill="auto"/>
            <w:vAlign w:val="center"/>
          </w:tcPr>
          <w:p w14:paraId="48047662">
            <w:pPr>
              <w:adjustRightInd w:val="0"/>
              <w:spacing w:line="240" w:lineRule="auto"/>
              <w:jc w:val="center"/>
              <w:rPr>
                <w:rFonts w:ascii="仿宋_GB2312"/>
                <w:sz w:val="21"/>
                <w:szCs w:val="21"/>
              </w:rPr>
            </w:pPr>
            <w:r>
              <w:rPr>
                <w:rFonts w:hint="eastAsia" w:ascii="仿宋_GB2312"/>
                <w:sz w:val="21"/>
                <w:szCs w:val="21"/>
              </w:rPr>
              <w:t>10.6</w:t>
            </w:r>
          </w:p>
        </w:tc>
        <w:tc>
          <w:tcPr>
            <w:tcW w:w="707" w:type="pct"/>
            <w:shd w:val="clear" w:color="auto" w:fill="auto"/>
            <w:vAlign w:val="center"/>
          </w:tcPr>
          <w:p w14:paraId="6CA52761">
            <w:pPr>
              <w:adjustRightInd w:val="0"/>
              <w:spacing w:line="240" w:lineRule="auto"/>
              <w:jc w:val="center"/>
              <w:rPr>
                <w:rFonts w:ascii="仿宋_GB2312"/>
                <w:sz w:val="21"/>
                <w:szCs w:val="21"/>
              </w:rPr>
            </w:pPr>
            <w:r>
              <w:rPr>
                <w:rFonts w:hint="eastAsia" w:ascii="仿宋_GB2312"/>
                <w:sz w:val="21"/>
                <w:szCs w:val="21"/>
              </w:rPr>
              <w:t>11</w:t>
            </w:r>
          </w:p>
        </w:tc>
        <w:tc>
          <w:tcPr>
            <w:tcW w:w="670" w:type="pct"/>
            <w:vAlign w:val="center"/>
          </w:tcPr>
          <w:p w14:paraId="29A3819E">
            <w:pPr>
              <w:adjustRightInd w:val="0"/>
              <w:spacing w:line="240" w:lineRule="auto"/>
              <w:jc w:val="center"/>
              <w:rPr>
                <w:rFonts w:ascii="仿宋_GB2312"/>
                <w:sz w:val="21"/>
                <w:szCs w:val="21"/>
              </w:rPr>
            </w:pPr>
          </w:p>
        </w:tc>
        <w:tc>
          <w:tcPr>
            <w:tcW w:w="475" w:type="pct"/>
            <w:shd w:val="clear" w:color="auto" w:fill="auto"/>
            <w:vAlign w:val="center"/>
          </w:tcPr>
          <w:p w14:paraId="03E8D862">
            <w:pPr>
              <w:adjustRightInd w:val="0"/>
              <w:spacing w:line="240" w:lineRule="auto"/>
              <w:jc w:val="center"/>
              <w:rPr>
                <w:rFonts w:ascii="仿宋_GB2312"/>
                <w:sz w:val="21"/>
                <w:szCs w:val="21"/>
              </w:rPr>
            </w:pPr>
            <w:r>
              <w:rPr>
                <w:rFonts w:hint="eastAsia" w:ascii="仿宋_GB2312"/>
                <w:sz w:val="21"/>
                <w:szCs w:val="21"/>
              </w:rPr>
              <w:t>约束性</w:t>
            </w:r>
          </w:p>
        </w:tc>
      </w:tr>
      <w:tr w14:paraId="1F1473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265E7FFD">
            <w:pPr>
              <w:adjustRightInd w:val="0"/>
              <w:spacing w:line="240" w:lineRule="auto"/>
              <w:jc w:val="center"/>
              <w:rPr>
                <w:rFonts w:ascii="仿宋_GB2312"/>
                <w:sz w:val="21"/>
                <w:szCs w:val="21"/>
              </w:rPr>
            </w:pPr>
          </w:p>
        </w:tc>
        <w:tc>
          <w:tcPr>
            <w:tcW w:w="291" w:type="pct"/>
            <w:shd w:val="clear" w:color="auto" w:fill="auto"/>
            <w:vAlign w:val="center"/>
          </w:tcPr>
          <w:p w14:paraId="197CF2B5">
            <w:pPr>
              <w:adjustRightInd w:val="0"/>
              <w:spacing w:line="240" w:lineRule="auto"/>
              <w:jc w:val="center"/>
              <w:rPr>
                <w:rFonts w:ascii="仿宋_GB2312"/>
                <w:sz w:val="21"/>
                <w:szCs w:val="21"/>
              </w:rPr>
            </w:pPr>
            <w:r>
              <w:rPr>
                <w:rFonts w:hint="eastAsia" w:ascii="仿宋_GB2312"/>
                <w:sz w:val="21"/>
                <w:szCs w:val="21"/>
              </w:rPr>
              <w:t>28</w:t>
            </w:r>
          </w:p>
        </w:tc>
        <w:tc>
          <w:tcPr>
            <w:tcW w:w="1440" w:type="pct"/>
            <w:shd w:val="clear" w:color="auto" w:fill="auto"/>
            <w:vAlign w:val="center"/>
          </w:tcPr>
          <w:p w14:paraId="79CBEB26">
            <w:pPr>
              <w:adjustRightInd w:val="0"/>
              <w:spacing w:line="240" w:lineRule="auto"/>
              <w:rPr>
                <w:rFonts w:ascii="仿宋_GB2312"/>
                <w:sz w:val="21"/>
                <w:szCs w:val="21"/>
              </w:rPr>
            </w:pPr>
            <w:r>
              <w:rPr>
                <w:rFonts w:hint="eastAsia" w:ascii="仿宋_GB2312"/>
                <w:sz w:val="21"/>
                <w:szCs w:val="21"/>
              </w:rPr>
              <w:t>城镇登记失业率</w:t>
            </w:r>
          </w:p>
        </w:tc>
        <w:tc>
          <w:tcPr>
            <w:tcW w:w="537" w:type="pct"/>
            <w:shd w:val="clear" w:color="auto" w:fill="auto"/>
            <w:vAlign w:val="center"/>
          </w:tcPr>
          <w:p w14:paraId="661F4688">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2FF3BFA9">
            <w:pPr>
              <w:adjustRightInd w:val="0"/>
              <w:spacing w:line="240" w:lineRule="auto"/>
              <w:jc w:val="center"/>
              <w:rPr>
                <w:rFonts w:ascii="仿宋_GB2312"/>
                <w:sz w:val="21"/>
                <w:szCs w:val="21"/>
              </w:rPr>
            </w:pPr>
            <w:r>
              <w:rPr>
                <w:rFonts w:hint="eastAsia" w:ascii="仿宋_GB2312"/>
                <w:sz w:val="21"/>
                <w:szCs w:val="21"/>
              </w:rPr>
              <w:t>1.52</w:t>
            </w:r>
          </w:p>
        </w:tc>
        <w:tc>
          <w:tcPr>
            <w:tcW w:w="707" w:type="pct"/>
            <w:shd w:val="clear" w:color="auto" w:fill="auto"/>
            <w:vAlign w:val="center"/>
          </w:tcPr>
          <w:p w14:paraId="4A4EE1FF">
            <w:pPr>
              <w:adjustRightInd w:val="0"/>
              <w:spacing w:line="240" w:lineRule="auto"/>
              <w:jc w:val="center"/>
              <w:rPr>
                <w:rFonts w:ascii="仿宋_GB2312"/>
                <w:sz w:val="21"/>
                <w:szCs w:val="21"/>
              </w:rPr>
            </w:pPr>
            <w:r>
              <w:rPr>
                <w:rFonts w:hint="eastAsia" w:ascii="仿宋_GB2312"/>
                <w:sz w:val="21"/>
                <w:szCs w:val="21"/>
              </w:rPr>
              <w:t>≤2.0</w:t>
            </w:r>
          </w:p>
        </w:tc>
        <w:tc>
          <w:tcPr>
            <w:tcW w:w="670" w:type="pct"/>
            <w:vAlign w:val="center"/>
          </w:tcPr>
          <w:p w14:paraId="224E1BCA">
            <w:pPr>
              <w:adjustRightInd w:val="0"/>
              <w:spacing w:line="240" w:lineRule="auto"/>
              <w:jc w:val="center"/>
              <w:rPr>
                <w:rFonts w:ascii="仿宋_GB2312"/>
                <w:sz w:val="21"/>
                <w:szCs w:val="21"/>
              </w:rPr>
            </w:pPr>
          </w:p>
        </w:tc>
        <w:tc>
          <w:tcPr>
            <w:tcW w:w="475" w:type="pct"/>
            <w:shd w:val="clear" w:color="auto" w:fill="auto"/>
            <w:vAlign w:val="center"/>
          </w:tcPr>
          <w:p w14:paraId="10A46442">
            <w:pPr>
              <w:adjustRightInd w:val="0"/>
              <w:spacing w:line="240" w:lineRule="auto"/>
              <w:jc w:val="center"/>
              <w:rPr>
                <w:rFonts w:ascii="仿宋_GB2312"/>
                <w:sz w:val="21"/>
                <w:szCs w:val="21"/>
              </w:rPr>
            </w:pPr>
            <w:r>
              <w:rPr>
                <w:rFonts w:hint="eastAsia" w:ascii="仿宋_GB2312"/>
                <w:sz w:val="21"/>
                <w:szCs w:val="21"/>
              </w:rPr>
              <w:t>预期性</w:t>
            </w:r>
          </w:p>
        </w:tc>
      </w:tr>
      <w:tr w14:paraId="74B498B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71404395">
            <w:pPr>
              <w:adjustRightInd w:val="0"/>
              <w:spacing w:line="240" w:lineRule="auto"/>
              <w:jc w:val="center"/>
              <w:rPr>
                <w:rFonts w:ascii="仿宋_GB2312"/>
                <w:sz w:val="21"/>
                <w:szCs w:val="21"/>
              </w:rPr>
            </w:pPr>
          </w:p>
        </w:tc>
        <w:tc>
          <w:tcPr>
            <w:tcW w:w="291" w:type="pct"/>
            <w:shd w:val="clear" w:color="auto" w:fill="auto"/>
            <w:vAlign w:val="center"/>
          </w:tcPr>
          <w:p w14:paraId="341C640F">
            <w:pPr>
              <w:adjustRightInd w:val="0"/>
              <w:spacing w:line="240" w:lineRule="auto"/>
              <w:jc w:val="center"/>
              <w:rPr>
                <w:rFonts w:ascii="仿宋_GB2312"/>
                <w:sz w:val="21"/>
                <w:szCs w:val="21"/>
              </w:rPr>
            </w:pPr>
            <w:r>
              <w:rPr>
                <w:rFonts w:hint="eastAsia" w:ascii="仿宋_GB2312"/>
                <w:sz w:val="21"/>
                <w:szCs w:val="21"/>
              </w:rPr>
              <w:t>29</w:t>
            </w:r>
          </w:p>
        </w:tc>
        <w:tc>
          <w:tcPr>
            <w:tcW w:w="1440" w:type="pct"/>
            <w:shd w:val="clear" w:color="auto" w:fill="auto"/>
            <w:vAlign w:val="center"/>
          </w:tcPr>
          <w:p w14:paraId="61C7989A">
            <w:pPr>
              <w:adjustRightInd w:val="0"/>
              <w:spacing w:line="240" w:lineRule="auto"/>
              <w:rPr>
                <w:rFonts w:ascii="仿宋_GB2312"/>
                <w:sz w:val="21"/>
                <w:szCs w:val="21"/>
              </w:rPr>
            </w:pPr>
            <w:r>
              <w:rPr>
                <w:rFonts w:hint="eastAsia" w:ascii="仿宋_GB2312"/>
                <w:sz w:val="21"/>
                <w:szCs w:val="21"/>
              </w:rPr>
              <w:t>居民人均可支配收入增长</w:t>
            </w:r>
          </w:p>
        </w:tc>
        <w:tc>
          <w:tcPr>
            <w:tcW w:w="537" w:type="pct"/>
            <w:shd w:val="clear" w:color="auto" w:fill="auto"/>
            <w:vAlign w:val="center"/>
          </w:tcPr>
          <w:p w14:paraId="47872D36">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5E05C19E">
            <w:pPr>
              <w:adjustRightInd w:val="0"/>
              <w:spacing w:line="240" w:lineRule="auto"/>
              <w:jc w:val="center"/>
              <w:rPr>
                <w:rFonts w:ascii="仿宋_GB2312"/>
                <w:sz w:val="21"/>
                <w:szCs w:val="21"/>
              </w:rPr>
            </w:pPr>
            <w:r>
              <w:rPr>
                <w:rFonts w:hint="eastAsia" w:ascii="仿宋_GB2312"/>
                <w:sz w:val="21"/>
                <w:szCs w:val="21"/>
              </w:rPr>
              <w:t>6.5</w:t>
            </w:r>
          </w:p>
        </w:tc>
        <w:tc>
          <w:tcPr>
            <w:tcW w:w="707" w:type="pct"/>
            <w:shd w:val="clear" w:color="auto" w:fill="auto"/>
            <w:vAlign w:val="center"/>
          </w:tcPr>
          <w:p w14:paraId="5061CE7D">
            <w:pPr>
              <w:adjustRightInd w:val="0"/>
              <w:spacing w:line="240" w:lineRule="auto"/>
              <w:jc w:val="center"/>
              <w:rPr>
                <w:rFonts w:ascii="仿宋_GB2312"/>
                <w:sz w:val="21"/>
                <w:szCs w:val="21"/>
              </w:rPr>
            </w:pPr>
          </w:p>
        </w:tc>
        <w:tc>
          <w:tcPr>
            <w:tcW w:w="670" w:type="pct"/>
            <w:vAlign w:val="center"/>
          </w:tcPr>
          <w:p w14:paraId="00C022BE">
            <w:pPr>
              <w:adjustRightInd w:val="0"/>
              <w:spacing w:line="240" w:lineRule="auto"/>
              <w:jc w:val="center"/>
              <w:rPr>
                <w:rFonts w:ascii="仿宋_GB2312"/>
                <w:sz w:val="21"/>
                <w:szCs w:val="21"/>
              </w:rPr>
            </w:pPr>
            <w:r>
              <w:rPr>
                <w:rFonts w:hint="eastAsia" w:ascii="仿宋_GB2312"/>
                <w:sz w:val="21"/>
                <w:szCs w:val="21"/>
              </w:rPr>
              <w:t>与经济增长</w:t>
            </w:r>
          </w:p>
          <w:p w14:paraId="7952C683">
            <w:pPr>
              <w:adjustRightInd w:val="0"/>
              <w:spacing w:line="240" w:lineRule="auto"/>
              <w:jc w:val="center"/>
              <w:rPr>
                <w:rFonts w:ascii="仿宋_GB2312"/>
                <w:sz w:val="21"/>
                <w:szCs w:val="21"/>
              </w:rPr>
            </w:pPr>
            <w:r>
              <w:rPr>
                <w:rFonts w:hint="eastAsia" w:ascii="仿宋_GB2312"/>
                <w:sz w:val="21"/>
                <w:szCs w:val="21"/>
              </w:rPr>
              <w:t>基本同步</w:t>
            </w:r>
          </w:p>
        </w:tc>
        <w:tc>
          <w:tcPr>
            <w:tcW w:w="475" w:type="pct"/>
            <w:shd w:val="clear" w:color="auto" w:fill="auto"/>
            <w:vAlign w:val="center"/>
          </w:tcPr>
          <w:p w14:paraId="46E6CD67">
            <w:pPr>
              <w:adjustRightInd w:val="0"/>
              <w:spacing w:line="240" w:lineRule="auto"/>
              <w:jc w:val="center"/>
              <w:rPr>
                <w:rFonts w:ascii="仿宋_GB2312"/>
                <w:sz w:val="21"/>
                <w:szCs w:val="21"/>
              </w:rPr>
            </w:pPr>
            <w:r>
              <w:rPr>
                <w:rFonts w:hint="eastAsia" w:ascii="仿宋_GB2312"/>
                <w:sz w:val="21"/>
                <w:szCs w:val="21"/>
              </w:rPr>
              <w:t>预期性</w:t>
            </w:r>
          </w:p>
        </w:tc>
      </w:tr>
      <w:tr w14:paraId="7BA0176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478A302D">
            <w:pPr>
              <w:adjustRightInd w:val="0"/>
              <w:spacing w:line="240" w:lineRule="auto"/>
              <w:jc w:val="center"/>
              <w:rPr>
                <w:rFonts w:ascii="仿宋_GB2312"/>
                <w:sz w:val="21"/>
                <w:szCs w:val="21"/>
              </w:rPr>
            </w:pPr>
          </w:p>
        </w:tc>
        <w:tc>
          <w:tcPr>
            <w:tcW w:w="291" w:type="pct"/>
            <w:shd w:val="clear" w:color="auto" w:fill="auto"/>
            <w:vAlign w:val="center"/>
          </w:tcPr>
          <w:p w14:paraId="4614EFA0">
            <w:pPr>
              <w:adjustRightInd w:val="0"/>
              <w:spacing w:line="240" w:lineRule="auto"/>
              <w:jc w:val="center"/>
              <w:rPr>
                <w:rFonts w:ascii="仿宋_GB2312"/>
                <w:sz w:val="21"/>
                <w:szCs w:val="21"/>
              </w:rPr>
            </w:pPr>
            <w:r>
              <w:rPr>
                <w:rFonts w:hint="eastAsia" w:ascii="仿宋_GB2312"/>
                <w:sz w:val="21"/>
                <w:szCs w:val="21"/>
              </w:rPr>
              <w:t>30</w:t>
            </w:r>
          </w:p>
        </w:tc>
        <w:tc>
          <w:tcPr>
            <w:tcW w:w="1440" w:type="pct"/>
            <w:shd w:val="clear" w:color="auto" w:fill="auto"/>
            <w:vAlign w:val="center"/>
          </w:tcPr>
          <w:p w14:paraId="032F3704">
            <w:pPr>
              <w:adjustRightInd w:val="0"/>
              <w:spacing w:line="240" w:lineRule="auto"/>
              <w:rPr>
                <w:rFonts w:ascii="仿宋_GB2312"/>
                <w:snapToGrid w:val="0"/>
                <w:spacing w:val="-5"/>
                <w:sz w:val="21"/>
                <w:szCs w:val="21"/>
              </w:rPr>
            </w:pPr>
            <w:r>
              <w:rPr>
                <w:rFonts w:hint="eastAsia" w:ascii="仿宋_GB2312"/>
                <w:snapToGrid w:val="0"/>
                <w:spacing w:val="-5"/>
                <w:sz w:val="21"/>
                <w:szCs w:val="21"/>
              </w:rPr>
              <w:t>每千人执业（助理）医师数（常住人口）</w:t>
            </w:r>
          </w:p>
        </w:tc>
        <w:tc>
          <w:tcPr>
            <w:tcW w:w="537" w:type="pct"/>
            <w:shd w:val="clear" w:color="auto" w:fill="auto"/>
            <w:vAlign w:val="center"/>
          </w:tcPr>
          <w:p w14:paraId="5FAB6C96">
            <w:pPr>
              <w:adjustRightInd w:val="0"/>
              <w:spacing w:line="240" w:lineRule="auto"/>
              <w:jc w:val="center"/>
              <w:rPr>
                <w:rFonts w:ascii="仿宋_GB2312"/>
                <w:sz w:val="21"/>
                <w:szCs w:val="21"/>
              </w:rPr>
            </w:pPr>
            <w:r>
              <w:rPr>
                <w:rFonts w:hint="eastAsia" w:ascii="仿宋_GB2312"/>
                <w:sz w:val="21"/>
                <w:szCs w:val="21"/>
              </w:rPr>
              <w:t>人</w:t>
            </w:r>
          </w:p>
        </w:tc>
        <w:tc>
          <w:tcPr>
            <w:tcW w:w="424" w:type="pct"/>
            <w:shd w:val="clear" w:color="auto" w:fill="auto"/>
            <w:vAlign w:val="center"/>
          </w:tcPr>
          <w:p w14:paraId="6CA1129B">
            <w:pPr>
              <w:adjustRightInd w:val="0"/>
              <w:spacing w:line="240" w:lineRule="auto"/>
              <w:jc w:val="center"/>
              <w:rPr>
                <w:rFonts w:ascii="仿宋_GB2312"/>
                <w:sz w:val="21"/>
                <w:szCs w:val="21"/>
              </w:rPr>
            </w:pPr>
            <w:r>
              <w:rPr>
                <w:rFonts w:hint="eastAsia" w:ascii="仿宋_GB2312"/>
                <w:sz w:val="21"/>
                <w:szCs w:val="21"/>
              </w:rPr>
              <w:t>3</w:t>
            </w:r>
          </w:p>
        </w:tc>
        <w:tc>
          <w:tcPr>
            <w:tcW w:w="707" w:type="pct"/>
            <w:shd w:val="clear" w:color="auto" w:fill="auto"/>
            <w:vAlign w:val="center"/>
          </w:tcPr>
          <w:p w14:paraId="2A38DD3A">
            <w:pPr>
              <w:adjustRightInd w:val="0"/>
              <w:spacing w:line="240" w:lineRule="auto"/>
              <w:jc w:val="center"/>
              <w:rPr>
                <w:rFonts w:ascii="仿宋_GB2312"/>
                <w:sz w:val="21"/>
                <w:szCs w:val="21"/>
              </w:rPr>
            </w:pPr>
            <w:r>
              <w:rPr>
                <w:rFonts w:hint="eastAsia" w:ascii="仿宋_GB2312"/>
                <w:sz w:val="21"/>
                <w:szCs w:val="21"/>
              </w:rPr>
              <w:t>4.3</w:t>
            </w:r>
          </w:p>
        </w:tc>
        <w:tc>
          <w:tcPr>
            <w:tcW w:w="670" w:type="pct"/>
            <w:vAlign w:val="center"/>
          </w:tcPr>
          <w:p w14:paraId="25934DEE">
            <w:pPr>
              <w:adjustRightInd w:val="0"/>
              <w:spacing w:line="240" w:lineRule="auto"/>
              <w:jc w:val="center"/>
              <w:rPr>
                <w:rFonts w:ascii="仿宋_GB2312"/>
                <w:sz w:val="21"/>
                <w:szCs w:val="21"/>
              </w:rPr>
            </w:pPr>
          </w:p>
        </w:tc>
        <w:tc>
          <w:tcPr>
            <w:tcW w:w="475" w:type="pct"/>
            <w:shd w:val="clear" w:color="auto" w:fill="auto"/>
            <w:vAlign w:val="center"/>
          </w:tcPr>
          <w:p w14:paraId="0F2F538B">
            <w:pPr>
              <w:adjustRightInd w:val="0"/>
              <w:spacing w:line="240" w:lineRule="auto"/>
              <w:jc w:val="center"/>
              <w:rPr>
                <w:rFonts w:ascii="仿宋_GB2312"/>
                <w:sz w:val="21"/>
                <w:szCs w:val="21"/>
              </w:rPr>
            </w:pPr>
            <w:r>
              <w:rPr>
                <w:rFonts w:hint="eastAsia" w:ascii="仿宋_GB2312"/>
                <w:sz w:val="21"/>
                <w:szCs w:val="21"/>
              </w:rPr>
              <w:t>预期性</w:t>
            </w:r>
          </w:p>
        </w:tc>
      </w:tr>
      <w:tr w14:paraId="176C965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143C0D5D">
            <w:pPr>
              <w:adjustRightInd w:val="0"/>
              <w:spacing w:line="240" w:lineRule="auto"/>
              <w:jc w:val="center"/>
              <w:rPr>
                <w:rFonts w:ascii="仿宋_GB2312"/>
                <w:sz w:val="21"/>
                <w:szCs w:val="21"/>
              </w:rPr>
            </w:pPr>
          </w:p>
        </w:tc>
        <w:tc>
          <w:tcPr>
            <w:tcW w:w="291" w:type="pct"/>
            <w:shd w:val="clear" w:color="auto" w:fill="auto"/>
            <w:vAlign w:val="center"/>
          </w:tcPr>
          <w:p w14:paraId="2538AC22">
            <w:pPr>
              <w:adjustRightInd w:val="0"/>
              <w:spacing w:line="240" w:lineRule="auto"/>
              <w:jc w:val="center"/>
              <w:rPr>
                <w:rFonts w:ascii="仿宋_GB2312"/>
                <w:sz w:val="21"/>
                <w:szCs w:val="21"/>
              </w:rPr>
            </w:pPr>
            <w:r>
              <w:rPr>
                <w:rFonts w:hint="eastAsia" w:ascii="仿宋_GB2312"/>
                <w:sz w:val="21"/>
                <w:szCs w:val="21"/>
              </w:rPr>
              <w:t>31</w:t>
            </w:r>
          </w:p>
        </w:tc>
        <w:tc>
          <w:tcPr>
            <w:tcW w:w="1440" w:type="pct"/>
            <w:shd w:val="clear" w:color="auto" w:fill="auto"/>
            <w:vAlign w:val="center"/>
          </w:tcPr>
          <w:p w14:paraId="5E582AB2">
            <w:pPr>
              <w:adjustRightInd w:val="0"/>
              <w:spacing w:line="240" w:lineRule="auto"/>
              <w:rPr>
                <w:rFonts w:ascii="仿宋_GB2312"/>
                <w:sz w:val="21"/>
                <w:szCs w:val="21"/>
              </w:rPr>
            </w:pPr>
            <w:r>
              <w:rPr>
                <w:rFonts w:hint="eastAsia" w:ascii="仿宋_GB2312"/>
                <w:sz w:val="21"/>
                <w:szCs w:val="21"/>
              </w:rPr>
              <w:t>每千人医疗机构床位数</w:t>
            </w:r>
          </w:p>
        </w:tc>
        <w:tc>
          <w:tcPr>
            <w:tcW w:w="537" w:type="pct"/>
            <w:shd w:val="clear" w:color="auto" w:fill="auto"/>
            <w:vAlign w:val="center"/>
          </w:tcPr>
          <w:p w14:paraId="6D40221D">
            <w:pPr>
              <w:adjustRightInd w:val="0"/>
              <w:spacing w:line="240" w:lineRule="auto"/>
              <w:jc w:val="center"/>
              <w:rPr>
                <w:rFonts w:ascii="仿宋_GB2312"/>
                <w:sz w:val="21"/>
                <w:szCs w:val="21"/>
              </w:rPr>
            </w:pPr>
            <w:r>
              <w:rPr>
                <w:rFonts w:hint="eastAsia" w:ascii="仿宋_GB2312"/>
                <w:sz w:val="21"/>
                <w:szCs w:val="21"/>
              </w:rPr>
              <w:t>张</w:t>
            </w:r>
          </w:p>
        </w:tc>
        <w:tc>
          <w:tcPr>
            <w:tcW w:w="424" w:type="pct"/>
            <w:shd w:val="clear" w:color="auto" w:fill="auto"/>
            <w:vAlign w:val="center"/>
          </w:tcPr>
          <w:p w14:paraId="4CE3699C">
            <w:pPr>
              <w:adjustRightInd w:val="0"/>
              <w:spacing w:line="240" w:lineRule="auto"/>
              <w:jc w:val="center"/>
              <w:rPr>
                <w:rFonts w:ascii="仿宋_GB2312"/>
                <w:sz w:val="21"/>
                <w:szCs w:val="21"/>
              </w:rPr>
            </w:pPr>
            <w:r>
              <w:rPr>
                <w:rFonts w:hint="eastAsia" w:ascii="仿宋_GB2312"/>
                <w:sz w:val="21"/>
                <w:szCs w:val="21"/>
              </w:rPr>
              <w:t>5.5</w:t>
            </w:r>
          </w:p>
        </w:tc>
        <w:tc>
          <w:tcPr>
            <w:tcW w:w="707" w:type="pct"/>
            <w:shd w:val="clear" w:color="auto" w:fill="auto"/>
            <w:vAlign w:val="center"/>
          </w:tcPr>
          <w:p w14:paraId="570F28DE">
            <w:pPr>
              <w:adjustRightInd w:val="0"/>
              <w:spacing w:line="240" w:lineRule="auto"/>
              <w:jc w:val="center"/>
              <w:rPr>
                <w:rFonts w:ascii="仿宋_GB2312"/>
                <w:sz w:val="21"/>
                <w:szCs w:val="21"/>
              </w:rPr>
            </w:pPr>
            <w:r>
              <w:rPr>
                <w:rFonts w:hint="eastAsia" w:ascii="仿宋_GB2312"/>
                <w:sz w:val="21"/>
                <w:szCs w:val="21"/>
              </w:rPr>
              <w:t>7</w:t>
            </w:r>
          </w:p>
        </w:tc>
        <w:tc>
          <w:tcPr>
            <w:tcW w:w="670" w:type="pct"/>
            <w:vAlign w:val="center"/>
          </w:tcPr>
          <w:p w14:paraId="288433C6">
            <w:pPr>
              <w:adjustRightInd w:val="0"/>
              <w:spacing w:line="240" w:lineRule="auto"/>
              <w:jc w:val="center"/>
              <w:rPr>
                <w:rFonts w:ascii="仿宋_GB2312"/>
                <w:sz w:val="21"/>
                <w:szCs w:val="21"/>
              </w:rPr>
            </w:pPr>
          </w:p>
        </w:tc>
        <w:tc>
          <w:tcPr>
            <w:tcW w:w="475" w:type="pct"/>
            <w:shd w:val="clear" w:color="auto" w:fill="auto"/>
            <w:vAlign w:val="center"/>
          </w:tcPr>
          <w:p w14:paraId="4D4BAC99">
            <w:pPr>
              <w:adjustRightInd w:val="0"/>
              <w:spacing w:line="240" w:lineRule="auto"/>
              <w:jc w:val="center"/>
              <w:rPr>
                <w:rFonts w:ascii="仿宋_GB2312"/>
                <w:sz w:val="21"/>
                <w:szCs w:val="21"/>
              </w:rPr>
            </w:pPr>
            <w:r>
              <w:rPr>
                <w:rFonts w:hint="eastAsia" w:ascii="仿宋_GB2312"/>
                <w:sz w:val="21"/>
                <w:szCs w:val="21"/>
              </w:rPr>
              <w:t>预期性</w:t>
            </w:r>
          </w:p>
        </w:tc>
      </w:tr>
      <w:tr w14:paraId="506F8B6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237DE537">
            <w:pPr>
              <w:adjustRightInd w:val="0"/>
              <w:spacing w:line="240" w:lineRule="auto"/>
              <w:jc w:val="center"/>
              <w:rPr>
                <w:rFonts w:ascii="仿宋_GB2312"/>
                <w:sz w:val="21"/>
                <w:szCs w:val="21"/>
              </w:rPr>
            </w:pPr>
          </w:p>
        </w:tc>
        <w:tc>
          <w:tcPr>
            <w:tcW w:w="291" w:type="pct"/>
            <w:shd w:val="clear" w:color="auto" w:fill="auto"/>
            <w:vAlign w:val="center"/>
          </w:tcPr>
          <w:p w14:paraId="34393387">
            <w:pPr>
              <w:adjustRightInd w:val="0"/>
              <w:spacing w:line="240" w:lineRule="auto"/>
              <w:jc w:val="center"/>
              <w:rPr>
                <w:rFonts w:ascii="仿宋_GB2312"/>
                <w:sz w:val="21"/>
                <w:szCs w:val="21"/>
              </w:rPr>
            </w:pPr>
            <w:r>
              <w:rPr>
                <w:rFonts w:hint="eastAsia" w:ascii="仿宋_GB2312"/>
                <w:sz w:val="21"/>
                <w:szCs w:val="21"/>
              </w:rPr>
              <w:t>32</w:t>
            </w:r>
          </w:p>
        </w:tc>
        <w:tc>
          <w:tcPr>
            <w:tcW w:w="1440" w:type="pct"/>
            <w:shd w:val="clear" w:color="auto" w:fill="auto"/>
            <w:vAlign w:val="center"/>
          </w:tcPr>
          <w:p w14:paraId="50D43478">
            <w:pPr>
              <w:adjustRightInd w:val="0"/>
              <w:spacing w:line="240" w:lineRule="auto"/>
              <w:rPr>
                <w:rFonts w:ascii="仿宋_GB2312"/>
                <w:sz w:val="21"/>
                <w:szCs w:val="21"/>
              </w:rPr>
            </w:pPr>
            <w:r>
              <w:rPr>
                <w:rFonts w:hint="eastAsia" w:ascii="仿宋_GB2312"/>
                <w:sz w:val="21"/>
                <w:szCs w:val="21"/>
              </w:rPr>
              <w:t>基本养老保险参保率</w:t>
            </w:r>
          </w:p>
        </w:tc>
        <w:tc>
          <w:tcPr>
            <w:tcW w:w="537" w:type="pct"/>
            <w:shd w:val="clear" w:color="auto" w:fill="auto"/>
            <w:vAlign w:val="center"/>
          </w:tcPr>
          <w:p w14:paraId="66A1715C">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01DDCF2A">
            <w:pPr>
              <w:adjustRightInd w:val="0"/>
              <w:spacing w:line="240" w:lineRule="auto"/>
              <w:jc w:val="center"/>
              <w:rPr>
                <w:rFonts w:ascii="仿宋_GB2312"/>
                <w:sz w:val="21"/>
                <w:szCs w:val="21"/>
              </w:rPr>
            </w:pPr>
            <w:r>
              <w:rPr>
                <w:rFonts w:hint="eastAsia" w:ascii="仿宋_GB2312"/>
                <w:sz w:val="21"/>
                <w:szCs w:val="21"/>
              </w:rPr>
              <w:t>＞95</w:t>
            </w:r>
          </w:p>
        </w:tc>
        <w:tc>
          <w:tcPr>
            <w:tcW w:w="707" w:type="pct"/>
            <w:shd w:val="clear" w:color="auto" w:fill="auto"/>
            <w:vAlign w:val="center"/>
          </w:tcPr>
          <w:p w14:paraId="45226563">
            <w:pPr>
              <w:adjustRightInd w:val="0"/>
              <w:spacing w:line="240" w:lineRule="auto"/>
              <w:jc w:val="center"/>
              <w:rPr>
                <w:rFonts w:ascii="仿宋_GB2312"/>
                <w:sz w:val="21"/>
                <w:szCs w:val="21"/>
              </w:rPr>
            </w:pPr>
            <w:r>
              <w:rPr>
                <w:rFonts w:hint="eastAsia" w:ascii="仿宋_GB2312"/>
                <w:sz w:val="21"/>
                <w:szCs w:val="21"/>
              </w:rPr>
              <w:t>＞98</w:t>
            </w:r>
          </w:p>
        </w:tc>
        <w:tc>
          <w:tcPr>
            <w:tcW w:w="670" w:type="pct"/>
            <w:vAlign w:val="center"/>
          </w:tcPr>
          <w:p w14:paraId="2DC429D9">
            <w:pPr>
              <w:adjustRightInd w:val="0"/>
              <w:spacing w:line="240" w:lineRule="auto"/>
              <w:jc w:val="center"/>
              <w:rPr>
                <w:rFonts w:ascii="仿宋_GB2312"/>
                <w:sz w:val="21"/>
                <w:szCs w:val="21"/>
              </w:rPr>
            </w:pPr>
          </w:p>
        </w:tc>
        <w:tc>
          <w:tcPr>
            <w:tcW w:w="475" w:type="pct"/>
            <w:shd w:val="clear" w:color="auto" w:fill="auto"/>
            <w:vAlign w:val="center"/>
          </w:tcPr>
          <w:p w14:paraId="08F4003F">
            <w:pPr>
              <w:adjustRightInd w:val="0"/>
              <w:spacing w:line="240" w:lineRule="auto"/>
              <w:jc w:val="center"/>
              <w:rPr>
                <w:rFonts w:ascii="仿宋_GB2312"/>
                <w:sz w:val="21"/>
                <w:szCs w:val="21"/>
              </w:rPr>
            </w:pPr>
            <w:r>
              <w:rPr>
                <w:rFonts w:hint="eastAsia" w:ascii="仿宋_GB2312"/>
                <w:sz w:val="21"/>
                <w:szCs w:val="21"/>
              </w:rPr>
              <w:t>预期性</w:t>
            </w:r>
          </w:p>
        </w:tc>
      </w:tr>
      <w:tr w14:paraId="38B4476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4C37EC5B">
            <w:pPr>
              <w:adjustRightInd w:val="0"/>
              <w:spacing w:line="240" w:lineRule="auto"/>
              <w:jc w:val="center"/>
              <w:rPr>
                <w:rFonts w:ascii="仿宋_GB2312"/>
                <w:sz w:val="21"/>
                <w:szCs w:val="21"/>
              </w:rPr>
            </w:pPr>
          </w:p>
        </w:tc>
        <w:tc>
          <w:tcPr>
            <w:tcW w:w="291" w:type="pct"/>
            <w:shd w:val="clear" w:color="auto" w:fill="auto"/>
            <w:vAlign w:val="center"/>
          </w:tcPr>
          <w:p w14:paraId="78FA9584">
            <w:pPr>
              <w:adjustRightInd w:val="0"/>
              <w:spacing w:line="240" w:lineRule="auto"/>
              <w:jc w:val="center"/>
              <w:rPr>
                <w:rFonts w:ascii="仿宋_GB2312"/>
                <w:sz w:val="21"/>
                <w:szCs w:val="21"/>
              </w:rPr>
            </w:pPr>
            <w:r>
              <w:rPr>
                <w:rFonts w:hint="eastAsia" w:ascii="仿宋_GB2312"/>
                <w:sz w:val="21"/>
                <w:szCs w:val="21"/>
              </w:rPr>
              <w:t>33</w:t>
            </w:r>
          </w:p>
        </w:tc>
        <w:tc>
          <w:tcPr>
            <w:tcW w:w="1440" w:type="pct"/>
            <w:shd w:val="clear" w:color="auto" w:fill="auto"/>
            <w:vAlign w:val="center"/>
          </w:tcPr>
          <w:p w14:paraId="04F26AAF">
            <w:pPr>
              <w:adjustRightInd w:val="0"/>
              <w:spacing w:line="240" w:lineRule="auto"/>
              <w:rPr>
                <w:rFonts w:ascii="仿宋_GB2312"/>
                <w:sz w:val="21"/>
                <w:szCs w:val="21"/>
              </w:rPr>
            </w:pPr>
            <w:r>
              <w:rPr>
                <w:rFonts w:hint="eastAsia" w:ascii="仿宋_GB2312"/>
                <w:sz w:val="21"/>
                <w:szCs w:val="21"/>
              </w:rPr>
              <w:t>每万老年人拥有持证养老护理员数</w:t>
            </w:r>
          </w:p>
        </w:tc>
        <w:tc>
          <w:tcPr>
            <w:tcW w:w="537" w:type="pct"/>
            <w:shd w:val="clear" w:color="auto" w:fill="auto"/>
            <w:vAlign w:val="center"/>
          </w:tcPr>
          <w:p w14:paraId="731CCE2F">
            <w:pPr>
              <w:adjustRightInd w:val="0"/>
              <w:spacing w:line="240" w:lineRule="auto"/>
              <w:jc w:val="center"/>
              <w:rPr>
                <w:rFonts w:ascii="仿宋_GB2312"/>
                <w:sz w:val="21"/>
                <w:szCs w:val="21"/>
              </w:rPr>
            </w:pPr>
            <w:r>
              <w:rPr>
                <w:rFonts w:hint="eastAsia" w:ascii="仿宋_GB2312"/>
                <w:sz w:val="21"/>
                <w:szCs w:val="21"/>
              </w:rPr>
              <w:t>人</w:t>
            </w:r>
          </w:p>
        </w:tc>
        <w:tc>
          <w:tcPr>
            <w:tcW w:w="424" w:type="pct"/>
            <w:shd w:val="clear" w:color="auto" w:fill="auto"/>
            <w:vAlign w:val="center"/>
          </w:tcPr>
          <w:p w14:paraId="1A33BEA2">
            <w:pPr>
              <w:adjustRightInd w:val="0"/>
              <w:spacing w:line="240" w:lineRule="auto"/>
              <w:jc w:val="center"/>
              <w:rPr>
                <w:rFonts w:ascii="仿宋_GB2312"/>
                <w:sz w:val="21"/>
                <w:szCs w:val="21"/>
              </w:rPr>
            </w:pPr>
            <w:r>
              <w:rPr>
                <w:rFonts w:hint="eastAsia" w:ascii="仿宋_GB2312"/>
                <w:sz w:val="21"/>
                <w:szCs w:val="21"/>
              </w:rPr>
              <w:t>20</w:t>
            </w:r>
          </w:p>
        </w:tc>
        <w:tc>
          <w:tcPr>
            <w:tcW w:w="707" w:type="pct"/>
            <w:shd w:val="clear" w:color="auto" w:fill="auto"/>
            <w:vAlign w:val="center"/>
          </w:tcPr>
          <w:p w14:paraId="6BB19622">
            <w:pPr>
              <w:adjustRightInd w:val="0"/>
              <w:spacing w:line="240" w:lineRule="auto"/>
              <w:jc w:val="center"/>
              <w:rPr>
                <w:rFonts w:ascii="仿宋_GB2312"/>
                <w:sz w:val="21"/>
                <w:szCs w:val="21"/>
              </w:rPr>
            </w:pPr>
            <w:r>
              <w:rPr>
                <w:rFonts w:hint="eastAsia" w:ascii="仿宋_GB2312"/>
                <w:sz w:val="21"/>
                <w:szCs w:val="21"/>
              </w:rPr>
              <w:t>25</w:t>
            </w:r>
          </w:p>
        </w:tc>
        <w:tc>
          <w:tcPr>
            <w:tcW w:w="670" w:type="pct"/>
            <w:vAlign w:val="center"/>
          </w:tcPr>
          <w:p w14:paraId="45F11686">
            <w:pPr>
              <w:adjustRightInd w:val="0"/>
              <w:spacing w:line="240" w:lineRule="auto"/>
              <w:jc w:val="center"/>
              <w:rPr>
                <w:rFonts w:ascii="仿宋_GB2312"/>
                <w:sz w:val="21"/>
                <w:szCs w:val="21"/>
              </w:rPr>
            </w:pPr>
          </w:p>
        </w:tc>
        <w:tc>
          <w:tcPr>
            <w:tcW w:w="475" w:type="pct"/>
            <w:shd w:val="clear" w:color="auto" w:fill="auto"/>
            <w:vAlign w:val="center"/>
          </w:tcPr>
          <w:p w14:paraId="2B30CF3A">
            <w:pPr>
              <w:adjustRightInd w:val="0"/>
              <w:spacing w:line="240" w:lineRule="auto"/>
              <w:jc w:val="center"/>
              <w:rPr>
                <w:rFonts w:ascii="仿宋_GB2312"/>
                <w:sz w:val="21"/>
                <w:szCs w:val="21"/>
              </w:rPr>
            </w:pPr>
            <w:r>
              <w:rPr>
                <w:rFonts w:hint="eastAsia" w:ascii="仿宋_GB2312"/>
                <w:sz w:val="21"/>
                <w:szCs w:val="21"/>
              </w:rPr>
              <w:t>预期性</w:t>
            </w:r>
          </w:p>
        </w:tc>
      </w:tr>
      <w:tr w14:paraId="3C11E81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772FB047">
            <w:pPr>
              <w:adjustRightInd w:val="0"/>
              <w:spacing w:line="240" w:lineRule="auto"/>
              <w:jc w:val="center"/>
              <w:rPr>
                <w:rFonts w:ascii="仿宋_GB2312"/>
                <w:sz w:val="21"/>
                <w:szCs w:val="21"/>
              </w:rPr>
            </w:pPr>
          </w:p>
        </w:tc>
        <w:tc>
          <w:tcPr>
            <w:tcW w:w="291" w:type="pct"/>
            <w:shd w:val="clear" w:color="auto" w:fill="auto"/>
            <w:vAlign w:val="center"/>
          </w:tcPr>
          <w:p w14:paraId="3D9AF5FE">
            <w:pPr>
              <w:adjustRightInd w:val="0"/>
              <w:spacing w:line="240" w:lineRule="auto"/>
              <w:jc w:val="center"/>
              <w:rPr>
                <w:rFonts w:ascii="仿宋_GB2312"/>
                <w:sz w:val="21"/>
                <w:szCs w:val="21"/>
              </w:rPr>
            </w:pPr>
            <w:r>
              <w:rPr>
                <w:rFonts w:hint="eastAsia" w:ascii="仿宋_GB2312"/>
                <w:sz w:val="21"/>
                <w:szCs w:val="21"/>
              </w:rPr>
              <w:t>34</w:t>
            </w:r>
          </w:p>
        </w:tc>
        <w:tc>
          <w:tcPr>
            <w:tcW w:w="1440" w:type="pct"/>
            <w:shd w:val="clear" w:color="auto" w:fill="auto"/>
            <w:vAlign w:val="center"/>
          </w:tcPr>
          <w:p w14:paraId="7D0CBA95">
            <w:pPr>
              <w:adjustRightInd w:val="0"/>
              <w:spacing w:line="240" w:lineRule="auto"/>
              <w:rPr>
                <w:rFonts w:ascii="仿宋_GB2312"/>
                <w:sz w:val="21"/>
                <w:szCs w:val="21"/>
              </w:rPr>
            </w:pPr>
            <w:r>
              <w:rPr>
                <w:rFonts w:hint="eastAsia" w:ascii="仿宋_GB2312"/>
                <w:sz w:val="21"/>
                <w:szCs w:val="21"/>
              </w:rPr>
              <w:t>青少年总体近视率</w:t>
            </w:r>
          </w:p>
        </w:tc>
        <w:tc>
          <w:tcPr>
            <w:tcW w:w="537" w:type="pct"/>
            <w:shd w:val="clear" w:color="auto" w:fill="auto"/>
            <w:vAlign w:val="center"/>
          </w:tcPr>
          <w:p w14:paraId="29CD225C">
            <w:pPr>
              <w:adjustRightInd w:val="0"/>
              <w:spacing w:line="240" w:lineRule="auto"/>
              <w:jc w:val="center"/>
              <w:rPr>
                <w:rFonts w:ascii="仿宋_GB2312"/>
                <w:sz w:val="21"/>
                <w:szCs w:val="21"/>
              </w:rPr>
            </w:pPr>
            <w:r>
              <w:rPr>
                <w:rFonts w:hint="eastAsia" w:ascii="仿宋_GB2312"/>
                <w:sz w:val="21"/>
                <w:szCs w:val="21"/>
              </w:rPr>
              <w:t>%</w:t>
            </w:r>
          </w:p>
        </w:tc>
        <w:tc>
          <w:tcPr>
            <w:tcW w:w="424" w:type="pct"/>
            <w:shd w:val="clear" w:color="auto" w:fill="auto"/>
            <w:vAlign w:val="center"/>
          </w:tcPr>
          <w:p w14:paraId="2C28B1ED">
            <w:pPr>
              <w:adjustRightInd w:val="0"/>
              <w:spacing w:line="240" w:lineRule="auto"/>
              <w:jc w:val="center"/>
              <w:rPr>
                <w:rFonts w:ascii="仿宋_GB2312"/>
                <w:sz w:val="21"/>
                <w:szCs w:val="21"/>
              </w:rPr>
            </w:pPr>
            <w:r>
              <w:rPr>
                <w:rFonts w:hint="eastAsia" w:ascii="仿宋_GB2312"/>
                <w:sz w:val="21"/>
                <w:szCs w:val="21"/>
              </w:rPr>
              <w:t>55.03</w:t>
            </w:r>
          </w:p>
        </w:tc>
        <w:tc>
          <w:tcPr>
            <w:tcW w:w="707" w:type="pct"/>
            <w:shd w:val="clear" w:color="auto" w:fill="auto"/>
            <w:vAlign w:val="center"/>
          </w:tcPr>
          <w:p w14:paraId="758690D6">
            <w:pPr>
              <w:adjustRightInd w:val="0"/>
              <w:spacing w:line="240" w:lineRule="auto"/>
              <w:jc w:val="center"/>
              <w:rPr>
                <w:rFonts w:ascii="仿宋_GB2312"/>
                <w:sz w:val="21"/>
                <w:szCs w:val="21"/>
              </w:rPr>
            </w:pPr>
            <w:r>
              <w:rPr>
                <w:rFonts w:hint="eastAsia" w:ascii="仿宋_GB2312"/>
                <w:sz w:val="21"/>
                <w:szCs w:val="21"/>
              </w:rPr>
              <w:t>50.03</w:t>
            </w:r>
          </w:p>
        </w:tc>
        <w:tc>
          <w:tcPr>
            <w:tcW w:w="670" w:type="pct"/>
            <w:vAlign w:val="center"/>
          </w:tcPr>
          <w:p w14:paraId="65F1D76F">
            <w:pPr>
              <w:adjustRightInd w:val="0"/>
              <w:spacing w:line="240" w:lineRule="auto"/>
              <w:jc w:val="center"/>
              <w:rPr>
                <w:rFonts w:ascii="仿宋_GB2312"/>
                <w:sz w:val="21"/>
                <w:szCs w:val="21"/>
              </w:rPr>
            </w:pPr>
            <w:r>
              <w:rPr>
                <w:rFonts w:hint="eastAsia" w:ascii="仿宋_GB2312"/>
                <w:sz w:val="21"/>
                <w:szCs w:val="21"/>
              </w:rPr>
              <w:t>[-5]</w:t>
            </w:r>
          </w:p>
        </w:tc>
        <w:tc>
          <w:tcPr>
            <w:tcW w:w="475" w:type="pct"/>
            <w:shd w:val="clear" w:color="auto" w:fill="auto"/>
            <w:vAlign w:val="center"/>
          </w:tcPr>
          <w:p w14:paraId="7164E8FC">
            <w:pPr>
              <w:adjustRightInd w:val="0"/>
              <w:spacing w:line="240" w:lineRule="auto"/>
              <w:jc w:val="center"/>
              <w:rPr>
                <w:rFonts w:ascii="仿宋_GB2312"/>
                <w:sz w:val="21"/>
                <w:szCs w:val="21"/>
              </w:rPr>
            </w:pPr>
            <w:r>
              <w:rPr>
                <w:rFonts w:hint="eastAsia" w:ascii="仿宋_GB2312"/>
                <w:sz w:val="21"/>
                <w:szCs w:val="21"/>
              </w:rPr>
              <w:t>约束性</w:t>
            </w:r>
          </w:p>
        </w:tc>
      </w:tr>
      <w:tr w14:paraId="0068267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7D1BD260">
            <w:pPr>
              <w:adjustRightInd w:val="0"/>
              <w:spacing w:line="240" w:lineRule="auto"/>
              <w:jc w:val="center"/>
              <w:rPr>
                <w:rFonts w:ascii="仿宋_GB2312"/>
                <w:sz w:val="21"/>
                <w:szCs w:val="21"/>
              </w:rPr>
            </w:pPr>
          </w:p>
        </w:tc>
        <w:tc>
          <w:tcPr>
            <w:tcW w:w="291" w:type="pct"/>
            <w:shd w:val="clear" w:color="auto" w:fill="auto"/>
            <w:vAlign w:val="center"/>
          </w:tcPr>
          <w:p w14:paraId="389882AE">
            <w:pPr>
              <w:adjustRightInd w:val="0"/>
              <w:spacing w:line="240" w:lineRule="auto"/>
              <w:jc w:val="center"/>
              <w:rPr>
                <w:rFonts w:ascii="仿宋_GB2312"/>
                <w:sz w:val="21"/>
                <w:szCs w:val="21"/>
              </w:rPr>
            </w:pPr>
            <w:r>
              <w:rPr>
                <w:rFonts w:hint="eastAsia" w:ascii="仿宋_GB2312"/>
                <w:sz w:val="21"/>
                <w:szCs w:val="21"/>
              </w:rPr>
              <w:t>35</w:t>
            </w:r>
          </w:p>
        </w:tc>
        <w:tc>
          <w:tcPr>
            <w:tcW w:w="1440" w:type="pct"/>
            <w:shd w:val="clear" w:color="auto" w:fill="auto"/>
            <w:vAlign w:val="center"/>
          </w:tcPr>
          <w:p w14:paraId="0C4E58EF">
            <w:pPr>
              <w:adjustRightInd w:val="0"/>
              <w:spacing w:line="240" w:lineRule="auto"/>
              <w:rPr>
                <w:rFonts w:ascii="仿宋_GB2312"/>
                <w:sz w:val="21"/>
                <w:szCs w:val="21"/>
              </w:rPr>
            </w:pPr>
            <w:r>
              <w:rPr>
                <w:rFonts w:hint="eastAsia" w:ascii="仿宋_GB2312"/>
                <w:sz w:val="21"/>
                <w:szCs w:val="21"/>
              </w:rPr>
              <w:t>人均体育场地面积</w:t>
            </w:r>
          </w:p>
        </w:tc>
        <w:tc>
          <w:tcPr>
            <w:tcW w:w="537" w:type="pct"/>
            <w:shd w:val="clear" w:color="auto" w:fill="auto"/>
            <w:vAlign w:val="center"/>
          </w:tcPr>
          <w:p w14:paraId="4F112173">
            <w:pPr>
              <w:adjustRightInd w:val="0"/>
              <w:spacing w:line="240" w:lineRule="auto"/>
              <w:jc w:val="center"/>
              <w:rPr>
                <w:rFonts w:ascii="仿宋_GB2312"/>
                <w:sz w:val="21"/>
                <w:szCs w:val="21"/>
              </w:rPr>
            </w:pPr>
            <w:r>
              <w:rPr>
                <w:rFonts w:hint="eastAsia" w:ascii="仿宋_GB2312"/>
                <w:sz w:val="21"/>
                <w:szCs w:val="21"/>
              </w:rPr>
              <w:t>平方米</w:t>
            </w:r>
          </w:p>
        </w:tc>
        <w:tc>
          <w:tcPr>
            <w:tcW w:w="424" w:type="pct"/>
            <w:shd w:val="clear" w:color="auto" w:fill="auto"/>
            <w:vAlign w:val="center"/>
          </w:tcPr>
          <w:p w14:paraId="0B4FEE3C">
            <w:pPr>
              <w:adjustRightInd w:val="0"/>
              <w:spacing w:line="240" w:lineRule="auto"/>
              <w:jc w:val="center"/>
              <w:rPr>
                <w:rFonts w:ascii="仿宋_GB2312"/>
                <w:sz w:val="21"/>
                <w:szCs w:val="21"/>
              </w:rPr>
            </w:pPr>
            <w:r>
              <w:rPr>
                <w:rFonts w:hint="eastAsia" w:ascii="仿宋_GB2312"/>
                <w:sz w:val="21"/>
                <w:szCs w:val="21"/>
              </w:rPr>
              <w:t>2.63</w:t>
            </w:r>
          </w:p>
        </w:tc>
        <w:tc>
          <w:tcPr>
            <w:tcW w:w="707" w:type="pct"/>
            <w:shd w:val="clear" w:color="auto" w:fill="auto"/>
            <w:vAlign w:val="center"/>
          </w:tcPr>
          <w:p w14:paraId="6E2CBD4F">
            <w:pPr>
              <w:adjustRightInd w:val="0"/>
              <w:spacing w:line="240" w:lineRule="auto"/>
              <w:jc w:val="center"/>
              <w:rPr>
                <w:rFonts w:ascii="仿宋_GB2312"/>
                <w:sz w:val="21"/>
                <w:szCs w:val="21"/>
              </w:rPr>
            </w:pPr>
            <w:r>
              <w:rPr>
                <w:rFonts w:hint="eastAsia" w:ascii="仿宋_GB2312"/>
                <w:sz w:val="21"/>
                <w:szCs w:val="21"/>
              </w:rPr>
              <w:t>3</w:t>
            </w:r>
          </w:p>
        </w:tc>
        <w:tc>
          <w:tcPr>
            <w:tcW w:w="670" w:type="pct"/>
            <w:vAlign w:val="center"/>
          </w:tcPr>
          <w:p w14:paraId="43D5B102">
            <w:pPr>
              <w:adjustRightInd w:val="0"/>
              <w:spacing w:line="240" w:lineRule="auto"/>
              <w:jc w:val="center"/>
              <w:rPr>
                <w:rFonts w:ascii="仿宋_GB2312"/>
                <w:sz w:val="21"/>
                <w:szCs w:val="21"/>
              </w:rPr>
            </w:pPr>
          </w:p>
        </w:tc>
        <w:tc>
          <w:tcPr>
            <w:tcW w:w="475" w:type="pct"/>
            <w:shd w:val="clear" w:color="auto" w:fill="auto"/>
            <w:vAlign w:val="center"/>
          </w:tcPr>
          <w:p w14:paraId="40B33209">
            <w:pPr>
              <w:adjustRightInd w:val="0"/>
              <w:spacing w:line="240" w:lineRule="auto"/>
              <w:jc w:val="center"/>
              <w:rPr>
                <w:rFonts w:ascii="仿宋_GB2312"/>
                <w:sz w:val="21"/>
                <w:szCs w:val="21"/>
              </w:rPr>
            </w:pPr>
            <w:r>
              <w:rPr>
                <w:rFonts w:hint="eastAsia" w:ascii="仿宋_GB2312"/>
                <w:sz w:val="21"/>
                <w:szCs w:val="21"/>
              </w:rPr>
              <w:t>预期性</w:t>
            </w:r>
          </w:p>
        </w:tc>
      </w:tr>
      <w:tr w14:paraId="0039912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1325861B">
            <w:pPr>
              <w:adjustRightInd w:val="0"/>
              <w:spacing w:line="240" w:lineRule="auto"/>
              <w:jc w:val="center"/>
              <w:rPr>
                <w:rFonts w:ascii="仿宋_GB2312"/>
                <w:sz w:val="21"/>
                <w:szCs w:val="21"/>
              </w:rPr>
            </w:pPr>
          </w:p>
        </w:tc>
        <w:tc>
          <w:tcPr>
            <w:tcW w:w="291" w:type="pct"/>
            <w:shd w:val="clear" w:color="auto" w:fill="auto"/>
            <w:vAlign w:val="center"/>
          </w:tcPr>
          <w:p w14:paraId="09EE7CCC">
            <w:pPr>
              <w:adjustRightInd w:val="0"/>
              <w:spacing w:line="240" w:lineRule="auto"/>
              <w:jc w:val="center"/>
              <w:rPr>
                <w:rFonts w:ascii="仿宋_GB2312"/>
                <w:sz w:val="21"/>
                <w:szCs w:val="21"/>
              </w:rPr>
            </w:pPr>
            <w:r>
              <w:rPr>
                <w:rFonts w:hint="eastAsia" w:ascii="仿宋_GB2312"/>
                <w:sz w:val="21"/>
                <w:szCs w:val="21"/>
              </w:rPr>
              <w:t>36</w:t>
            </w:r>
          </w:p>
        </w:tc>
        <w:tc>
          <w:tcPr>
            <w:tcW w:w="1440" w:type="pct"/>
            <w:shd w:val="clear" w:color="auto" w:fill="auto"/>
            <w:vAlign w:val="center"/>
          </w:tcPr>
          <w:p w14:paraId="2DF6A100">
            <w:pPr>
              <w:adjustRightInd w:val="0"/>
              <w:spacing w:line="240" w:lineRule="auto"/>
              <w:rPr>
                <w:rFonts w:ascii="仿宋_GB2312"/>
                <w:sz w:val="21"/>
                <w:szCs w:val="21"/>
              </w:rPr>
            </w:pPr>
            <w:r>
              <w:rPr>
                <w:rFonts w:hint="eastAsia" w:ascii="仿宋_GB2312"/>
                <w:sz w:val="21"/>
                <w:szCs w:val="21"/>
              </w:rPr>
              <w:t>人均预期寿命</w:t>
            </w:r>
          </w:p>
        </w:tc>
        <w:tc>
          <w:tcPr>
            <w:tcW w:w="537" w:type="pct"/>
            <w:shd w:val="clear" w:color="auto" w:fill="auto"/>
            <w:vAlign w:val="center"/>
          </w:tcPr>
          <w:p w14:paraId="65CC62C2">
            <w:pPr>
              <w:adjustRightInd w:val="0"/>
              <w:spacing w:line="240" w:lineRule="auto"/>
              <w:jc w:val="center"/>
              <w:rPr>
                <w:rFonts w:ascii="仿宋_GB2312"/>
                <w:sz w:val="21"/>
                <w:szCs w:val="21"/>
              </w:rPr>
            </w:pPr>
            <w:r>
              <w:rPr>
                <w:rFonts w:hint="eastAsia" w:ascii="仿宋_GB2312"/>
                <w:sz w:val="21"/>
                <w:szCs w:val="21"/>
              </w:rPr>
              <w:t>岁</w:t>
            </w:r>
          </w:p>
        </w:tc>
        <w:tc>
          <w:tcPr>
            <w:tcW w:w="424" w:type="pct"/>
            <w:shd w:val="clear" w:color="auto" w:fill="auto"/>
            <w:vAlign w:val="center"/>
          </w:tcPr>
          <w:p w14:paraId="6C517DD1">
            <w:pPr>
              <w:adjustRightInd w:val="0"/>
              <w:spacing w:line="240" w:lineRule="auto"/>
              <w:jc w:val="center"/>
              <w:rPr>
                <w:rFonts w:ascii="仿宋_GB2312"/>
                <w:sz w:val="21"/>
                <w:szCs w:val="21"/>
              </w:rPr>
            </w:pPr>
            <w:r>
              <w:rPr>
                <w:rFonts w:hint="eastAsia" w:ascii="仿宋_GB2312"/>
                <w:sz w:val="21"/>
                <w:szCs w:val="21"/>
              </w:rPr>
              <w:t>82.68</w:t>
            </w:r>
          </w:p>
        </w:tc>
        <w:tc>
          <w:tcPr>
            <w:tcW w:w="707" w:type="pct"/>
            <w:shd w:val="clear" w:color="auto" w:fill="auto"/>
            <w:vAlign w:val="center"/>
          </w:tcPr>
          <w:p w14:paraId="045DE43D">
            <w:pPr>
              <w:adjustRightInd w:val="0"/>
              <w:spacing w:line="240" w:lineRule="auto"/>
              <w:jc w:val="center"/>
              <w:rPr>
                <w:rFonts w:ascii="仿宋_GB2312"/>
                <w:sz w:val="21"/>
                <w:szCs w:val="21"/>
              </w:rPr>
            </w:pPr>
            <w:r>
              <w:rPr>
                <w:rFonts w:hint="eastAsia" w:ascii="仿宋_GB2312"/>
                <w:sz w:val="21"/>
                <w:szCs w:val="21"/>
              </w:rPr>
              <w:t>82.9</w:t>
            </w:r>
          </w:p>
        </w:tc>
        <w:tc>
          <w:tcPr>
            <w:tcW w:w="670" w:type="pct"/>
            <w:vAlign w:val="center"/>
          </w:tcPr>
          <w:p w14:paraId="4F4A0739">
            <w:pPr>
              <w:adjustRightInd w:val="0"/>
              <w:spacing w:line="240" w:lineRule="auto"/>
              <w:jc w:val="center"/>
              <w:rPr>
                <w:rFonts w:ascii="仿宋_GB2312"/>
                <w:sz w:val="21"/>
                <w:szCs w:val="21"/>
              </w:rPr>
            </w:pPr>
          </w:p>
        </w:tc>
        <w:tc>
          <w:tcPr>
            <w:tcW w:w="475" w:type="pct"/>
            <w:shd w:val="clear" w:color="auto" w:fill="auto"/>
            <w:vAlign w:val="center"/>
          </w:tcPr>
          <w:p w14:paraId="66434554">
            <w:pPr>
              <w:adjustRightInd w:val="0"/>
              <w:spacing w:line="240" w:lineRule="auto"/>
              <w:jc w:val="center"/>
              <w:rPr>
                <w:rFonts w:ascii="仿宋_GB2312"/>
                <w:sz w:val="21"/>
                <w:szCs w:val="21"/>
              </w:rPr>
            </w:pPr>
            <w:r>
              <w:rPr>
                <w:rFonts w:hint="eastAsia" w:ascii="仿宋_GB2312"/>
                <w:sz w:val="21"/>
                <w:szCs w:val="21"/>
              </w:rPr>
              <w:t>预期性</w:t>
            </w:r>
          </w:p>
        </w:tc>
      </w:tr>
      <w:tr w14:paraId="230F7B0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restart"/>
            <w:shd w:val="clear" w:color="auto" w:fill="auto"/>
            <w:vAlign w:val="center"/>
          </w:tcPr>
          <w:p w14:paraId="37101F05">
            <w:pPr>
              <w:adjustRightInd w:val="0"/>
              <w:spacing w:line="240" w:lineRule="auto"/>
              <w:jc w:val="center"/>
              <w:rPr>
                <w:rFonts w:ascii="仿宋_GB2312"/>
                <w:sz w:val="21"/>
                <w:szCs w:val="21"/>
              </w:rPr>
            </w:pPr>
            <w:r>
              <w:rPr>
                <w:rFonts w:hint="eastAsia" w:ascii="仿宋_GB2312"/>
                <w:sz w:val="21"/>
                <w:szCs w:val="21"/>
              </w:rPr>
              <w:t>安全保障</w:t>
            </w:r>
          </w:p>
        </w:tc>
        <w:tc>
          <w:tcPr>
            <w:tcW w:w="291" w:type="pct"/>
            <w:shd w:val="clear" w:color="auto" w:fill="auto"/>
            <w:vAlign w:val="center"/>
          </w:tcPr>
          <w:p w14:paraId="779F19BB">
            <w:pPr>
              <w:adjustRightInd w:val="0"/>
              <w:spacing w:line="240" w:lineRule="auto"/>
              <w:jc w:val="center"/>
              <w:rPr>
                <w:rFonts w:ascii="仿宋_GB2312"/>
                <w:sz w:val="21"/>
                <w:szCs w:val="21"/>
              </w:rPr>
            </w:pPr>
            <w:r>
              <w:rPr>
                <w:rFonts w:hint="eastAsia" w:ascii="仿宋_GB2312"/>
                <w:sz w:val="21"/>
                <w:szCs w:val="21"/>
              </w:rPr>
              <w:t>37</w:t>
            </w:r>
          </w:p>
        </w:tc>
        <w:tc>
          <w:tcPr>
            <w:tcW w:w="1440" w:type="pct"/>
            <w:shd w:val="clear" w:color="auto" w:fill="auto"/>
            <w:vAlign w:val="center"/>
          </w:tcPr>
          <w:p w14:paraId="10D23296">
            <w:pPr>
              <w:adjustRightInd w:val="0"/>
              <w:spacing w:line="240" w:lineRule="auto"/>
              <w:rPr>
                <w:rFonts w:ascii="仿宋_GB2312"/>
                <w:sz w:val="21"/>
                <w:szCs w:val="21"/>
              </w:rPr>
            </w:pPr>
            <w:r>
              <w:rPr>
                <w:rFonts w:hint="eastAsia" w:ascii="仿宋_GB2312"/>
                <w:sz w:val="21"/>
                <w:szCs w:val="21"/>
              </w:rPr>
              <w:t>亿元GDP生产安全事故死亡率</w:t>
            </w:r>
          </w:p>
        </w:tc>
        <w:tc>
          <w:tcPr>
            <w:tcW w:w="537" w:type="pct"/>
            <w:shd w:val="clear" w:color="auto" w:fill="auto"/>
            <w:vAlign w:val="center"/>
          </w:tcPr>
          <w:p w14:paraId="60773489">
            <w:pPr>
              <w:adjustRightInd w:val="0"/>
              <w:spacing w:line="240" w:lineRule="auto"/>
              <w:jc w:val="center"/>
              <w:rPr>
                <w:rFonts w:ascii="仿宋_GB2312"/>
                <w:sz w:val="21"/>
                <w:szCs w:val="21"/>
              </w:rPr>
            </w:pPr>
            <w:r>
              <w:rPr>
                <w:rFonts w:hint="eastAsia" w:ascii="仿宋_GB2312"/>
                <w:sz w:val="21"/>
                <w:szCs w:val="21"/>
              </w:rPr>
              <w:t>人/亿元</w:t>
            </w:r>
          </w:p>
        </w:tc>
        <w:tc>
          <w:tcPr>
            <w:tcW w:w="424" w:type="pct"/>
            <w:shd w:val="clear" w:color="auto" w:fill="auto"/>
            <w:vAlign w:val="center"/>
          </w:tcPr>
          <w:p w14:paraId="44C83D89">
            <w:pPr>
              <w:adjustRightInd w:val="0"/>
              <w:spacing w:line="240" w:lineRule="auto"/>
              <w:jc w:val="center"/>
              <w:rPr>
                <w:rFonts w:ascii="仿宋_GB2312"/>
                <w:sz w:val="21"/>
                <w:szCs w:val="21"/>
              </w:rPr>
            </w:pPr>
            <w:r>
              <w:rPr>
                <w:rFonts w:hint="eastAsia" w:ascii="仿宋_GB2312"/>
                <w:sz w:val="21"/>
                <w:szCs w:val="21"/>
              </w:rPr>
              <w:t>0.0216</w:t>
            </w:r>
          </w:p>
        </w:tc>
        <w:tc>
          <w:tcPr>
            <w:tcW w:w="707" w:type="pct"/>
            <w:shd w:val="clear" w:color="auto" w:fill="auto"/>
            <w:vAlign w:val="center"/>
          </w:tcPr>
          <w:p w14:paraId="56FFF25C">
            <w:pPr>
              <w:adjustRightInd w:val="0"/>
              <w:spacing w:line="240" w:lineRule="auto"/>
              <w:jc w:val="center"/>
              <w:rPr>
                <w:rFonts w:ascii="仿宋_GB2312"/>
                <w:sz w:val="21"/>
                <w:szCs w:val="21"/>
              </w:rPr>
            </w:pPr>
            <w:r>
              <w:rPr>
                <w:rFonts w:hint="eastAsia" w:ascii="仿宋_GB2312"/>
                <w:sz w:val="21"/>
                <w:szCs w:val="21"/>
              </w:rPr>
              <w:t>＜0.0176</w:t>
            </w:r>
          </w:p>
        </w:tc>
        <w:tc>
          <w:tcPr>
            <w:tcW w:w="670" w:type="pct"/>
            <w:vAlign w:val="center"/>
          </w:tcPr>
          <w:p w14:paraId="5BF4F5BF">
            <w:pPr>
              <w:adjustRightInd w:val="0"/>
              <w:spacing w:line="240" w:lineRule="auto"/>
              <w:jc w:val="center"/>
              <w:rPr>
                <w:rFonts w:ascii="仿宋_GB2312"/>
                <w:sz w:val="21"/>
                <w:szCs w:val="21"/>
              </w:rPr>
            </w:pPr>
          </w:p>
        </w:tc>
        <w:tc>
          <w:tcPr>
            <w:tcW w:w="475" w:type="pct"/>
            <w:shd w:val="clear" w:color="auto" w:fill="auto"/>
            <w:vAlign w:val="center"/>
          </w:tcPr>
          <w:p w14:paraId="28D8FB9B">
            <w:pPr>
              <w:adjustRightInd w:val="0"/>
              <w:spacing w:line="240" w:lineRule="auto"/>
              <w:jc w:val="center"/>
              <w:rPr>
                <w:rFonts w:ascii="仿宋_GB2312"/>
                <w:sz w:val="21"/>
                <w:szCs w:val="21"/>
              </w:rPr>
            </w:pPr>
            <w:r>
              <w:rPr>
                <w:rFonts w:hint="eastAsia" w:ascii="仿宋_GB2312"/>
                <w:sz w:val="21"/>
                <w:szCs w:val="21"/>
              </w:rPr>
              <w:t>约束性</w:t>
            </w:r>
          </w:p>
        </w:tc>
      </w:tr>
      <w:tr w14:paraId="468F37A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657BE514">
            <w:pPr>
              <w:adjustRightInd w:val="0"/>
              <w:spacing w:line="240" w:lineRule="auto"/>
              <w:jc w:val="center"/>
              <w:rPr>
                <w:rFonts w:ascii="仿宋_GB2312"/>
                <w:sz w:val="21"/>
                <w:szCs w:val="21"/>
              </w:rPr>
            </w:pPr>
          </w:p>
        </w:tc>
        <w:tc>
          <w:tcPr>
            <w:tcW w:w="291" w:type="pct"/>
            <w:shd w:val="clear" w:color="auto" w:fill="auto"/>
            <w:vAlign w:val="center"/>
          </w:tcPr>
          <w:p w14:paraId="1AA2B2BE">
            <w:pPr>
              <w:adjustRightInd w:val="0"/>
              <w:spacing w:line="240" w:lineRule="auto"/>
              <w:jc w:val="center"/>
              <w:rPr>
                <w:rFonts w:ascii="仿宋_GB2312"/>
                <w:sz w:val="21"/>
                <w:szCs w:val="21"/>
              </w:rPr>
            </w:pPr>
            <w:r>
              <w:rPr>
                <w:rFonts w:hint="eastAsia" w:ascii="仿宋_GB2312"/>
                <w:sz w:val="21"/>
                <w:szCs w:val="21"/>
              </w:rPr>
              <w:t>38</w:t>
            </w:r>
          </w:p>
        </w:tc>
        <w:tc>
          <w:tcPr>
            <w:tcW w:w="1440" w:type="pct"/>
            <w:shd w:val="clear" w:color="auto" w:fill="auto"/>
            <w:vAlign w:val="center"/>
          </w:tcPr>
          <w:p w14:paraId="359A2A38">
            <w:pPr>
              <w:adjustRightInd w:val="0"/>
              <w:spacing w:line="240" w:lineRule="auto"/>
              <w:rPr>
                <w:rFonts w:ascii="仿宋_GB2312"/>
                <w:sz w:val="21"/>
                <w:szCs w:val="21"/>
              </w:rPr>
            </w:pPr>
            <w:r>
              <w:rPr>
                <w:rFonts w:hint="eastAsia" w:ascii="仿宋_GB2312"/>
                <w:sz w:val="21"/>
                <w:szCs w:val="21"/>
              </w:rPr>
              <w:t>煤炭石油天然气储存能力</w:t>
            </w:r>
          </w:p>
        </w:tc>
        <w:tc>
          <w:tcPr>
            <w:tcW w:w="537" w:type="pct"/>
            <w:shd w:val="clear" w:color="auto" w:fill="auto"/>
            <w:vAlign w:val="center"/>
          </w:tcPr>
          <w:p w14:paraId="6F02715A">
            <w:pPr>
              <w:adjustRightInd w:val="0"/>
              <w:spacing w:line="240" w:lineRule="auto"/>
              <w:jc w:val="center"/>
              <w:rPr>
                <w:rFonts w:ascii="仿宋_GB2312"/>
                <w:sz w:val="21"/>
                <w:szCs w:val="21"/>
              </w:rPr>
            </w:pPr>
            <w:r>
              <w:rPr>
                <w:rFonts w:hint="eastAsia" w:ascii="仿宋_GB2312"/>
                <w:sz w:val="21"/>
                <w:szCs w:val="21"/>
              </w:rPr>
              <w:t>万吨标煤</w:t>
            </w:r>
          </w:p>
        </w:tc>
        <w:tc>
          <w:tcPr>
            <w:tcW w:w="424" w:type="pct"/>
            <w:shd w:val="clear" w:color="auto" w:fill="auto"/>
            <w:vAlign w:val="center"/>
          </w:tcPr>
          <w:p w14:paraId="0AA6ECAB">
            <w:pPr>
              <w:adjustRightInd w:val="0"/>
              <w:spacing w:line="240" w:lineRule="auto"/>
              <w:jc w:val="center"/>
              <w:rPr>
                <w:rFonts w:ascii="仿宋_GB2312"/>
                <w:sz w:val="21"/>
                <w:szCs w:val="21"/>
              </w:rPr>
            </w:pPr>
            <w:r>
              <w:rPr>
                <w:rFonts w:hint="eastAsia" w:ascii="仿宋_GB2312"/>
                <w:sz w:val="21"/>
                <w:szCs w:val="21"/>
              </w:rPr>
              <w:t>-</w:t>
            </w:r>
          </w:p>
        </w:tc>
        <w:tc>
          <w:tcPr>
            <w:tcW w:w="707" w:type="pct"/>
            <w:shd w:val="clear" w:color="auto" w:fill="auto"/>
            <w:vAlign w:val="center"/>
          </w:tcPr>
          <w:p w14:paraId="64B0FFC2">
            <w:pPr>
              <w:adjustRightInd w:val="0"/>
              <w:spacing w:line="240" w:lineRule="auto"/>
              <w:jc w:val="center"/>
              <w:rPr>
                <w:rFonts w:ascii="仿宋_GB2312"/>
                <w:spacing w:val="-6"/>
                <w:sz w:val="21"/>
                <w:szCs w:val="21"/>
              </w:rPr>
            </w:pPr>
            <w:r>
              <w:rPr>
                <w:rFonts w:hint="eastAsia" w:ascii="仿宋_GB2312"/>
                <w:snapToGrid w:val="0"/>
                <w:spacing w:val="-6"/>
                <w:sz w:val="21"/>
                <w:szCs w:val="21"/>
              </w:rPr>
              <w:t>按上级下达任务</w:t>
            </w:r>
          </w:p>
        </w:tc>
        <w:tc>
          <w:tcPr>
            <w:tcW w:w="670" w:type="pct"/>
            <w:vAlign w:val="center"/>
          </w:tcPr>
          <w:p w14:paraId="4C93050D">
            <w:pPr>
              <w:adjustRightInd w:val="0"/>
              <w:spacing w:line="240" w:lineRule="auto"/>
              <w:jc w:val="center"/>
              <w:rPr>
                <w:rFonts w:ascii="仿宋_GB2312"/>
                <w:sz w:val="21"/>
                <w:szCs w:val="21"/>
              </w:rPr>
            </w:pPr>
          </w:p>
        </w:tc>
        <w:tc>
          <w:tcPr>
            <w:tcW w:w="475" w:type="pct"/>
            <w:shd w:val="clear" w:color="auto" w:fill="auto"/>
            <w:vAlign w:val="center"/>
          </w:tcPr>
          <w:p w14:paraId="13193794">
            <w:pPr>
              <w:adjustRightInd w:val="0"/>
              <w:spacing w:line="240" w:lineRule="auto"/>
              <w:jc w:val="center"/>
              <w:rPr>
                <w:rFonts w:ascii="仿宋_GB2312"/>
                <w:sz w:val="21"/>
                <w:szCs w:val="21"/>
              </w:rPr>
            </w:pPr>
            <w:r>
              <w:rPr>
                <w:rFonts w:hint="eastAsia" w:ascii="仿宋_GB2312"/>
                <w:sz w:val="21"/>
                <w:szCs w:val="21"/>
              </w:rPr>
              <w:t>预期性</w:t>
            </w:r>
          </w:p>
        </w:tc>
      </w:tr>
      <w:tr w14:paraId="5D91D1B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 w:type="pct"/>
            <w:vMerge w:val="continue"/>
            <w:shd w:val="clear" w:color="auto" w:fill="auto"/>
            <w:vAlign w:val="center"/>
          </w:tcPr>
          <w:p w14:paraId="52108F06">
            <w:pPr>
              <w:adjustRightInd w:val="0"/>
              <w:spacing w:line="240" w:lineRule="auto"/>
              <w:jc w:val="center"/>
              <w:rPr>
                <w:rFonts w:ascii="仿宋_GB2312"/>
                <w:sz w:val="21"/>
                <w:szCs w:val="21"/>
              </w:rPr>
            </w:pPr>
          </w:p>
        </w:tc>
        <w:tc>
          <w:tcPr>
            <w:tcW w:w="291" w:type="pct"/>
            <w:shd w:val="clear" w:color="auto" w:fill="auto"/>
            <w:vAlign w:val="center"/>
          </w:tcPr>
          <w:p w14:paraId="19E68DF1">
            <w:pPr>
              <w:adjustRightInd w:val="0"/>
              <w:spacing w:line="240" w:lineRule="auto"/>
              <w:jc w:val="center"/>
              <w:rPr>
                <w:rFonts w:ascii="仿宋_GB2312"/>
                <w:sz w:val="21"/>
                <w:szCs w:val="21"/>
              </w:rPr>
            </w:pPr>
            <w:r>
              <w:rPr>
                <w:rFonts w:hint="eastAsia" w:ascii="仿宋_GB2312"/>
                <w:sz w:val="21"/>
                <w:szCs w:val="21"/>
              </w:rPr>
              <w:t>39</w:t>
            </w:r>
          </w:p>
        </w:tc>
        <w:tc>
          <w:tcPr>
            <w:tcW w:w="1440" w:type="pct"/>
            <w:shd w:val="clear" w:color="auto" w:fill="auto"/>
            <w:vAlign w:val="center"/>
          </w:tcPr>
          <w:p w14:paraId="71B49685">
            <w:pPr>
              <w:adjustRightInd w:val="0"/>
              <w:spacing w:line="240" w:lineRule="auto"/>
              <w:rPr>
                <w:rFonts w:ascii="仿宋_GB2312"/>
                <w:sz w:val="21"/>
                <w:szCs w:val="21"/>
              </w:rPr>
            </w:pPr>
            <w:r>
              <w:rPr>
                <w:rFonts w:hint="eastAsia" w:ascii="仿宋_GB2312"/>
                <w:sz w:val="21"/>
                <w:szCs w:val="21"/>
              </w:rPr>
              <w:t>粮食综合生产能力</w:t>
            </w:r>
          </w:p>
        </w:tc>
        <w:tc>
          <w:tcPr>
            <w:tcW w:w="537" w:type="pct"/>
            <w:shd w:val="clear" w:color="auto" w:fill="auto"/>
            <w:vAlign w:val="center"/>
          </w:tcPr>
          <w:p w14:paraId="61C062B1">
            <w:pPr>
              <w:adjustRightInd w:val="0"/>
              <w:spacing w:line="240" w:lineRule="auto"/>
              <w:jc w:val="center"/>
              <w:rPr>
                <w:rFonts w:ascii="仿宋_GB2312"/>
                <w:sz w:val="21"/>
                <w:szCs w:val="21"/>
              </w:rPr>
            </w:pPr>
            <w:r>
              <w:rPr>
                <w:rFonts w:hint="eastAsia" w:ascii="仿宋_GB2312"/>
                <w:sz w:val="21"/>
                <w:szCs w:val="21"/>
              </w:rPr>
              <w:t>亿斤</w:t>
            </w:r>
          </w:p>
        </w:tc>
        <w:tc>
          <w:tcPr>
            <w:tcW w:w="424" w:type="pct"/>
            <w:shd w:val="clear" w:color="auto" w:fill="auto"/>
            <w:vAlign w:val="center"/>
          </w:tcPr>
          <w:p w14:paraId="5DD2EA5A">
            <w:pPr>
              <w:adjustRightInd w:val="0"/>
              <w:spacing w:line="240" w:lineRule="auto"/>
              <w:jc w:val="center"/>
              <w:rPr>
                <w:rFonts w:ascii="仿宋_GB2312"/>
                <w:sz w:val="21"/>
                <w:szCs w:val="21"/>
              </w:rPr>
            </w:pPr>
            <w:r>
              <w:rPr>
                <w:rFonts w:hint="eastAsia" w:ascii="仿宋_GB2312"/>
                <w:sz w:val="21"/>
                <w:szCs w:val="21"/>
              </w:rPr>
              <w:t>7</w:t>
            </w:r>
          </w:p>
        </w:tc>
        <w:tc>
          <w:tcPr>
            <w:tcW w:w="707" w:type="pct"/>
            <w:shd w:val="clear" w:color="auto" w:fill="auto"/>
            <w:vAlign w:val="center"/>
          </w:tcPr>
          <w:p w14:paraId="2188D062">
            <w:pPr>
              <w:adjustRightInd w:val="0"/>
              <w:spacing w:line="240" w:lineRule="auto"/>
              <w:jc w:val="center"/>
              <w:rPr>
                <w:rFonts w:ascii="仿宋_GB2312"/>
                <w:sz w:val="21"/>
                <w:szCs w:val="21"/>
              </w:rPr>
            </w:pPr>
            <w:r>
              <w:rPr>
                <w:rFonts w:hint="eastAsia" w:ascii="仿宋_GB2312"/>
                <w:sz w:val="21"/>
                <w:szCs w:val="21"/>
              </w:rPr>
              <w:t>7</w:t>
            </w:r>
          </w:p>
        </w:tc>
        <w:tc>
          <w:tcPr>
            <w:tcW w:w="670" w:type="pct"/>
            <w:vAlign w:val="center"/>
          </w:tcPr>
          <w:p w14:paraId="3C58D2F5">
            <w:pPr>
              <w:adjustRightInd w:val="0"/>
              <w:spacing w:line="240" w:lineRule="auto"/>
              <w:jc w:val="center"/>
              <w:rPr>
                <w:rFonts w:ascii="仿宋_GB2312"/>
                <w:sz w:val="21"/>
                <w:szCs w:val="21"/>
              </w:rPr>
            </w:pPr>
          </w:p>
        </w:tc>
        <w:tc>
          <w:tcPr>
            <w:tcW w:w="475" w:type="pct"/>
            <w:shd w:val="clear" w:color="auto" w:fill="auto"/>
            <w:vAlign w:val="center"/>
          </w:tcPr>
          <w:p w14:paraId="01CE6CC6">
            <w:pPr>
              <w:adjustRightInd w:val="0"/>
              <w:spacing w:line="240" w:lineRule="auto"/>
              <w:jc w:val="center"/>
              <w:rPr>
                <w:rFonts w:ascii="仿宋_GB2312"/>
                <w:sz w:val="21"/>
                <w:szCs w:val="21"/>
              </w:rPr>
            </w:pPr>
            <w:r>
              <w:rPr>
                <w:rFonts w:hint="eastAsia" w:ascii="仿宋_GB2312"/>
                <w:sz w:val="21"/>
                <w:szCs w:val="21"/>
              </w:rPr>
              <w:t>约束性</w:t>
            </w:r>
          </w:p>
        </w:tc>
      </w:tr>
    </w:tbl>
    <w:p w14:paraId="1F0BC3CF">
      <w:pPr>
        <w:adjustRightInd w:val="0"/>
        <w:spacing w:before="126" w:beforeLines="20" w:line="240" w:lineRule="auto"/>
        <w:rPr>
          <w:rFonts w:ascii="仿宋_GB2312"/>
          <w:sz w:val="21"/>
          <w:szCs w:val="21"/>
        </w:rPr>
      </w:pPr>
      <w:r>
        <w:rPr>
          <w:rFonts w:ascii="仿宋_GB2312"/>
          <w:sz w:val="21"/>
          <w:szCs w:val="21"/>
        </w:rPr>
        <w:t>注：标*为预计数，标[]的指五年累计数，涉及增加值的增速为可比价，总量为现价。</w:t>
      </w:r>
    </w:p>
    <w:p w14:paraId="3298B24E">
      <w:pPr>
        <w:pStyle w:val="2"/>
        <w:spacing w:before="0" w:after="0" w:line="560" w:lineRule="exact"/>
        <w:ind w:firstLine="640" w:firstLineChars="200"/>
        <w:rPr>
          <w:rFonts w:ascii="Times New Roman" w:hAnsi="Times New Roman" w:eastAsia="黑体" w:cs="Times New Roman"/>
          <w:b w:val="0"/>
          <w:sz w:val="32"/>
        </w:rPr>
        <w:sectPr>
          <w:pgSz w:w="16838" w:h="11906" w:orient="landscape"/>
          <w:pgMar w:top="1531" w:right="2098" w:bottom="1531" w:left="2098" w:header="851" w:footer="1304" w:gutter="0"/>
          <w:cols w:space="720" w:num="1"/>
          <w:docGrid w:type="lines" w:linePitch="632" w:charSpace="-1065"/>
        </w:sectPr>
      </w:pPr>
      <w:bookmarkStart w:id="13" w:name="_Toc65844504"/>
    </w:p>
    <w:p w14:paraId="554CAFB5">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14" w:name="_Toc67664566"/>
      <w:r>
        <w:rPr>
          <w:rFonts w:hint="eastAsia" w:ascii="黑体" w:hAnsi="黑体" w:eastAsia="黑体"/>
          <w:b w:val="0"/>
          <w:snapToGrid w:val="0"/>
          <w:sz w:val="32"/>
          <w:szCs w:val="32"/>
        </w:rPr>
        <w:t>二、深入推进数字经济“一号工程”，加快形成以绿色智造为特色的现代产业体系，打造长三角产业发展新高地</w:t>
      </w:r>
      <w:bookmarkEnd w:id="13"/>
      <w:bookmarkEnd w:id="14"/>
    </w:p>
    <w:p w14:paraId="70DDD62F">
      <w:pPr>
        <w:overflowPunct w:val="0"/>
        <w:adjustRightInd w:val="0"/>
        <w:spacing w:line="324" w:lineRule="auto"/>
        <w:ind w:firstLine="630" w:firstLineChars="200"/>
        <w:rPr>
          <w:rFonts w:ascii="仿宋_GB2312"/>
          <w:snapToGrid w:val="0"/>
        </w:rPr>
      </w:pPr>
      <w:r>
        <w:rPr>
          <w:rFonts w:hint="eastAsia" w:ascii="仿宋_GB2312"/>
          <w:snapToGrid w:val="0"/>
        </w:rPr>
        <w:t>十九届五中全会强调，要坚持把发展经济的着力点放在实体经济上，推进产业基础高级化和产业链现代化，提高经济质量效益和核心竞争力。我县工业基础好、发展势头好，服务业发展也已渐成体系，“十四五”时期要继续坚持把振兴实体经济放在突出位置，进一步强化产业发展的链式思维、融合思路，内外联动、优势互补，夯实基础、布局未来，推进全省数字经济创新发展试验区建设，加快形成彰显绿色智造特色的现代产业体系，打造长三角产业发展新高地。</w:t>
      </w:r>
    </w:p>
    <w:p w14:paraId="6ACAA5C9">
      <w:pPr>
        <w:pStyle w:val="3"/>
        <w:adjustRightInd w:val="0"/>
        <w:snapToGrid w:val="0"/>
        <w:spacing w:before="0" w:after="0" w:line="324" w:lineRule="auto"/>
        <w:ind w:firstLine="630" w:firstLineChars="200"/>
        <w:rPr>
          <w:rFonts w:ascii="楷体_GB2312" w:eastAsia="楷体_GB2312"/>
          <w:snapToGrid w:val="0"/>
        </w:rPr>
      </w:pPr>
      <w:bookmarkStart w:id="15" w:name="_Toc65844505"/>
      <w:bookmarkStart w:id="16" w:name="_Toc67664567"/>
      <w:r>
        <w:rPr>
          <w:rFonts w:hint="eastAsia" w:ascii="楷体_GB2312" w:eastAsia="楷体_GB2312"/>
          <w:snapToGrid w:val="0"/>
        </w:rPr>
        <w:t>（一）建设全国一流工业强县</w:t>
      </w:r>
      <w:bookmarkEnd w:id="15"/>
      <w:r>
        <w:rPr>
          <w:rFonts w:hint="eastAsia" w:ascii="楷体_GB2312" w:eastAsia="楷体_GB2312"/>
          <w:snapToGrid w:val="0"/>
        </w:rPr>
        <w:t>。</w:t>
      </w:r>
      <w:bookmarkEnd w:id="16"/>
    </w:p>
    <w:p w14:paraId="72C16371">
      <w:pPr>
        <w:overflowPunct w:val="0"/>
        <w:adjustRightInd w:val="0"/>
        <w:spacing w:line="324" w:lineRule="auto"/>
        <w:ind w:firstLine="630" w:firstLineChars="200"/>
        <w:rPr>
          <w:rFonts w:ascii="仿宋_GB2312"/>
          <w:snapToGrid w:val="0"/>
        </w:rPr>
      </w:pPr>
      <w:r>
        <w:rPr>
          <w:rFonts w:hint="eastAsia" w:ascii="仿宋_GB2312"/>
          <w:snapToGrid w:val="0"/>
        </w:rPr>
        <w:t>1.全力打造智能汽车标志性产业链。深入实施智能汽车产业链“链长制”，把握汽车产业电动化、网联化、智能化发展潮流和趋势，依托已落地的整车、变速器、生态数据产业园、智能汽车研究院等系列标志性项目，加大建链、强链、补链、延链力度，推动产业集群化精细化发展，加快打造涵盖“整车及关键零部件研发验证制造、汽车大数据服务、汽车后市场服务”于一体的智能汽车标志性产业链，支持龙头企业牵头推进整车集成技术创新，成为具有全国影响力的产业创新中心和全省智能汽车产业基地。到2025年，全县整车生产能力超过20万辆，智能汽车及关键零部件产业产值达到500亿元。</w:t>
      </w:r>
    </w:p>
    <w:p w14:paraId="2AA97390">
      <w:pPr>
        <w:overflowPunct w:val="0"/>
        <w:adjustRightInd w:val="0"/>
        <w:spacing w:line="324" w:lineRule="auto"/>
        <w:ind w:firstLine="630" w:firstLineChars="200"/>
        <w:rPr>
          <w:rFonts w:ascii="仿宋_GB2312"/>
          <w:snapToGrid w:val="0"/>
        </w:rPr>
      </w:pPr>
      <w:r>
        <w:rPr>
          <w:rFonts w:hint="eastAsia" w:ascii="仿宋_GB2312"/>
          <w:snapToGrid w:val="0"/>
        </w:rPr>
        <w:t>2.培育发展四大战略性新兴产业。创新发展新能源产业，重点推进动力电池迭代升级，谋划布局氢能、储能、智慧能源，加快发展绿色电池回收再利用产业，构建闭环新能源产业链，打造中国新能源产业城、国家先进制造业产业集群，到2025年全县新能源产业产值达到300亿元。特色发展智能装备产业，集聚打造仓储物流设备、新能源及储能装备、数控加工设备、矿山机械、自动化专用设备等特色门类，抢占先机加快培育氢能装备制造业，打造长三角氢能装备制造高地，鼓励发展“装备+服务”新模式，推动“装备制造”走向“装备智造”，到2025年全县智能装备产业产值达到200亿元。大力培育数字产业，重点打造集半导体、新型元器件、专用芯片于一体的泛半导体产业链，加快布局车联网、工业互联网、能源互联网等智能物联产业，积极培育大数据、云计算、工业互联网及工业软件产业，积极构建数字产业领域“新星”产业群，到2025年全县数字产业产值达到50亿元。前瞻谋划生物医药产业，培育一批生物技术药、先进医用材料、高性能医疗器械、化学创新药、数字健康新业态等重点企业，力争在细分领域创新产品上实现突破，到2025年全县生物医药产业产值达到50亿元。</w:t>
      </w:r>
    </w:p>
    <w:p w14:paraId="520A4B96">
      <w:pPr>
        <w:overflowPunct w:val="0"/>
        <w:adjustRightInd w:val="0"/>
        <w:spacing w:line="324" w:lineRule="auto"/>
        <w:ind w:firstLine="630" w:firstLineChars="200"/>
        <w:rPr>
          <w:rFonts w:ascii="仿宋_GB2312"/>
          <w:snapToGrid w:val="0"/>
        </w:rPr>
      </w:pPr>
      <w:r>
        <w:rPr>
          <w:rFonts w:hint="eastAsia" w:ascii="仿宋_GB2312"/>
          <w:snapToGrid w:val="0"/>
        </w:rPr>
        <w:t>3.提档升级两大传统优势产业。实施新一轮传统产业改造提升行动，推进数字化、集群化、服务化，率先在全省打造传统制造业改造提升2.0版的示范样本。巩固提升纺织产业链，加快产品高端化、特种化、多样化，大力发展终端型品牌型产品，开展基于互联网的协同设计、个性化定制、共享制造等新模式创新，打造全省行业数字化技术改造标杆，到2025年全县现代纺织产业产值达到450亿元，直接面向消费者的终端纺织制品占纺织业的比重提高到20%。完善构建绿色、环保、节能、安全的现代化非金属矿物制品制造业，加快产业结构优化和产品“专精特新”升级，分类推进企业自动化、智能化改造，全面提升企业工艺、管理水平，到2025年全县非金属矿物制品产业产值达到250亿元。</w:t>
      </w:r>
    </w:p>
    <w:p w14:paraId="24A87B9B">
      <w:pPr>
        <w:overflowPunct w:val="0"/>
        <w:adjustRightInd w:val="0"/>
        <w:spacing w:line="324" w:lineRule="auto"/>
        <w:jc w:val="center"/>
        <w:rPr>
          <w:rFonts w:ascii="仿宋_GB2312"/>
          <w:snapToGrid w:val="0"/>
        </w:rPr>
      </w:pPr>
      <w:r>
        <w:rPr>
          <w:rFonts w:hint="eastAsia" w:ascii="仿宋_GB2312"/>
          <w:snapToGrid w:val="0"/>
        </w:rPr>
        <w:t>专栏：“1+4+2”制造业现代产业体系</w:t>
      </w:r>
    </w:p>
    <w:tbl>
      <w:tblPr>
        <w:tblStyle w:val="15"/>
        <w:tblW w:w="4875" w:type="pct"/>
        <w:tblInd w:w="13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14:paraId="63632B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383698DD">
            <w:pPr>
              <w:overflowPunct w:val="0"/>
              <w:adjustRightInd w:val="0"/>
              <w:spacing w:line="348" w:lineRule="auto"/>
              <w:ind w:firstLine="410" w:firstLineChars="200"/>
              <w:rPr>
                <w:rFonts w:ascii="仿宋_GB2312"/>
                <w:snapToGrid w:val="0"/>
                <w:sz w:val="21"/>
                <w:szCs w:val="21"/>
              </w:rPr>
            </w:pPr>
            <w:r>
              <w:rPr>
                <w:rFonts w:hint="eastAsia" w:ascii="仿宋_GB2312"/>
                <w:snapToGrid w:val="0"/>
                <w:sz w:val="21"/>
                <w:szCs w:val="21"/>
              </w:rPr>
              <w:t>保持制造业比重稳中有升，实施制造业产业基础再造和产业链提升行动，强化数字赋能，深化绿色转型，超前布局未来产业，加快打造“1+4+2”制造业体系。</w:t>
            </w:r>
          </w:p>
          <w:p w14:paraId="6FC4F88B">
            <w:pPr>
              <w:overflowPunct w:val="0"/>
              <w:adjustRightInd w:val="0"/>
              <w:spacing w:line="348" w:lineRule="auto"/>
              <w:ind w:firstLine="410" w:firstLineChars="200"/>
              <w:rPr>
                <w:rFonts w:ascii="楷体_GB2312" w:eastAsia="楷体_GB2312"/>
                <w:b/>
                <w:snapToGrid w:val="0"/>
                <w:sz w:val="21"/>
                <w:szCs w:val="21"/>
              </w:rPr>
            </w:pPr>
            <w:r>
              <w:rPr>
                <w:rFonts w:hint="eastAsia" w:ascii="楷体_GB2312" w:eastAsia="楷体_GB2312"/>
                <w:b/>
                <w:snapToGrid w:val="0"/>
                <w:sz w:val="21"/>
                <w:szCs w:val="21"/>
              </w:rPr>
              <w:t>“1”—一个标志性产业链</w:t>
            </w:r>
          </w:p>
          <w:p w14:paraId="05F85C45">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以智能汽车为核心的标志性产业链：</w:t>
            </w:r>
            <w:r>
              <w:rPr>
                <w:rFonts w:hint="eastAsia" w:ascii="仿宋_GB2312"/>
                <w:snapToGrid w:val="0"/>
                <w:sz w:val="21"/>
                <w:szCs w:val="21"/>
              </w:rPr>
              <w:t>重点发展汽车总成、核心部件轻量化、动力电池和电池管理系统、智能驱动，车载智能通信终端、智能驾驶辅助系统、激光雷达系统、汽车热管理系统，智慧出行、无人驾驶、智能维保等车联网云服务。</w:t>
            </w:r>
          </w:p>
          <w:p w14:paraId="040C3AEB">
            <w:pPr>
              <w:overflowPunct w:val="0"/>
              <w:adjustRightInd w:val="0"/>
              <w:spacing w:line="348" w:lineRule="auto"/>
              <w:ind w:firstLine="410" w:firstLineChars="200"/>
              <w:rPr>
                <w:rFonts w:ascii="楷体_GB2312" w:eastAsia="楷体_GB2312"/>
                <w:b/>
                <w:snapToGrid w:val="0"/>
                <w:sz w:val="21"/>
                <w:szCs w:val="21"/>
              </w:rPr>
            </w:pPr>
            <w:r>
              <w:rPr>
                <w:rFonts w:hint="eastAsia" w:ascii="楷体_GB2312" w:eastAsia="楷体_GB2312"/>
                <w:b/>
                <w:snapToGrid w:val="0"/>
                <w:sz w:val="21"/>
                <w:szCs w:val="21"/>
              </w:rPr>
              <w:t>“4”—四大战略新兴产业（未来产业）</w:t>
            </w:r>
          </w:p>
          <w:p w14:paraId="32910486">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新能源：</w:t>
            </w:r>
            <w:r>
              <w:rPr>
                <w:rFonts w:hint="eastAsia" w:ascii="仿宋_GB2312"/>
                <w:snapToGrid w:val="0"/>
                <w:sz w:val="21"/>
                <w:szCs w:val="21"/>
              </w:rPr>
              <w:t>巩固铅酸电池产业基础，提升储能、启停等专业领域市场份额，加快钠盐电池、锌镍电池、燃料电池等产业化步伐，积极开展锌溴液流电池等前沿电池研发，发展风-储、光-储一体化能源系统，大力发展氢能产业，谋划布局核能装备。</w:t>
            </w:r>
          </w:p>
          <w:p w14:paraId="35B74649">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智能装备：</w:t>
            </w:r>
            <w:r>
              <w:rPr>
                <w:rFonts w:hint="eastAsia" w:ascii="仿宋_GB2312"/>
                <w:snapToGrid w:val="0"/>
                <w:sz w:val="21"/>
                <w:szCs w:val="21"/>
              </w:rPr>
              <w:t>重点发展智能物流装备、矿山装备、电池装备、注塑装备、纺织装备，智能工厂，培育发展工业机器人、数控机床、氢能装备等产业。</w:t>
            </w:r>
          </w:p>
          <w:p w14:paraId="72BF3543">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数字产业：</w:t>
            </w:r>
            <w:r>
              <w:rPr>
                <w:rFonts w:hint="eastAsia" w:ascii="仿宋_GB2312"/>
                <w:snapToGrid w:val="0"/>
                <w:sz w:val="21"/>
                <w:szCs w:val="21"/>
              </w:rPr>
              <w:t>发展集成电路、半导体、高端电子元器件，工业互联网、物联网等相关产业。</w:t>
            </w:r>
          </w:p>
          <w:p w14:paraId="163956A5">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生物医药：</w:t>
            </w:r>
            <w:r>
              <w:rPr>
                <w:rFonts w:hint="eastAsia" w:ascii="仿宋_GB2312"/>
                <w:snapToGrid w:val="0"/>
                <w:sz w:val="21"/>
                <w:szCs w:val="21"/>
              </w:rPr>
              <w:t>发展生物技术药、化学创新药、现代中药、先进医用材料、高端医疗器械等。</w:t>
            </w:r>
          </w:p>
          <w:p w14:paraId="6FDBB201">
            <w:pPr>
              <w:overflowPunct w:val="0"/>
              <w:adjustRightInd w:val="0"/>
              <w:spacing w:line="348" w:lineRule="auto"/>
              <w:ind w:firstLine="410" w:firstLineChars="200"/>
              <w:rPr>
                <w:rFonts w:ascii="楷体_GB2312" w:eastAsia="楷体_GB2312"/>
                <w:b/>
                <w:snapToGrid w:val="0"/>
                <w:sz w:val="21"/>
                <w:szCs w:val="21"/>
              </w:rPr>
            </w:pPr>
            <w:r>
              <w:rPr>
                <w:rFonts w:hint="eastAsia" w:ascii="楷体_GB2312" w:eastAsia="楷体_GB2312"/>
                <w:b/>
                <w:snapToGrid w:val="0"/>
                <w:sz w:val="21"/>
                <w:szCs w:val="21"/>
              </w:rPr>
              <w:t>“2”—两大传统优势产业</w:t>
            </w:r>
          </w:p>
          <w:p w14:paraId="7E63FB6B">
            <w:pPr>
              <w:overflowPunct w:val="0"/>
              <w:adjustRightInd w:val="0"/>
              <w:spacing w:line="348" w:lineRule="auto"/>
              <w:ind w:firstLine="410" w:firstLineChars="200"/>
              <w:rPr>
                <w:rFonts w:ascii="仿宋_GB2312"/>
                <w:snapToGrid w:val="0"/>
                <w:sz w:val="21"/>
                <w:szCs w:val="21"/>
              </w:rPr>
            </w:pPr>
            <w:r>
              <w:rPr>
                <w:rFonts w:hint="eastAsia" w:ascii="仿宋_GB2312"/>
                <w:b/>
                <w:snapToGrid w:val="0"/>
                <w:sz w:val="21"/>
                <w:szCs w:val="21"/>
              </w:rPr>
              <w:t>现代纺织：</w:t>
            </w:r>
            <w:r>
              <w:rPr>
                <w:rFonts w:hint="eastAsia" w:ascii="仿宋_GB2312"/>
                <w:snapToGrid w:val="0"/>
                <w:sz w:val="21"/>
                <w:szCs w:val="21"/>
              </w:rPr>
              <w:t>加大产品升级力度，大力发展附加值高、科技含量高、功能性产品；加快工艺升级步伐，实施智能化、节能化、绿色化技术改造。</w:t>
            </w:r>
          </w:p>
          <w:p w14:paraId="3B52BFCF">
            <w:pPr>
              <w:overflowPunct w:val="0"/>
              <w:adjustRightInd w:val="0"/>
              <w:spacing w:line="348" w:lineRule="auto"/>
              <w:ind w:firstLine="410" w:firstLineChars="200"/>
              <w:rPr>
                <w:bCs/>
                <w:sz w:val="21"/>
                <w:szCs w:val="21"/>
              </w:rPr>
            </w:pPr>
            <w:r>
              <w:rPr>
                <w:rFonts w:hint="eastAsia" w:ascii="仿宋_GB2312"/>
                <w:b/>
                <w:snapToGrid w:val="0"/>
                <w:sz w:val="21"/>
                <w:szCs w:val="21"/>
              </w:rPr>
              <w:t>非金属矿物制品业：</w:t>
            </w:r>
            <w:r>
              <w:rPr>
                <w:rFonts w:hint="eastAsia" w:ascii="仿宋_GB2312"/>
                <w:snapToGrid w:val="0"/>
                <w:sz w:val="21"/>
                <w:szCs w:val="21"/>
              </w:rPr>
              <w:t>推进水泥、耐火材料、玻璃等行业实施智能化、节能化、绿色化改造，降低资源、能源消耗，提高产出水平，鼓励实施产品技术创新，发展尖端前沿材料。</w:t>
            </w:r>
          </w:p>
        </w:tc>
      </w:tr>
    </w:tbl>
    <w:p w14:paraId="21E0E4A8">
      <w:pPr>
        <w:overflowPunct w:val="0"/>
        <w:adjustRightInd w:val="0"/>
        <w:spacing w:line="317" w:lineRule="auto"/>
        <w:ind w:firstLine="630" w:firstLineChars="200"/>
        <w:rPr>
          <w:rFonts w:ascii="楷体_GB2312" w:eastAsia="楷体_GB2312"/>
          <w:b/>
          <w:snapToGrid w:val="0"/>
          <w:szCs w:val="32"/>
        </w:rPr>
      </w:pPr>
      <w:bookmarkStart w:id="17" w:name="_Toc65844506"/>
    </w:p>
    <w:p w14:paraId="7D30E0C5">
      <w:pPr>
        <w:pStyle w:val="3"/>
        <w:adjustRightInd w:val="0"/>
        <w:snapToGrid w:val="0"/>
        <w:spacing w:before="0" w:after="0" w:line="324" w:lineRule="auto"/>
        <w:ind w:firstLine="630" w:firstLineChars="200"/>
        <w:rPr>
          <w:rFonts w:ascii="楷体_GB2312" w:eastAsia="楷体_GB2312"/>
          <w:snapToGrid w:val="0"/>
        </w:rPr>
      </w:pPr>
      <w:bookmarkStart w:id="18" w:name="_Toc67664568"/>
      <w:r>
        <w:rPr>
          <w:rFonts w:hint="eastAsia" w:ascii="楷体_GB2312" w:eastAsia="楷体_GB2312"/>
          <w:snapToGrid w:val="0"/>
        </w:rPr>
        <w:t>（二）打造全省“绿色智造”典范</w:t>
      </w:r>
      <w:bookmarkEnd w:id="17"/>
      <w:r>
        <w:rPr>
          <w:rFonts w:hint="eastAsia" w:ascii="楷体_GB2312" w:eastAsia="楷体_GB2312"/>
          <w:snapToGrid w:val="0"/>
        </w:rPr>
        <w:t>。</w:t>
      </w:r>
      <w:bookmarkEnd w:id="18"/>
    </w:p>
    <w:p w14:paraId="21E71BE3">
      <w:pPr>
        <w:overflowPunct w:val="0"/>
        <w:adjustRightInd w:val="0"/>
        <w:spacing w:line="317" w:lineRule="auto"/>
        <w:ind w:firstLine="630" w:firstLineChars="200"/>
        <w:rPr>
          <w:rFonts w:ascii="仿宋_GB2312"/>
          <w:snapToGrid w:val="0"/>
          <w:szCs w:val="32"/>
        </w:rPr>
      </w:pPr>
      <w:r>
        <w:rPr>
          <w:rFonts w:hint="eastAsia" w:ascii="仿宋_GB2312"/>
          <w:snapToGrid w:val="0"/>
          <w:szCs w:val="32"/>
        </w:rPr>
        <w:t>1.纵深推进智能化转型。支持行业龙头骨干企业实施智能制造标杆提升，应用5G、人工智能、数字孪生、区块链等新技术，推进数字车间、智能工厂等建设，加快打造无人工厂、未来工厂、C2M超级工厂。全面推进重点行业智能化技术改造和中小企业数字化转型，持续推进数字化问诊覆盖与深化，开发一批低成本、行业普适数字化改造方案，带动全行业中小企业数字化转型。充分发挥工业互联网平台作用，加快数字化转型服务机构集聚，构建形成覆盖全域、辐射全省的数字化转型服务能力。</w:t>
      </w:r>
    </w:p>
    <w:p w14:paraId="03C4D7B6">
      <w:pPr>
        <w:overflowPunct w:val="0"/>
        <w:adjustRightInd w:val="0"/>
        <w:spacing w:line="317" w:lineRule="auto"/>
        <w:ind w:firstLine="630" w:firstLineChars="200"/>
        <w:rPr>
          <w:rFonts w:ascii="仿宋_GB2312"/>
          <w:snapToGrid w:val="0"/>
          <w:szCs w:val="32"/>
        </w:rPr>
      </w:pPr>
      <w:r>
        <w:rPr>
          <w:rFonts w:hint="eastAsia" w:ascii="仿宋_GB2312"/>
          <w:snapToGrid w:val="0"/>
          <w:szCs w:val="32"/>
        </w:rPr>
        <w:t>2.全面推行绿色化制造。深入推进“亩均论英雄”改革，大力开展工业用地全域治理，统筹打好“低散乱”企业整治、“腾笼换鸟”等组合拳，不断提升产出效益。实行绿色工厂创建梯队化管理，力争绿色工厂创建数在全省排在前列，全力争创国家级、省级绿色工厂。鼓励企业按照产品全生命周期建立绿色制造体系，减少污染物产生和排放，提升产品节能环保低碳水平。加快开发区（园区）有机更新，大力发展绿色循环园区、美丽园区，努力建成近零碳排放示范区、低碳经济的试验区。</w:t>
      </w:r>
    </w:p>
    <w:p w14:paraId="6CD5562B">
      <w:pPr>
        <w:overflowPunct w:val="0"/>
        <w:adjustRightInd w:val="0"/>
        <w:spacing w:line="317" w:lineRule="auto"/>
        <w:ind w:firstLine="630" w:firstLineChars="200"/>
        <w:rPr>
          <w:rFonts w:ascii="仿宋_GB2312"/>
          <w:snapToGrid w:val="0"/>
        </w:rPr>
      </w:pPr>
      <w:r>
        <w:rPr>
          <w:rFonts w:hint="eastAsia" w:ascii="仿宋_GB2312"/>
          <w:snapToGrid w:val="0"/>
          <w:szCs w:val="32"/>
        </w:rPr>
        <w:t>3.创新发展服务化制造。支持行业骨干企业搭建公共服务平台，开展高端仪器设备开放共享，面向行业提供专业性服务。支持企业积极发展工程总包、远程运维、系统解决方案、全生命周期服务等服务型制造新模式，培育一批服务型制造示范企业。围绕制造业研发设计、供应链管理、数字化转型、物流运输、检测认证等各类需求，大力培育生产性服务业，补齐制造业专业服务、</w:t>
      </w:r>
      <w:r>
        <w:rPr>
          <w:rFonts w:hint="eastAsia" w:ascii="仿宋_GB2312"/>
          <w:snapToGrid w:val="0"/>
        </w:rPr>
        <w:t>高端服务短板。</w:t>
      </w:r>
    </w:p>
    <w:p w14:paraId="1294EE4E">
      <w:pPr>
        <w:pStyle w:val="3"/>
        <w:adjustRightInd w:val="0"/>
        <w:snapToGrid w:val="0"/>
        <w:spacing w:before="0" w:after="0" w:line="324" w:lineRule="auto"/>
        <w:ind w:firstLine="630" w:firstLineChars="200"/>
        <w:rPr>
          <w:rFonts w:ascii="楷体_GB2312" w:eastAsia="楷体_GB2312"/>
          <w:snapToGrid w:val="0"/>
        </w:rPr>
      </w:pPr>
      <w:bookmarkStart w:id="19" w:name="_Toc65844507"/>
      <w:bookmarkStart w:id="20" w:name="_Toc67664569"/>
      <w:r>
        <w:rPr>
          <w:rFonts w:hint="eastAsia" w:ascii="楷体_GB2312" w:eastAsia="楷体_GB2312"/>
          <w:snapToGrid w:val="0"/>
        </w:rPr>
        <w:t>（三）建设全省服务业融合发展样板</w:t>
      </w:r>
      <w:bookmarkEnd w:id="19"/>
      <w:r>
        <w:rPr>
          <w:rFonts w:hint="eastAsia" w:ascii="楷体_GB2312" w:eastAsia="楷体_GB2312"/>
          <w:snapToGrid w:val="0"/>
        </w:rPr>
        <w:t>。</w:t>
      </w:r>
      <w:bookmarkEnd w:id="20"/>
    </w:p>
    <w:p w14:paraId="38DED5C9">
      <w:pPr>
        <w:overflowPunct w:val="0"/>
        <w:adjustRightInd w:val="0"/>
        <w:spacing w:line="324" w:lineRule="auto"/>
        <w:ind w:firstLine="630" w:firstLineChars="200"/>
        <w:rPr>
          <w:rFonts w:ascii="仿宋_GB2312"/>
          <w:snapToGrid w:val="0"/>
        </w:rPr>
      </w:pPr>
      <w:r>
        <w:rPr>
          <w:rFonts w:hint="eastAsia" w:ascii="仿宋_GB2312"/>
          <w:snapToGrid w:val="0"/>
        </w:rPr>
        <w:t>1.全力打造长三角省际区域物流中心。加快推进省级物流示范县综合改革创新试点，加快形成覆盖全域、层级功能分明的物流节点网络体系。深入推进省级物流园区提质增效试点，提升长兴综合物流园区枢纽功能和辐射能力。主动连接“义新欧”中欧国际货运班列，加强与上海港、宁波舟山港等相关口岸战略合作，进一步织密直达口岸、通江达海的多式联运物流网。深耕精益敏捷的供应链运作模式，推进物流业和相关产业、上下游企业联动融合，发展跨界融合的物流创新业态。到2025年，营业收入超亿元物流企业超过15家，国家4A级物流企业8家，集装箱吞吐量突破22万标箱。</w:t>
      </w:r>
    </w:p>
    <w:p w14:paraId="0A0FE34F">
      <w:pPr>
        <w:overflowPunct w:val="0"/>
        <w:adjustRightInd w:val="0"/>
        <w:spacing w:line="324" w:lineRule="auto"/>
        <w:ind w:firstLine="630" w:firstLineChars="200"/>
        <w:rPr>
          <w:rFonts w:ascii="仿宋_GB2312"/>
          <w:snapToGrid w:val="0"/>
        </w:rPr>
      </w:pPr>
      <w:r>
        <w:rPr>
          <w:rFonts w:hint="eastAsia" w:ascii="仿宋_GB2312"/>
          <w:snapToGrid w:val="0"/>
        </w:rPr>
        <w:t>2.全力打造长三角休闲旅游首选区。以创成国家全域旅游示范区和打造长三角休闲旅游首选区、文旅产业融合高质量发展样板地为总目标，加快构建“一轴两翼一区”全域旅游空间布局，强化乡村旅游提质增效，加大中高端旅游资源引育力度，深入推进农、文、旅等产业融合发展，积极创建省级文旅产业融合试验区、省级文化和旅游消费试点城市，培育打造太湖图影国家级旅游度假区，建成太湖演艺小镇、乡村民宿小镇。优化提升全域旅游品牌并不断提升影响力。力争“十四五”时期，接待游客年均增长10%以上，到2025年旅游业增加值占全县GDP比重达到10%以上。</w:t>
      </w:r>
    </w:p>
    <w:p w14:paraId="210E5FB8">
      <w:pPr>
        <w:overflowPunct w:val="0"/>
        <w:adjustRightInd w:val="0"/>
        <w:spacing w:line="324" w:lineRule="auto"/>
        <w:jc w:val="center"/>
        <w:rPr>
          <w:rFonts w:ascii="仿宋_GB2312"/>
          <w:snapToGrid w:val="0"/>
        </w:rPr>
      </w:pPr>
      <w:r>
        <w:rPr>
          <w:rFonts w:hint="eastAsia" w:ascii="仿宋_GB2312"/>
          <w:snapToGrid w:val="0"/>
        </w:rPr>
        <w:t>专栏：“一轴两翼一区”全域旅游空间布局</w:t>
      </w:r>
    </w:p>
    <w:tbl>
      <w:tblPr>
        <w:tblStyle w:val="15"/>
        <w:tblW w:w="4875" w:type="pct"/>
        <w:tblInd w:w="13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14:paraId="432E20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14:paraId="552646D1">
            <w:pPr>
              <w:pStyle w:val="13"/>
              <w:widowControl w:val="0"/>
              <w:adjustRightInd w:val="0"/>
              <w:snapToGrid w:val="0"/>
              <w:spacing w:after="0" w:line="324" w:lineRule="auto"/>
              <w:ind w:left="410" w:leftChars="0" w:hanging="410" w:hangingChars="200"/>
              <w:jc w:val="both"/>
              <w:rPr>
                <w:rFonts w:ascii="仿宋_GB2312" w:hAnsi="Times New Roman" w:eastAsia="仿宋_GB2312"/>
                <w:szCs w:val="21"/>
              </w:rPr>
            </w:pPr>
            <w:r>
              <w:rPr>
                <w:rFonts w:hint="eastAsia" w:ascii="仿宋_GB2312" w:hAnsi="Times New Roman" w:eastAsia="仿宋_GB2312"/>
                <w:b/>
                <w:szCs w:val="21"/>
              </w:rPr>
              <w:t>一轴：</w:t>
            </w:r>
            <w:r>
              <w:rPr>
                <w:rFonts w:hint="eastAsia" w:ascii="仿宋_GB2312" w:hAnsi="Times New Roman" w:eastAsia="仿宋_GB2312"/>
                <w:szCs w:val="21"/>
              </w:rPr>
              <w:t>依托太湖观光大道（沿滨湖大道—中央大道—龙山大道—长水线联动形成的“太湖观光大</w:t>
            </w:r>
          </w:p>
          <w:p w14:paraId="293FEDDC">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道”文化旅游产品）为主的全域旅游发展核心轴线，以太湖龙之梦乐园、水口乡村旅游产</w:t>
            </w:r>
          </w:p>
          <w:p w14:paraId="386E2882">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业集聚区为核心吸引物，充分发挥太湖龙之梦乐园的溢出效应，联动太湖图影、洪桥、开</w:t>
            </w:r>
          </w:p>
          <w:p w14:paraId="2214147C">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发区（太湖街道）滨湖一体化发展，重点打造太湖图影旅游度假区、城市休闲文化旅游区、</w:t>
            </w:r>
          </w:p>
          <w:p w14:paraId="05B0FD4C">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龙山休闲体验区、水口乡村旅游产业集聚区。</w:t>
            </w:r>
          </w:p>
          <w:p w14:paraId="03DD43F2">
            <w:pPr>
              <w:pStyle w:val="13"/>
              <w:widowControl w:val="0"/>
              <w:adjustRightInd w:val="0"/>
              <w:snapToGrid w:val="0"/>
              <w:spacing w:after="0" w:line="324" w:lineRule="auto"/>
              <w:ind w:left="410" w:leftChars="0" w:hanging="410" w:hangingChars="200"/>
              <w:jc w:val="both"/>
              <w:rPr>
                <w:rFonts w:ascii="仿宋_GB2312" w:hAnsi="Times New Roman" w:eastAsia="仿宋_GB2312"/>
                <w:szCs w:val="21"/>
              </w:rPr>
            </w:pPr>
            <w:r>
              <w:rPr>
                <w:rFonts w:hint="eastAsia" w:ascii="仿宋_GB2312" w:hAnsi="Times New Roman" w:eastAsia="仿宋_GB2312"/>
                <w:b/>
                <w:szCs w:val="21"/>
              </w:rPr>
              <w:t>两翼：</w:t>
            </w:r>
            <w:r>
              <w:rPr>
                <w:rFonts w:hint="eastAsia" w:ascii="仿宋_GB2312" w:hAnsi="Times New Roman" w:eastAsia="仿宋_GB2312"/>
                <w:szCs w:val="21"/>
              </w:rPr>
              <w:t>“一翼”，即整合小浦、煤山等乡镇的“古生态、红色文化、乡村旅游、工业遗址”等资源，</w:t>
            </w:r>
          </w:p>
          <w:p w14:paraId="5270FE8A">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打造长兴历史文化旅游区；“一翼”，即推进画溪、吕山、虹星桥、和平等城南片区农文旅</w:t>
            </w:r>
          </w:p>
          <w:p w14:paraId="252D6714">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融合发展，重点打造画溪“画里慢乡·江南果都”慢生活体验区、吕山湖羊风情小镇、虹</w:t>
            </w:r>
          </w:p>
          <w:p w14:paraId="353CC534">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星桥农旅融合示范区、和平城山沟—茶映南山省级山地休闲旅游发展试点。</w:t>
            </w:r>
          </w:p>
          <w:p w14:paraId="1074AA30">
            <w:pPr>
              <w:pStyle w:val="13"/>
              <w:widowControl w:val="0"/>
              <w:adjustRightInd w:val="0"/>
              <w:snapToGrid w:val="0"/>
              <w:spacing w:after="0" w:line="324" w:lineRule="auto"/>
              <w:ind w:left="410" w:leftChars="0" w:hanging="410" w:hangingChars="200"/>
              <w:jc w:val="both"/>
              <w:rPr>
                <w:rFonts w:ascii="仿宋_GB2312" w:hAnsi="Times New Roman" w:eastAsia="仿宋_GB2312"/>
                <w:szCs w:val="21"/>
              </w:rPr>
            </w:pPr>
            <w:r>
              <w:rPr>
                <w:rFonts w:hint="eastAsia" w:ascii="仿宋_GB2312" w:hAnsi="Times New Roman" w:eastAsia="仿宋_GB2312"/>
                <w:b/>
                <w:szCs w:val="21"/>
              </w:rPr>
              <w:t>一区：</w:t>
            </w:r>
            <w:r>
              <w:rPr>
                <w:rFonts w:hint="eastAsia" w:ascii="仿宋_GB2312" w:hAnsi="Times New Roman" w:eastAsia="仿宋_GB2312"/>
                <w:szCs w:val="21"/>
              </w:rPr>
              <w:t>以仙山湖为核心，做优湿地品质，扩大仙山湖旅游圈，将交通、游客中心、停车场等公共</w:t>
            </w:r>
          </w:p>
          <w:p w14:paraId="70E5C2E7">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服务设施外延，整合仙山、显圣寺、上泗安村、仙山村等乡村旅游资源提升仙山湖大景区</w:t>
            </w:r>
          </w:p>
          <w:p w14:paraId="262DEDF7">
            <w:pPr>
              <w:pStyle w:val="13"/>
              <w:widowControl w:val="0"/>
              <w:adjustRightInd w:val="0"/>
              <w:snapToGrid w:val="0"/>
              <w:spacing w:after="0" w:line="324" w:lineRule="auto"/>
              <w:ind w:left="0" w:leftChars="0" w:firstLine="615" w:firstLineChars="300"/>
              <w:jc w:val="both"/>
              <w:rPr>
                <w:rFonts w:ascii="仿宋_GB2312" w:hAnsi="Times New Roman" w:eastAsia="仿宋_GB2312"/>
                <w:szCs w:val="21"/>
              </w:rPr>
            </w:pPr>
            <w:r>
              <w:rPr>
                <w:rFonts w:hint="eastAsia" w:ascii="仿宋_GB2312" w:hAnsi="Times New Roman" w:eastAsia="仿宋_GB2312"/>
                <w:szCs w:val="21"/>
              </w:rPr>
              <w:t>的业态体验，打造仙山湖生态休闲旅游区，并与中国扬子鳄村、林城乡村旅游等文旅资源</w:t>
            </w:r>
          </w:p>
          <w:p w14:paraId="1FAC089F">
            <w:pPr>
              <w:pStyle w:val="13"/>
              <w:widowControl w:val="0"/>
              <w:adjustRightInd w:val="0"/>
              <w:snapToGrid w:val="0"/>
              <w:spacing w:after="0" w:line="324" w:lineRule="auto"/>
              <w:ind w:left="0" w:leftChars="0" w:firstLine="615" w:firstLineChars="300"/>
              <w:jc w:val="both"/>
              <w:rPr>
                <w:rFonts w:ascii="Times New Roman" w:hAnsi="Times New Roman" w:eastAsia="仿宋_GB2312"/>
                <w:bCs/>
                <w:sz w:val="32"/>
                <w:szCs w:val="32"/>
              </w:rPr>
            </w:pPr>
            <w:r>
              <w:rPr>
                <w:rFonts w:hint="eastAsia" w:ascii="仿宋_GB2312" w:hAnsi="Times New Roman" w:eastAsia="仿宋_GB2312"/>
                <w:szCs w:val="21"/>
              </w:rPr>
              <w:t>联动发展。</w:t>
            </w:r>
          </w:p>
        </w:tc>
      </w:tr>
    </w:tbl>
    <w:p w14:paraId="2BF8C969">
      <w:pPr>
        <w:overflowPunct w:val="0"/>
        <w:adjustRightInd w:val="0"/>
        <w:spacing w:before="126" w:beforeLines="20" w:line="324" w:lineRule="auto"/>
        <w:ind w:firstLine="630" w:firstLineChars="200"/>
        <w:rPr>
          <w:rFonts w:ascii="仿宋_GB2312"/>
          <w:snapToGrid w:val="0"/>
        </w:rPr>
      </w:pPr>
      <w:r>
        <w:rPr>
          <w:rFonts w:hint="eastAsia" w:ascii="仿宋_GB2312"/>
          <w:snapToGrid w:val="0"/>
        </w:rPr>
        <w:t>3.全力打造金融支持实体经济标杆。深入实施“融资畅通工程”，坚持把金融支持实体经济作为发展现代金融的出发点，全面提升金融服务实体效能，打通企业融资“最后一公里”，构建银行信贷、债券市场、风险投资、股权投资等全方位、多层次金融支持服务体系。强化金融供给侧结构性改革，优化融资结构和信贷结构。深入实施“凤凰行动”计划，大力推进企业股改上市，指导和引导企业开展上市后资本运作、做大做强。深化区域金融改革创新，全力推进绿色金融改革，深化“太湖科技板”试点。优化金融生态环境，牢固树立底线思维，不断提高区域金融体系抗风险能力，坚决守住不发生区域性、系统性风险的底线。到2025年，本外币存贷款余额超过3000亿元，新增上市企业10家以上、挂牌企业100家以上、并购重组30宗以上，贷款不良率控制在0.8%以下。</w:t>
      </w:r>
    </w:p>
    <w:p w14:paraId="63AE0D83">
      <w:pPr>
        <w:overflowPunct w:val="0"/>
        <w:adjustRightInd w:val="0"/>
        <w:spacing w:line="324" w:lineRule="auto"/>
        <w:ind w:firstLine="630" w:firstLineChars="200"/>
        <w:rPr>
          <w:rFonts w:ascii="仿宋_GB2312"/>
          <w:snapToGrid w:val="0"/>
        </w:rPr>
      </w:pPr>
      <w:r>
        <w:rPr>
          <w:rFonts w:hint="eastAsia" w:ascii="仿宋_GB2312"/>
          <w:snapToGrid w:val="0"/>
        </w:rPr>
        <w:t>4.积极推进其他服务业协调发展。顺应产业跨界融合、需求个性特色发展趋势，紧跟需求方式迭代和需求层次升级步伐，推进传统服务业向现代服务转型，提升服务供给水平和质量。大力发展信息服务业、科技服务业和电子商务产业，主动服务制造业发展需求，深化现代服务业和先进制造业融合发展。大力发展健康、养老、托育、物业、家政、文娱、体育等生活性服务业，加强基础性、公益性服务供给，拓展高端化、个性化、精品化需求市场。</w:t>
      </w:r>
    </w:p>
    <w:p w14:paraId="192668E1">
      <w:pPr>
        <w:pStyle w:val="3"/>
        <w:adjustRightInd w:val="0"/>
        <w:snapToGrid w:val="0"/>
        <w:spacing w:before="0" w:after="0" w:line="324" w:lineRule="auto"/>
        <w:ind w:firstLine="630" w:firstLineChars="200"/>
        <w:rPr>
          <w:rFonts w:ascii="楷体_GB2312" w:eastAsia="楷体_GB2312"/>
          <w:snapToGrid w:val="0"/>
        </w:rPr>
      </w:pPr>
      <w:bookmarkStart w:id="21" w:name="_Toc65844508"/>
      <w:bookmarkStart w:id="22" w:name="_Toc67664570"/>
      <w:r>
        <w:rPr>
          <w:rFonts w:hint="eastAsia" w:ascii="楷体_GB2312" w:eastAsia="楷体_GB2312"/>
          <w:snapToGrid w:val="0"/>
        </w:rPr>
        <w:t>（四）整合打造全省高能级战略平台</w:t>
      </w:r>
      <w:bookmarkEnd w:id="21"/>
      <w:r>
        <w:rPr>
          <w:rFonts w:hint="eastAsia" w:ascii="楷体_GB2312" w:eastAsia="楷体_GB2312"/>
          <w:snapToGrid w:val="0"/>
        </w:rPr>
        <w:t>。</w:t>
      </w:r>
      <w:bookmarkEnd w:id="22"/>
    </w:p>
    <w:p w14:paraId="270D8EF6">
      <w:pPr>
        <w:overflowPunct w:val="0"/>
        <w:adjustRightInd w:val="0"/>
        <w:spacing w:line="324" w:lineRule="auto"/>
        <w:ind w:firstLine="630" w:firstLineChars="200"/>
        <w:rPr>
          <w:rFonts w:ascii="仿宋_GB2312"/>
          <w:snapToGrid w:val="0"/>
        </w:rPr>
      </w:pPr>
      <w:r>
        <w:rPr>
          <w:rFonts w:hint="eastAsia" w:ascii="仿宋_GB2312"/>
          <w:snapToGrid w:val="0"/>
        </w:rPr>
        <w:t>1.聚力建设两大平台。以全省开发区（园区）整合提升为契机，深入推进全县产业空间优化布局，不断推动全县产业平台资源整合、能级提升，聚力建设长兴经济技术开发区和长三角产业合作区湖州片区长兴区块。以长兴经济技术开发区为母体，整合原湖州南太湖产业集聚区长兴分区和长兴新能源装备高新技术产业园，联动循环经济产业园（和平）和绿色制造产业园（煤山），完善构建“一核心两分园”空间架构的新长兴经济技术开发区，加快建成智能汽车“万亩千亿”新产业平台，创成省级高新区，推动新能源小镇进入全省特色小镇“亩均效益”领跑者行列，打造国家级产业转型升级示范区。力争到2025年，开发区规上工业产值超1500亿元，税收超150亿元，跻身环太湖一流国家级开发区行列，成为省级高能级战略平台。主动参与以“一地六县”为主体的长三角产业合作区建设，以湖州省际承接产业转移示范区长兴分区为基础，加快建设长三角产业合作区湖州片区长兴区块，打造长三角高端制造集聚区、绿色发展样板区、深度合作先行区，力争到2025年，长三角产业合作区湖州片区长兴区块总量规模比2020年翻一番，成为长三角省际毗邻区域协同发展示范平台。</w:t>
      </w:r>
    </w:p>
    <w:p w14:paraId="2A36BDC0">
      <w:pPr>
        <w:overflowPunct w:val="0"/>
        <w:adjustRightInd w:val="0"/>
        <w:spacing w:line="324" w:lineRule="auto"/>
        <w:jc w:val="center"/>
        <w:rPr>
          <w:rFonts w:ascii="仿宋_GB2312"/>
          <w:snapToGrid w:val="0"/>
        </w:rPr>
      </w:pPr>
      <w:r>
        <w:rPr>
          <w:rFonts w:ascii="仿宋_GB2312"/>
          <w:snapToGrid w:val="0"/>
        </w:rPr>
        <w:t>专栏：制造业重大平台</w:t>
      </w:r>
    </w:p>
    <w:tbl>
      <w:tblPr>
        <w:tblStyle w:val="15"/>
        <w:tblW w:w="486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4191"/>
        <w:gridCol w:w="2610"/>
      </w:tblGrid>
      <w:tr w14:paraId="2C4A4A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pct"/>
            <w:vAlign w:val="center"/>
          </w:tcPr>
          <w:p w14:paraId="0F7CA7FC">
            <w:pPr>
              <w:adjustRightInd w:val="0"/>
              <w:spacing w:line="324" w:lineRule="auto"/>
              <w:jc w:val="center"/>
              <w:rPr>
                <w:rFonts w:ascii="仿宋_GB2312"/>
                <w:b/>
                <w:sz w:val="21"/>
                <w:szCs w:val="21"/>
              </w:rPr>
            </w:pPr>
            <w:r>
              <w:rPr>
                <w:rFonts w:hint="eastAsia" w:ascii="仿宋_GB2312"/>
                <w:b/>
                <w:sz w:val="21"/>
                <w:szCs w:val="21"/>
              </w:rPr>
              <w:t>园区名称</w:t>
            </w:r>
          </w:p>
        </w:tc>
        <w:tc>
          <w:tcPr>
            <w:tcW w:w="2376" w:type="pct"/>
            <w:vAlign w:val="center"/>
          </w:tcPr>
          <w:p w14:paraId="1003C154">
            <w:pPr>
              <w:adjustRightInd w:val="0"/>
              <w:spacing w:line="324" w:lineRule="auto"/>
              <w:jc w:val="center"/>
              <w:rPr>
                <w:rFonts w:ascii="仿宋_GB2312"/>
                <w:b/>
                <w:sz w:val="21"/>
                <w:szCs w:val="21"/>
              </w:rPr>
            </w:pPr>
            <w:r>
              <w:rPr>
                <w:rFonts w:hint="eastAsia" w:ascii="仿宋_GB2312"/>
                <w:b/>
                <w:sz w:val="21"/>
                <w:szCs w:val="21"/>
              </w:rPr>
              <w:t>规划范围</w:t>
            </w:r>
          </w:p>
        </w:tc>
        <w:tc>
          <w:tcPr>
            <w:tcW w:w="1480" w:type="pct"/>
            <w:vAlign w:val="center"/>
          </w:tcPr>
          <w:p w14:paraId="1690C8C7">
            <w:pPr>
              <w:adjustRightInd w:val="0"/>
              <w:spacing w:line="324" w:lineRule="auto"/>
              <w:jc w:val="center"/>
              <w:rPr>
                <w:rFonts w:ascii="仿宋_GB2312"/>
                <w:b/>
                <w:sz w:val="21"/>
                <w:szCs w:val="21"/>
              </w:rPr>
            </w:pPr>
            <w:r>
              <w:rPr>
                <w:rFonts w:hint="eastAsia" w:ascii="仿宋_GB2312"/>
                <w:b/>
                <w:sz w:val="21"/>
                <w:szCs w:val="21"/>
              </w:rPr>
              <w:t>目标定位</w:t>
            </w:r>
          </w:p>
        </w:tc>
      </w:tr>
      <w:tr w14:paraId="291360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pct"/>
            <w:vAlign w:val="center"/>
          </w:tcPr>
          <w:p w14:paraId="0F762FE5">
            <w:pPr>
              <w:adjustRightInd w:val="0"/>
              <w:spacing w:line="324" w:lineRule="auto"/>
              <w:rPr>
                <w:rFonts w:ascii="仿宋_GB2312"/>
                <w:sz w:val="21"/>
                <w:szCs w:val="21"/>
              </w:rPr>
            </w:pPr>
            <w:r>
              <w:rPr>
                <w:rFonts w:hint="eastAsia" w:ascii="仿宋_GB2312"/>
                <w:sz w:val="21"/>
                <w:szCs w:val="21"/>
              </w:rPr>
              <w:t>长兴经济技术开发区（长兴新能源装备高新技术产业园区）</w:t>
            </w:r>
          </w:p>
        </w:tc>
        <w:tc>
          <w:tcPr>
            <w:tcW w:w="2376" w:type="pct"/>
            <w:vAlign w:val="center"/>
          </w:tcPr>
          <w:p w14:paraId="43B9BAE2">
            <w:pPr>
              <w:adjustRightInd w:val="0"/>
              <w:spacing w:line="324" w:lineRule="auto"/>
              <w:rPr>
                <w:rFonts w:ascii="仿宋_GB2312"/>
                <w:sz w:val="21"/>
                <w:szCs w:val="21"/>
              </w:rPr>
            </w:pPr>
            <w:r>
              <w:rPr>
                <w:rFonts w:hint="eastAsia" w:ascii="仿宋_GB2312"/>
                <w:sz w:val="21"/>
                <w:szCs w:val="21"/>
              </w:rPr>
              <w:t>以长兴经济技术开发区为母体，整合原湖州南太湖产业集聚区长兴分区、长兴新能源装备高新技术产业园区、长兴经济技术开发区循环经济产业园、长兴经济技术开发区绿色制造产业园4个园区，规划面积113.2平方公里。</w:t>
            </w:r>
          </w:p>
        </w:tc>
        <w:tc>
          <w:tcPr>
            <w:tcW w:w="1480" w:type="pct"/>
            <w:vAlign w:val="center"/>
          </w:tcPr>
          <w:p w14:paraId="38C310ED">
            <w:pPr>
              <w:adjustRightInd w:val="0"/>
              <w:spacing w:line="324" w:lineRule="auto"/>
              <w:rPr>
                <w:rFonts w:ascii="仿宋_GB2312"/>
                <w:sz w:val="21"/>
                <w:szCs w:val="21"/>
              </w:rPr>
            </w:pPr>
            <w:r>
              <w:rPr>
                <w:rFonts w:hint="eastAsia" w:ascii="仿宋_GB2312"/>
                <w:sz w:val="21"/>
                <w:szCs w:val="21"/>
              </w:rPr>
              <w:t>浙江省高能级战略平台、</w:t>
            </w:r>
          </w:p>
          <w:p w14:paraId="30F6F87E">
            <w:pPr>
              <w:adjustRightInd w:val="0"/>
              <w:spacing w:line="324" w:lineRule="auto"/>
              <w:rPr>
                <w:rFonts w:ascii="仿宋_GB2312"/>
                <w:sz w:val="21"/>
                <w:szCs w:val="21"/>
              </w:rPr>
            </w:pPr>
            <w:r>
              <w:rPr>
                <w:rFonts w:hint="eastAsia" w:ascii="仿宋_GB2312"/>
                <w:sz w:val="21"/>
                <w:szCs w:val="21"/>
              </w:rPr>
              <w:t>全省智能汽车及关键零部件“万亩千亿”新产业平台</w:t>
            </w:r>
          </w:p>
        </w:tc>
      </w:tr>
      <w:tr w14:paraId="5451E3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4" w:type="pct"/>
            <w:vAlign w:val="center"/>
          </w:tcPr>
          <w:p w14:paraId="5AA6014B">
            <w:pPr>
              <w:adjustRightInd w:val="0"/>
              <w:spacing w:line="324" w:lineRule="auto"/>
              <w:rPr>
                <w:rFonts w:ascii="仿宋_GB2312"/>
                <w:sz w:val="21"/>
                <w:szCs w:val="21"/>
              </w:rPr>
            </w:pPr>
            <w:r>
              <w:rPr>
                <w:rFonts w:hint="eastAsia" w:ascii="仿宋_GB2312"/>
                <w:sz w:val="21"/>
                <w:szCs w:val="21"/>
              </w:rPr>
              <w:t>长三角产业合作区湖州片区长兴区块</w:t>
            </w:r>
          </w:p>
        </w:tc>
        <w:tc>
          <w:tcPr>
            <w:tcW w:w="2376" w:type="pct"/>
            <w:vAlign w:val="center"/>
          </w:tcPr>
          <w:p w14:paraId="1C3F07A6">
            <w:pPr>
              <w:adjustRightInd w:val="0"/>
              <w:spacing w:line="324" w:lineRule="auto"/>
              <w:rPr>
                <w:rFonts w:ascii="仿宋_GB2312"/>
                <w:sz w:val="21"/>
                <w:szCs w:val="21"/>
              </w:rPr>
            </w:pPr>
            <w:r>
              <w:rPr>
                <w:rFonts w:hint="eastAsia" w:ascii="仿宋_GB2312"/>
                <w:sz w:val="21"/>
                <w:szCs w:val="21"/>
              </w:rPr>
              <w:t>在湖州省际承接产业转移示范区长兴分区的基础上整合形成，规划面积33.6平方公里。</w:t>
            </w:r>
          </w:p>
        </w:tc>
        <w:tc>
          <w:tcPr>
            <w:tcW w:w="1480" w:type="pct"/>
            <w:vAlign w:val="center"/>
          </w:tcPr>
          <w:p w14:paraId="7621869B">
            <w:pPr>
              <w:adjustRightInd w:val="0"/>
              <w:spacing w:line="324" w:lineRule="auto"/>
              <w:rPr>
                <w:rFonts w:ascii="仿宋_GB2312"/>
                <w:sz w:val="21"/>
                <w:szCs w:val="21"/>
              </w:rPr>
            </w:pPr>
            <w:bookmarkStart w:id="23" w:name="_Hlk57927124"/>
            <w:r>
              <w:rPr>
                <w:rFonts w:hint="eastAsia" w:ascii="仿宋_GB2312"/>
                <w:sz w:val="21"/>
                <w:szCs w:val="21"/>
              </w:rPr>
              <w:t>打造长三角高端制造集聚区、绿色发展样板区、深度合作先行区</w:t>
            </w:r>
            <w:bookmarkEnd w:id="23"/>
          </w:p>
        </w:tc>
      </w:tr>
    </w:tbl>
    <w:p w14:paraId="10CB2DF8">
      <w:pPr>
        <w:overflowPunct w:val="0"/>
        <w:adjustRightInd w:val="0"/>
        <w:spacing w:before="126" w:beforeLines="20" w:line="324" w:lineRule="auto"/>
        <w:ind w:firstLine="630" w:firstLineChars="200"/>
        <w:rPr>
          <w:rFonts w:ascii="仿宋_GB2312"/>
          <w:snapToGrid w:val="0"/>
        </w:rPr>
      </w:pPr>
      <w:r>
        <w:rPr>
          <w:rFonts w:hint="eastAsia" w:ascii="仿宋_GB2312"/>
          <w:snapToGrid w:val="0"/>
        </w:rPr>
        <w:t>2.精品化专业化打造一批小微企业园。立足县域国土空间规划，严格管控工业平台开发边界，引导大平台以外符合工业平台开发边界管控要求的工业企业集聚点改造为小微企业园，推动边界外企业腾退复垦、异地搬迁、入园集聚，“十四五”时期打造小微企业园10个以上，其中三星级以上小微园2个以上。坚持“一园一业”“一园一品”原则，推进有条件的乡镇工业平台向基础设施配套齐全、公共服务便捷优化、社会服务高效集成的特色小微企业园转型，形成与高能级战略平台、高质量骨干平台互为支撑的协同发展格局。</w:t>
      </w:r>
    </w:p>
    <w:p w14:paraId="56002309">
      <w:pPr>
        <w:overflowPunct w:val="0"/>
        <w:adjustRightInd w:val="0"/>
        <w:spacing w:line="324" w:lineRule="auto"/>
        <w:ind w:firstLine="630" w:firstLineChars="200"/>
        <w:rPr>
          <w:rFonts w:ascii="仿宋_GB2312"/>
          <w:snapToGrid w:val="0"/>
        </w:rPr>
      </w:pPr>
      <w:r>
        <w:rPr>
          <w:rFonts w:hint="eastAsia" w:ascii="仿宋_GB2312"/>
          <w:snapToGrid w:val="0"/>
        </w:rPr>
        <w:t>3.深化开发区（园区）体制机制创新。聚力系统性重构、创新性变革，着力推动开发区（园区）体制创新、开放创新、科技创新，构建“一个平台、一个主体、一套班子”的平台管理机构，推行“党工委（管委会）+”体制，实行“扁平化”“大部门制”管理，形成集中统一、精简高效的体制架构。厘清与属地政府职能边界，强化产业培育、人才引进、招商引资等经济发展主责主业。大力度改革干部人事和薪酬管理制度，探索全员聘用制、末位淘汰制改革。创新多元化重构开发建设模式，支持开发区（园区）市场化运作。</w:t>
      </w:r>
    </w:p>
    <w:p w14:paraId="57D22DEF">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24" w:name="_Toc65844509"/>
      <w:bookmarkStart w:id="25" w:name="_Toc67664571"/>
      <w:r>
        <w:rPr>
          <w:rFonts w:hint="eastAsia" w:ascii="黑体" w:hAnsi="黑体" w:eastAsia="黑体"/>
          <w:b w:val="0"/>
          <w:snapToGrid w:val="0"/>
          <w:sz w:val="32"/>
          <w:szCs w:val="32"/>
        </w:rPr>
        <w:t>三、高水平推进国家创新型县建设，深入实施人才强县和创新强县战略，打造长三角创新发展新高地</w:t>
      </w:r>
      <w:bookmarkEnd w:id="24"/>
      <w:bookmarkEnd w:id="25"/>
    </w:p>
    <w:p w14:paraId="3CF6D4C9">
      <w:pPr>
        <w:overflowPunct w:val="0"/>
        <w:adjustRightInd w:val="0"/>
        <w:spacing w:line="324" w:lineRule="auto"/>
        <w:ind w:firstLine="630" w:firstLineChars="200"/>
        <w:rPr>
          <w:rFonts w:ascii="仿宋_GB2312"/>
          <w:snapToGrid w:val="0"/>
        </w:rPr>
      </w:pPr>
      <w:r>
        <w:rPr>
          <w:rFonts w:hint="eastAsia" w:ascii="仿宋_GB2312"/>
          <w:snapToGrid w:val="0"/>
        </w:rPr>
        <w:t>十九届五中全会强调，要坚持创新在我国现代化建设中的核心地位，把科技自立自强作为国家发展的战略支撑，深入实施科教兴国战略、人才强国战略、创新驱动发展战略。我县创新环境较好、氛围较浓，“十四五”时期要坚持创新驱动发展，深入推进国家创新型县建设，全面融入G60科创走廊，协同打造人才链、创新链、产业链、生态链，不断增强县域经济高质量发展核心竞争力，打造长三角创新发展新高地。</w:t>
      </w:r>
    </w:p>
    <w:p w14:paraId="12421F60">
      <w:pPr>
        <w:pStyle w:val="3"/>
        <w:adjustRightInd w:val="0"/>
        <w:snapToGrid w:val="0"/>
        <w:spacing w:before="0" w:after="0" w:line="324" w:lineRule="auto"/>
        <w:ind w:firstLine="630" w:firstLineChars="200"/>
        <w:rPr>
          <w:rFonts w:ascii="楷体_GB2312" w:eastAsia="楷体_GB2312"/>
          <w:snapToGrid w:val="0"/>
        </w:rPr>
      </w:pPr>
      <w:bookmarkStart w:id="26" w:name="_Toc65844510"/>
      <w:bookmarkStart w:id="27" w:name="_Toc67664572"/>
      <w:r>
        <w:rPr>
          <w:rFonts w:hint="eastAsia" w:ascii="楷体_GB2312" w:eastAsia="楷体_GB2312"/>
          <w:snapToGrid w:val="0"/>
        </w:rPr>
        <w:t>（一）全方位打造人才集聚新高地</w:t>
      </w:r>
      <w:bookmarkEnd w:id="26"/>
      <w:r>
        <w:rPr>
          <w:rFonts w:hint="eastAsia" w:ascii="楷体_GB2312" w:eastAsia="楷体_GB2312"/>
          <w:snapToGrid w:val="0"/>
        </w:rPr>
        <w:t>。</w:t>
      </w:r>
      <w:bookmarkEnd w:id="27"/>
    </w:p>
    <w:p w14:paraId="26F40273">
      <w:pPr>
        <w:overflowPunct w:val="0"/>
        <w:adjustRightInd w:val="0"/>
        <w:spacing w:line="324" w:lineRule="auto"/>
        <w:ind w:firstLine="630" w:firstLineChars="200"/>
        <w:rPr>
          <w:rFonts w:ascii="仿宋_GB2312"/>
          <w:snapToGrid w:val="0"/>
        </w:rPr>
      </w:pPr>
      <w:r>
        <w:rPr>
          <w:rFonts w:hint="eastAsia" w:ascii="仿宋_GB2312"/>
          <w:snapToGrid w:val="0"/>
        </w:rPr>
        <w:t>1.加快创业创新人才集聚。围绕产业链构筑人才链，探索大数据引才模式，构建“人才数据仓”，“按图索骥”引人才；探索“专班引才”“揭榜引才”等模式，更好发挥以才引才作用；建立健全全球引才网络体系，打响新能源产业峰会论坛等活动品牌，深入实施招商引资与招才引智“双招双引”工程，全面提升引才精准性和实效性。积极拓展与高校院所、科研机构集中城市的人才合作渠道，创新项目制、候鸟制、兼职制、组合式等方式，加大高端人才柔性引进力度。推进海外引才计划、万人计划、南太湖精英特支计划等系列人才计划。到2025年，力争全球顶尖人才引进实现零突破，集聚国家和省级科技领军人才35名以上、市级领军人才100名以上，集聚青年博士100名以上。</w:t>
      </w:r>
    </w:p>
    <w:p w14:paraId="203EE0C1">
      <w:pPr>
        <w:overflowPunct w:val="0"/>
        <w:adjustRightInd w:val="0"/>
        <w:spacing w:line="324" w:lineRule="auto"/>
        <w:ind w:firstLine="630" w:firstLineChars="200"/>
        <w:rPr>
          <w:rFonts w:ascii="仿宋_GB2312"/>
          <w:snapToGrid w:val="0"/>
        </w:rPr>
      </w:pPr>
      <w:r>
        <w:rPr>
          <w:rFonts w:hint="eastAsia" w:ascii="仿宋_GB2312"/>
          <w:snapToGrid w:val="0"/>
        </w:rPr>
        <w:t>2.加快各类优秀人才开发。深入实施产业智汇计划，构建政校企联盟网络和协作机制，大力推进实习见习基地、青年（大学生）创业园建设，大规模引进储备大学生等各类优秀人才。深化省新时代工匠培育试点建设，全面实施技能提升行动计划，“校中厂、厂中校”模式，推进技能培训“一乡一品”建设，做精企业新型学徒制，构建产教训融合、政企社协同、育选用贯通的高技能人才培育体系。以龙头骨干企业、科技型企业为重点，实施“卓越企业家培育计划”和“新生代企业家成长计划”，通过名校深造、名家交流、名企游学、项目合作等方式，全面提升企业家综合素质。到2025年，新增就业创业大学生10万人，集聚市级以上优秀青年人才50名以上，建成高水平职业教育基地2个，新增高技能人才2.5万人。</w:t>
      </w:r>
    </w:p>
    <w:p w14:paraId="2B6757EC">
      <w:pPr>
        <w:overflowPunct w:val="0"/>
        <w:adjustRightInd w:val="0"/>
        <w:spacing w:line="324" w:lineRule="auto"/>
        <w:ind w:firstLine="630" w:firstLineChars="200"/>
        <w:rPr>
          <w:rFonts w:ascii="仿宋_GB2312"/>
          <w:snapToGrid w:val="0"/>
        </w:rPr>
      </w:pPr>
      <w:r>
        <w:rPr>
          <w:rFonts w:hint="eastAsia" w:ascii="仿宋_GB2312"/>
          <w:snapToGrid w:val="0"/>
        </w:rPr>
        <w:t>3.加快人才创新活力激发。健全完善人才政策体系，大力推进人才管理改革试验区建设，建立健全“揭榜挂帅”制度，创新深化人才评价、激励和保障等相关机制，构建分类科学、放管结合的人才评价制度。探索对产业发展急需、现行人才目录难以界定的“偏才”“专才”实行特评认定，健全以资历、业绩、荣誉、贡献等指标综合计分的实用人才积分制评价机制。深化职称评审改革，推进特色产业（行业）企业自主评定职称。探索推行企业高层次人才贡献年金、人才股权激励、成果转化个人股权奖励分红等举措，推动企业与人才共同进步和发展。</w:t>
      </w:r>
    </w:p>
    <w:p w14:paraId="6D95AEF6">
      <w:pPr>
        <w:overflowPunct w:val="0"/>
        <w:adjustRightInd w:val="0"/>
        <w:spacing w:line="324" w:lineRule="auto"/>
        <w:ind w:firstLine="630" w:firstLineChars="200"/>
        <w:rPr>
          <w:rFonts w:ascii="仿宋_GB2312"/>
          <w:snapToGrid w:val="0"/>
        </w:rPr>
      </w:pPr>
      <w:r>
        <w:rPr>
          <w:rFonts w:hint="eastAsia" w:ascii="仿宋_GB2312"/>
          <w:snapToGrid w:val="0"/>
        </w:rPr>
        <w:t>4.加快人才集聚生态优化。深化人才发展体制机制改革，构建具有长兴特色和国际竞争力的人才政策体系，全面提升人才公共服务能级。建立健全人才投、人才险、人才保等政策，降低人才创业融资门槛和创业风险。做大做强县人才发展集团，推进人才创业创新服务综合体建设，打造“产学研用金、才政介美云”互动联通的重要枢纽。大力推进人才创新创业全周期“一件事”改革，深化人才信息化服务平台、人才服务码建设，打造“网上综合体”“掌上综合体”“码上综合体”，提高服务人才效率。建立健全人才住房、优质教育、医疗健康等保障体系，全方位解决人才安居、人才就医、子女就学等“关键小事”。</w:t>
      </w:r>
    </w:p>
    <w:p w14:paraId="27D0B2AE">
      <w:pPr>
        <w:pStyle w:val="3"/>
        <w:adjustRightInd w:val="0"/>
        <w:snapToGrid w:val="0"/>
        <w:spacing w:before="0" w:after="0" w:line="324" w:lineRule="auto"/>
        <w:ind w:firstLine="630" w:firstLineChars="200"/>
        <w:rPr>
          <w:rFonts w:ascii="楷体_GB2312" w:eastAsia="楷体_GB2312"/>
          <w:snapToGrid w:val="0"/>
        </w:rPr>
      </w:pPr>
      <w:bookmarkStart w:id="28" w:name="_Toc65844511"/>
      <w:bookmarkStart w:id="29" w:name="_Toc67664573"/>
      <w:r>
        <w:rPr>
          <w:rFonts w:hint="eastAsia" w:ascii="楷体_GB2312" w:eastAsia="楷体_GB2312"/>
          <w:snapToGrid w:val="0"/>
        </w:rPr>
        <w:t>（二）建设长三角最具活力的创新企业集群</w:t>
      </w:r>
      <w:bookmarkEnd w:id="28"/>
      <w:r>
        <w:rPr>
          <w:rFonts w:hint="eastAsia" w:ascii="楷体_GB2312" w:eastAsia="楷体_GB2312"/>
          <w:snapToGrid w:val="0"/>
        </w:rPr>
        <w:t>。</w:t>
      </w:r>
      <w:bookmarkEnd w:id="29"/>
    </w:p>
    <w:p w14:paraId="4E7D38F4">
      <w:pPr>
        <w:overflowPunct w:val="0"/>
        <w:adjustRightInd w:val="0"/>
        <w:spacing w:line="324" w:lineRule="auto"/>
        <w:ind w:firstLine="630" w:firstLineChars="200"/>
        <w:rPr>
          <w:rFonts w:ascii="仿宋_GB2312"/>
          <w:snapToGrid w:val="0"/>
        </w:rPr>
      </w:pPr>
      <w:r>
        <w:rPr>
          <w:rFonts w:hint="eastAsia" w:ascii="仿宋_GB2312"/>
          <w:snapToGrid w:val="0"/>
        </w:rPr>
        <w:t>1.强化企业创新主体地位。实施创新型企业培育工程，开展规模以上工业企业“创新指数”评价，推动成长一批核心技术能力突出、行业引领能力强、具有国际国内先进技术水平和竞争力的创新型领军企业，培育出一批掌握产业“专精特新”技术的“小巨人”“隐形冠军”“单打冠军”，发展出一批活跃的科技型中小微企业群体。探索建立产业技术创新体系标准化，以</w:t>
      </w:r>
      <w:r>
        <w:fldChar w:fldCharType="begin"/>
      </w:r>
      <w:r>
        <w:instrText xml:space="preserve"> HYPERLINK "https://baike.baidu.com/item/%E6%8A%80%E6%9C%AF%E5%88%9B%E6%96%B0" \t "_blank" </w:instrText>
      </w:r>
      <w:r>
        <w:fldChar w:fldCharType="separate"/>
      </w:r>
      <w:r>
        <w:rPr>
          <w:rFonts w:hint="eastAsia" w:ascii="仿宋_GB2312"/>
          <w:snapToGrid w:val="0"/>
        </w:rPr>
        <w:t>技术创新</w:t>
      </w:r>
      <w:r>
        <w:rPr>
          <w:rFonts w:hint="eastAsia" w:ascii="仿宋_GB2312"/>
          <w:snapToGrid w:val="0"/>
        </w:rPr>
        <w:fldChar w:fldCharType="end"/>
      </w:r>
      <w:r>
        <w:rPr>
          <w:rFonts w:hint="eastAsia" w:ascii="仿宋_GB2312"/>
          <w:snapToGrid w:val="0"/>
        </w:rPr>
        <w:t>为核心，推动形成“一院、一园、一企、一综合体、一项目”的长兴特色产业技术创新模式，形成</w:t>
      </w:r>
      <w:r>
        <w:fldChar w:fldCharType="begin"/>
      </w:r>
      <w:r>
        <w:instrText xml:space="preserve"> HYPERLINK "https://baike.baidu.com/item/%E9%9B%86%E6%88%90%E5%88%9B%E6%96%B0%E8%83%BD%E5%8A%9B" \t "_blank" </w:instrText>
      </w:r>
      <w:r>
        <w:fldChar w:fldCharType="separate"/>
      </w:r>
      <w:r>
        <w:rPr>
          <w:rFonts w:hint="eastAsia" w:ascii="仿宋_GB2312"/>
          <w:snapToGrid w:val="0"/>
        </w:rPr>
        <w:t>集成创新能力</w:t>
      </w:r>
      <w:r>
        <w:rPr>
          <w:rFonts w:hint="eastAsia" w:ascii="仿宋_GB2312"/>
          <w:snapToGrid w:val="0"/>
        </w:rPr>
        <w:fldChar w:fldCharType="end"/>
      </w:r>
      <w:r>
        <w:rPr>
          <w:rFonts w:hint="eastAsia" w:ascii="仿宋_GB2312"/>
          <w:snapToGrid w:val="0"/>
        </w:rPr>
        <w:t>，实现整个产业创新活动的良性循环。</w:t>
      </w:r>
    </w:p>
    <w:p w14:paraId="2F595AA4">
      <w:pPr>
        <w:overflowPunct w:val="0"/>
        <w:adjustRightInd w:val="0"/>
        <w:spacing w:line="324" w:lineRule="auto"/>
        <w:ind w:firstLine="630" w:firstLineChars="200"/>
        <w:rPr>
          <w:rFonts w:ascii="仿宋_GB2312"/>
          <w:snapToGrid w:val="0"/>
        </w:rPr>
      </w:pPr>
      <w:r>
        <w:rPr>
          <w:rFonts w:hint="eastAsia" w:ascii="仿宋_GB2312"/>
          <w:snapToGrid w:val="0"/>
        </w:rPr>
        <w:t>2.发挥大企业引领支撑作用。实施龙头企业创新引领工程，建设完善技术创新中心体系，争创全省高水平新型研发机构和企业研究院，推动龙头企业产业关键共性技术等研发平台融入省实验室布局，鼓励企业并购、合资、参股国际研发企业或设立海外研发中心，推动企业参与世界标准化活动，开展商标国际注册及国际发明专利申报。推进产学研深度融合，支持龙头企业牵头组建创新联合体，承担省级以上重大科技项目，支持创新型领军企业围绕产业应用型研究技术、关键共性技术和“卡脖子”技术，承担“尖兵计划”“领雁计划”等科技攻关计划。健全完善重大高新技术产业投资项目库，形成新的高新技术产业增长点和高新技术企业培育库。到2025年，培育省技术创新中心1家，新增省级以上各类研发机构50家以上，有研发活动的企业占比达到60%以上。</w:t>
      </w:r>
    </w:p>
    <w:p w14:paraId="31762370">
      <w:pPr>
        <w:overflowPunct w:val="0"/>
        <w:adjustRightInd w:val="0"/>
        <w:spacing w:line="324" w:lineRule="auto"/>
        <w:ind w:firstLine="630" w:firstLineChars="200"/>
        <w:rPr>
          <w:rFonts w:ascii="仿宋_GB2312"/>
          <w:snapToGrid w:val="0"/>
        </w:rPr>
      </w:pPr>
      <w:r>
        <w:rPr>
          <w:rFonts w:hint="eastAsia" w:ascii="仿宋_GB2312"/>
          <w:snapToGrid w:val="0"/>
        </w:rPr>
        <w:t>3.激发中小微企业创新潜能。强化科技招商，将创新能力、科技人才、知识产权等科技创新要素纳入项目招引前置条件，从源头把控，遴选高质量科技项目，培育一批活跃的科技型中小微企业群体。完善科技型企业梯次培育机制，深入实施科技企业“双倍增”行动计划，引导创新型中小企业向高新技术企业和创新型领军企业转型。大力发展科技服务业，推进发展创业孵化、科技金融、信息服务、检验检测等第三方服务，鼓励发展研发设计、技术转移等服务业态，打造布局合理的科技服务业集聚区。到2025年，国家高新技术企业达到450家，省级科技型中小企业达1500家，科技服务业营业收入年均增幅达到8%以上。</w:t>
      </w:r>
    </w:p>
    <w:p w14:paraId="3150291F">
      <w:pPr>
        <w:pStyle w:val="3"/>
        <w:adjustRightInd w:val="0"/>
        <w:snapToGrid w:val="0"/>
        <w:spacing w:before="0" w:after="0" w:line="324" w:lineRule="auto"/>
        <w:ind w:firstLine="630" w:firstLineChars="200"/>
        <w:rPr>
          <w:rFonts w:ascii="楷体_GB2312" w:eastAsia="楷体_GB2312"/>
          <w:snapToGrid w:val="0"/>
        </w:rPr>
      </w:pPr>
      <w:bookmarkStart w:id="30" w:name="_Toc65844512"/>
      <w:bookmarkStart w:id="31" w:name="_Toc67664574"/>
      <w:r>
        <w:rPr>
          <w:rFonts w:hint="eastAsia" w:ascii="楷体_GB2312" w:eastAsia="楷体_GB2312"/>
          <w:snapToGrid w:val="0"/>
        </w:rPr>
        <w:t>（三）打造开放共享的创新发展平台</w:t>
      </w:r>
      <w:bookmarkEnd w:id="30"/>
      <w:r>
        <w:rPr>
          <w:rFonts w:hint="eastAsia" w:ascii="楷体_GB2312" w:eastAsia="楷体_GB2312"/>
          <w:snapToGrid w:val="0"/>
        </w:rPr>
        <w:t>。</w:t>
      </w:r>
      <w:bookmarkEnd w:id="31"/>
    </w:p>
    <w:p w14:paraId="5C921C40">
      <w:pPr>
        <w:overflowPunct w:val="0"/>
        <w:adjustRightInd w:val="0"/>
        <w:spacing w:line="324" w:lineRule="auto"/>
        <w:ind w:firstLine="630" w:firstLineChars="200"/>
        <w:rPr>
          <w:rFonts w:ascii="仿宋_GB2312"/>
          <w:snapToGrid w:val="0"/>
        </w:rPr>
      </w:pPr>
      <w:r>
        <w:rPr>
          <w:rFonts w:hint="eastAsia" w:ascii="仿宋_GB2312"/>
          <w:snapToGrid w:val="0"/>
        </w:rPr>
        <w:t>1.广泛开展科技创新开放合作。依托长三角一体化、G60科创大走廊建设，加快推进长三角省际毗邻区域科技创新“一平台三中心”建设，打造长三角产业合作区科技合作交流网络平台，促进数字化科技成果转化。巩固浙沪，拓展苏皖，联合宜兴、广德及其合作高校院所，共建省际毗邻区域科技资源共享平台，探索“科创飞地经济”模式，积极参与长三角大仪器共享；深化长三角地区校地合作，共建科技成果转移转化协同中心；强化区域科技人才项目信息互通，共建科技创新孵化协同中心。加大与高校院所的合作力度，共建产业技术研究院、技术转移中心等各类创新载体。到2025年，达成校地合作10项，力争与高校合作共建研究院1家以上。</w:t>
      </w:r>
    </w:p>
    <w:p w14:paraId="62881318">
      <w:pPr>
        <w:overflowPunct w:val="0"/>
        <w:adjustRightInd w:val="0"/>
        <w:spacing w:line="324" w:lineRule="auto"/>
        <w:ind w:firstLine="630" w:firstLineChars="200"/>
        <w:rPr>
          <w:rFonts w:ascii="仿宋_GB2312"/>
          <w:snapToGrid w:val="0"/>
        </w:rPr>
      </w:pPr>
      <w:r>
        <w:rPr>
          <w:rFonts w:hint="eastAsia" w:ascii="仿宋_GB2312"/>
          <w:snapToGrid w:val="0"/>
        </w:rPr>
        <w:t>2.全面提升创新成果转化水平。坚持“问需于企业、问计于企业、服务于企业”，推进“企业出题、政府立题、协同破题”的新型产学研合作，加强新型研发机构和高能级创新载体建设，积极争创省科技成果转移转化试点。引导优势企业联合高新院所共建产学研用创新平台，攻克一批关键共性技术，掌握一批具有自主知识产权的核心技术。优化科技创新服务，建好用好科技大市场，促进创新要素自由流动和优化配置，强化校企联动，推进线上线下技术交易，积极支持产业基金参与科技成果转化和产业化，每年实施优质产学研项目100项左右，基本实现规模以上科技型企业产学研合作全覆盖。</w:t>
      </w:r>
    </w:p>
    <w:p w14:paraId="66BB2CFF">
      <w:pPr>
        <w:overflowPunct w:val="0"/>
        <w:adjustRightInd w:val="0"/>
        <w:spacing w:line="324" w:lineRule="auto"/>
        <w:ind w:firstLine="630" w:firstLineChars="200"/>
        <w:rPr>
          <w:rFonts w:ascii="仿宋_GB2312"/>
          <w:snapToGrid w:val="0"/>
        </w:rPr>
      </w:pPr>
      <w:r>
        <w:rPr>
          <w:rFonts w:hint="eastAsia" w:ascii="仿宋_GB2312"/>
          <w:snapToGrid w:val="0"/>
        </w:rPr>
        <w:t>3.全面提升创新平台能级。加快省级新能源装备高新技术产业园区建设，增强高端创新要素集聚，打造长兴高质量发展的强劲活跃创新增长极。依托新能源、现代纺织等产业的创新链和产业链融合机制，加快建设省产业创新服务综合体、省级高新技术特色小镇和国家火炬特色产业基地等一站式产业服务平台。高水平规划建设顾渚“画溪谷”。完善“1+5+N”科创平台体系，推进众创空间建设，促进传统孵化器与新型孵化器、众创空间的深层融合，争创省级科技创业孵化链条试点、国家级专业孵化器。加快打通与长三角区域各类人才科技创新平台的交流合作，建好用好杭州人才飞地，积极探索北上广深飞地，在高校院所、科研机构集中城市建立一批人才科技合作平台。到2025年，力争培育建设省级新型研发机构2家，省级重点实验室1家以上，全县规模以上工业企业研发机构设置率达60%以上。</w:t>
      </w:r>
    </w:p>
    <w:p w14:paraId="2ABB0760">
      <w:pPr>
        <w:pStyle w:val="3"/>
        <w:adjustRightInd w:val="0"/>
        <w:snapToGrid w:val="0"/>
        <w:spacing w:before="0" w:after="0" w:line="324" w:lineRule="auto"/>
        <w:ind w:firstLine="630" w:firstLineChars="200"/>
        <w:rPr>
          <w:rFonts w:ascii="楷体_GB2312" w:eastAsia="楷体_GB2312"/>
          <w:snapToGrid w:val="0"/>
        </w:rPr>
      </w:pPr>
      <w:bookmarkStart w:id="32" w:name="_Toc65844513"/>
      <w:bookmarkStart w:id="33" w:name="_Toc67664575"/>
      <w:r>
        <w:rPr>
          <w:rFonts w:hint="eastAsia" w:ascii="楷体_GB2312" w:eastAsia="楷体_GB2312"/>
          <w:snapToGrid w:val="0"/>
        </w:rPr>
        <w:t>（四）营造活力迸发的创新生态</w:t>
      </w:r>
      <w:bookmarkEnd w:id="32"/>
      <w:r>
        <w:rPr>
          <w:rFonts w:hint="eastAsia" w:ascii="楷体_GB2312" w:eastAsia="楷体_GB2312"/>
          <w:snapToGrid w:val="0"/>
        </w:rPr>
        <w:t>。</w:t>
      </w:r>
      <w:bookmarkEnd w:id="33"/>
    </w:p>
    <w:p w14:paraId="176725CA">
      <w:pPr>
        <w:overflowPunct w:val="0"/>
        <w:adjustRightInd w:val="0"/>
        <w:spacing w:line="324" w:lineRule="auto"/>
        <w:ind w:firstLine="630" w:firstLineChars="200"/>
        <w:rPr>
          <w:rFonts w:ascii="仿宋_GB2312"/>
          <w:snapToGrid w:val="0"/>
        </w:rPr>
      </w:pPr>
      <w:r>
        <w:rPr>
          <w:rFonts w:hint="eastAsia" w:ascii="仿宋_GB2312"/>
          <w:snapToGrid w:val="0"/>
        </w:rPr>
        <w:t>1.深化科技管理体制改革。持续推进科技创新体制机制改革，加大创新政策激励力度，建立健全财政科技投入稳定增长机制，完善支持创新驱动的产业技术、人才引育、成果转化、科技交流、政产学研等创新政策体系。进一步推进区域科技体系市场化建设改革，进一步激发市场活力，深化新型研发机构、科技孵化器等重点领域市场化改革，推动企业成为区域技术创新体系建设主体。优化创新券使用，加大创新券对企业研发投入带动力度。</w:t>
      </w:r>
    </w:p>
    <w:p w14:paraId="03A5237D">
      <w:pPr>
        <w:overflowPunct w:val="0"/>
        <w:adjustRightInd w:val="0"/>
        <w:spacing w:line="324" w:lineRule="auto"/>
        <w:ind w:firstLine="630" w:firstLineChars="200"/>
        <w:rPr>
          <w:rFonts w:ascii="仿宋_GB2312"/>
          <w:snapToGrid w:val="0"/>
        </w:rPr>
      </w:pPr>
      <w:r>
        <w:rPr>
          <w:rFonts w:hint="eastAsia" w:ascii="仿宋_GB2312"/>
          <w:snapToGrid w:val="0"/>
        </w:rPr>
        <w:t>2.加强知识产权保护。深入推进国家知识产权强县工程建设，落实中小企业知识产权保护主体责任，构建相对健全的知识产权创造体系、运营体系和保护体系。推进高价值专利创造和商标品牌建设，实施知识产权强企工程，积极培育国家、省、市各级知识产权示范（优势）企业、商标品牌示范企业。强化知识产权行政保护，完善知识产权纠纷多元化解机制，打造“一站式”知识产权综合服务平台。促进知识产权与县域产业、科技、经济融合发展，促进知识产权质押融资。实施重点产业专利导航，强化海外知识产权布局。到2025年，知识产权创造质量显著提高，运用效益更加突出，保护环境明显改善，全县每万人发明专利拥有量达到60件以上，数字经济领域高质量发明专利拥有量突破1000件，PCT国际专利年申请量达到20件以上。</w:t>
      </w:r>
    </w:p>
    <w:p w14:paraId="3A2FBD50">
      <w:pPr>
        <w:overflowPunct w:val="0"/>
        <w:adjustRightInd w:val="0"/>
        <w:spacing w:line="324" w:lineRule="auto"/>
        <w:ind w:firstLine="630" w:firstLineChars="200"/>
        <w:rPr>
          <w:rFonts w:ascii="仿宋_GB2312"/>
          <w:snapToGrid w:val="0"/>
        </w:rPr>
      </w:pPr>
      <w:r>
        <w:rPr>
          <w:rFonts w:hint="eastAsia" w:ascii="仿宋_GB2312"/>
          <w:snapToGrid w:val="0"/>
        </w:rPr>
        <w:t>3.优化创新创业环境。深化科技金融融合，建立健全科技、产业、金融融合发展体制机制，创新科技信贷产品，建立初创期科技企业的“首贷”风险补偿机制，创新投贷联动服务新模式。大力发展科技创投基金，对初创期企业加大优质科技项目风险投资力度。进一步完善科技型企业贴息贷款政策，提升对科技型中小企业资金扶持的精准性。大力弘扬创新精神，完善科研诚信体系，树立创新先进典型，激发全社会创新活力。</w:t>
      </w:r>
    </w:p>
    <w:p w14:paraId="789A818F">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34" w:name="_Toc65844514"/>
      <w:bookmarkStart w:id="35" w:name="_Toc67664576"/>
      <w:r>
        <w:rPr>
          <w:rFonts w:hint="eastAsia" w:ascii="黑体" w:hAnsi="黑体" w:eastAsia="黑体"/>
          <w:b w:val="0"/>
          <w:snapToGrid w:val="0"/>
          <w:sz w:val="32"/>
          <w:szCs w:val="32"/>
        </w:rPr>
        <w:t>四、统筹用好国际国内两个市场，主动服务融入新发展格局，打造长三角开放发展新高地</w:t>
      </w:r>
      <w:bookmarkEnd w:id="34"/>
      <w:bookmarkEnd w:id="35"/>
    </w:p>
    <w:p w14:paraId="020F03DF">
      <w:pPr>
        <w:overflowPunct w:val="0"/>
        <w:adjustRightInd w:val="0"/>
        <w:spacing w:line="324" w:lineRule="auto"/>
        <w:ind w:firstLine="630" w:firstLineChars="200"/>
        <w:rPr>
          <w:rFonts w:ascii="仿宋_GB2312"/>
          <w:snapToGrid w:val="0"/>
        </w:rPr>
      </w:pPr>
      <w:r>
        <w:rPr>
          <w:rFonts w:hint="eastAsia" w:ascii="仿宋_GB2312"/>
          <w:snapToGrid w:val="0"/>
        </w:rPr>
        <w:t>十九届五中全会强调，要依托国内强大市场，畅通国内大循环，促进国际国内双循环；要坚持和完善社会主义基本经济制度，推动有效市场和有为政府更好结合；要推进长三角一体化发展，鼓励东部地区加快推进现代化。我县地处长三角核心腹地，对内对外开放条件优越，营商环境持续向好，“十四五”时期要抢抓国内消费升级和高质量共建“一带一路”发展机遇，全力融入新发展格局，以更加开放的姿态融入国家区域发展战略和国际竞争合作，打造长三角开放发展新高地。</w:t>
      </w:r>
    </w:p>
    <w:p w14:paraId="595BCD85">
      <w:pPr>
        <w:pStyle w:val="3"/>
        <w:adjustRightInd w:val="0"/>
        <w:snapToGrid w:val="0"/>
        <w:spacing w:before="0" w:after="0" w:line="324" w:lineRule="auto"/>
        <w:ind w:firstLine="630" w:firstLineChars="200"/>
        <w:rPr>
          <w:rFonts w:ascii="楷体_GB2312" w:eastAsia="楷体_GB2312"/>
          <w:snapToGrid w:val="0"/>
        </w:rPr>
      </w:pPr>
      <w:bookmarkStart w:id="36" w:name="_Toc65844515"/>
      <w:bookmarkStart w:id="37" w:name="_Toc67664577"/>
      <w:r>
        <w:rPr>
          <w:rFonts w:hint="eastAsia" w:ascii="楷体_GB2312" w:eastAsia="楷体_GB2312"/>
          <w:snapToGrid w:val="0"/>
        </w:rPr>
        <w:t>（一）打造长三角高质量产业项目集聚地</w:t>
      </w:r>
      <w:bookmarkEnd w:id="36"/>
      <w:r>
        <w:rPr>
          <w:rFonts w:hint="eastAsia" w:ascii="楷体_GB2312" w:eastAsia="楷体_GB2312"/>
          <w:snapToGrid w:val="0"/>
        </w:rPr>
        <w:t>。</w:t>
      </w:r>
      <w:bookmarkEnd w:id="37"/>
    </w:p>
    <w:p w14:paraId="6A30CBE7">
      <w:pPr>
        <w:overflowPunct w:val="0"/>
        <w:adjustRightInd w:val="0"/>
        <w:spacing w:line="324" w:lineRule="auto"/>
        <w:ind w:firstLine="630" w:firstLineChars="200"/>
        <w:rPr>
          <w:rFonts w:ascii="仿宋_GB2312"/>
          <w:snapToGrid w:val="0"/>
        </w:rPr>
      </w:pPr>
      <w:r>
        <w:rPr>
          <w:rFonts w:hint="eastAsia" w:ascii="仿宋_GB2312"/>
          <w:snapToGrid w:val="0"/>
        </w:rPr>
        <w:t>1.加快建设高质量外资集聚区。突出高质量引进纯外资中小实体项目和国际高端技术、高层次人才，大力推进利用外资向产业链、创新链、价值链中高端提升。创新资源分配、平台运作、产业发展，高水平打造以中德（长兴）国际产业合作园等为代表的高端外资承载平台。健全外商投资政策和服务体系，强化驻外招商工作，支持外资企业投资战略性新兴产业、现代服务业。建立健全外商投资涉外服务咨询机构，发挥长兴外资企业服务中心、外商俱乐部作用，建立“外商沙龙”等活动机制，提升城市国际化水平。</w:t>
      </w:r>
    </w:p>
    <w:p w14:paraId="7ACE546D">
      <w:pPr>
        <w:overflowPunct w:val="0"/>
        <w:adjustRightInd w:val="0"/>
        <w:spacing w:line="324" w:lineRule="auto"/>
        <w:ind w:firstLine="630" w:firstLineChars="200"/>
        <w:rPr>
          <w:rFonts w:ascii="仿宋_GB2312"/>
          <w:snapToGrid w:val="0"/>
        </w:rPr>
      </w:pPr>
      <w:r>
        <w:rPr>
          <w:rFonts w:hint="eastAsia" w:ascii="仿宋_GB2312"/>
          <w:snapToGrid w:val="0"/>
        </w:rPr>
        <w:t>2.聚集优质项目提升产业链供应链水平。坚持项目为王，实施产业链招商，持续加强重大项目招引，千方百计扩大制造业有效投资，确保固定资产投资增速与GDP增速基本同步、制造业投资增速快于固定资产投资增速。支持龙头企业牵头组建产业链上下游企业共同体和产业创新联盟等，推动产业创新、产能协同、产品提升方面有效联动，吸引一批产业链头部企业来长投资，带动落户一批延链补链强链项目。围绕产业链风险清单、重大装备等制造业核心领域，采取“目录引导、揭榜挂帅”方式，引进集聚一批供应链安全备份项目，提升产业链主导力、控制力和供应链安全水平。坚持激活民资与招商引资并重，全力支持本地企业扩大投资、做大做强。</w:t>
      </w:r>
    </w:p>
    <w:p w14:paraId="781C68CF">
      <w:pPr>
        <w:overflowPunct w:val="0"/>
        <w:adjustRightInd w:val="0"/>
        <w:spacing w:line="324" w:lineRule="auto"/>
        <w:ind w:firstLine="630" w:firstLineChars="200"/>
        <w:rPr>
          <w:rFonts w:ascii="仿宋_GB2312"/>
          <w:snapToGrid w:val="0"/>
        </w:rPr>
      </w:pPr>
      <w:r>
        <w:rPr>
          <w:rFonts w:hint="eastAsia" w:ascii="仿宋_GB2312"/>
          <w:snapToGrid w:val="0"/>
        </w:rPr>
        <w:t>3.健全项目建设长效机制。深入实施省市县长项目工程，利用“长洽会”等载体，聚焦产业链、高科技、生态型、数字化四大领域，牢牢把握投资规模、强度等标准，努力在重特大制造业项目招引上取得新突破。完善重大项目落地协调机制，持续优化项目建设全生命周期管理服务，加快推进强基础、增功能、利长远的重大项目建设。建立健全“六未”项目处置长效机制，不断提升投资项目落地率、达产率。</w:t>
      </w:r>
    </w:p>
    <w:p w14:paraId="1C542803">
      <w:pPr>
        <w:pStyle w:val="3"/>
        <w:adjustRightInd w:val="0"/>
        <w:snapToGrid w:val="0"/>
        <w:spacing w:before="0" w:after="0" w:line="324" w:lineRule="auto"/>
        <w:ind w:firstLine="630" w:firstLineChars="200"/>
        <w:rPr>
          <w:rFonts w:ascii="楷体_GB2312" w:eastAsia="楷体_GB2312"/>
          <w:snapToGrid w:val="0"/>
        </w:rPr>
      </w:pPr>
      <w:bookmarkStart w:id="38" w:name="_Toc65844516"/>
      <w:bookmarkStart w:id="39" w:name="_Toc67664578"/>
      <w:r>
        <w:rPr>
          <w:rFonts w:hint="eastAsia" w:ascii="楷体_GB2312" w:eastAsia="楷体_GB2312"/>
          <w:snapToGrid w:val="0"/>
        </w:rPr>
        <w:t>（二）打造“浙里来消费”示范样板</w:t>
      </w:r>
      <w:bookmarkEnd w:id="38"/>
      <w:r>
        <w:rPr>
          <w:rFonts w:hint="eastAsia" w:ascii="楷体_GB2312" w:eastAsia="楷体_GB2312"/>
          <w:snapToGrid w:val="0"/>
        </w:rPr>
        <w:t>。</w:t>
      </w:r>
      <w:bookmarkEnd w:id="39"/>
    </w:p>
    <w:p w14:paraId="77E06456">
      <w:pPr>
        <w:overflowPunct w:val="0"/>
        <w:adjustRightInd w:val="0"/>
        <w:spacing w:line="324" w:lineRule="auto"/>
        <w:ind w:firstLine="630" w:firstLineChars="200"/>
        <w:rPr>
          <w:rFonts w:ascii="仿宋_GB2312"/>
          <w:snapToGrid w:val="0"/>
        </w:rPr>
      </w:pPr>
      <w:r>
        <w:rPr>
          <w:rFonts w:hint="eastAsia" w:ascii="仿宋_GB2312"/>
          <w:snapToGrid w:val="0"/>
        </w:rPr>
        <w:t>1.增强消费供给能力。积极顺应国内消费提档升级和国际市场格局调整大趋势，引导和支持工业企业加大产品转型和服务升级力度，精准对接国际国内消费需求，及时捕捉消费热点，大力推动纺织、电池等企业转型研发生产与消费需求适配的终端工业品。推动企业加快向供应链“微笑曲线”两端延伸，通过技术革新创造更高层次供给，引领更高层次消费。</w:t>
      </w:r>
    </w:p>
    <w:p w14:paraId="3DC5F359">
      <w:pPr>
        <w:overflowPunct w:val="0"/>
        <w:adjustRightInd w:val="0"/>
        <w:spacing w:line="324" w:lineRule="auto"/>
        <w:ind w:firstLine="630" w:firstLineChars="200"/>
        <w:rPr>
          <w:rFonts w:ascii="仿宋_GB2312"/>
          <w:snapToGrid w:val="0"/>
        </w:rPr>
      </w:pPr>
      <w:r>
        <w:rPr>
          <w:rFonts w:hint="eastAsia" w:ascii="仿宋_GB2312"/>
          <w:snapToGrid w:val="0"/>
        </w:rPr>
        <w:t>2.促进消费提档升级。增强消费的基础作用，大力培育新型消费，提升传统消费，适当增加公共消费。加大中心城区商贸主、副中心建设和培育力度，推动功能、业态差异化发展，培育消费热点，引领消费潮流。深化东鱼坊省级高品质步行街、文化创意街区创建成果，培育发展假日经济、夜间经济、“宅经济”，打响“长来消费”品牌。推动汽车等消费品由购买管理向使用管理转变，认真落实“房住不炒、一城一策”要求，促进房地产市场平稳健康发展。健全现代流通体系，发展无接触交易服务，降低企业流通成本，促进线上线下消费融合发展，开拓城乡消费市场。实施数字生活新服务行动，打造全省数字生活新服务样板县，争创省级智慧商圈试点。加快发展服务消费，扩大优质服务供给。</w:t>
      </w:r>
    </w:p>
    <w:p w14:paraId="188082EA">
      <w:pPr>
        <w:overflowPunct w:val="0"/>
        <w:adjustRightInd w:val="0"/>
        <w:spacing w:line="324" w:lineRule="auto"/>
        <w:ind w:firstLine="630" w:firstLineChars="200"/>
        <w:rPr>
          <w:rFonts w:ascii="仿宋_GB2312"/>
          <w:snapToGrid w:val="0"/>
        </w:rPr>
      </w:pPr>
      <w:r>
        <w:rPr>
          <w:rFonts w:hint="eastAsia" w:ascii="仿宋_GB2312"/>
          <w:snapToGrid w:val="0"/>
        </w:rPr>
        <w:t>3.加快建设立足长三角面向国内国际的高品质消费市场。主动应对人口老龄化，在满足县内普惠养老需求的基础上，积极参与长三角养老一体化事业发展，发展高品质机构养老、健康养老、旅居养老，提高服务供给水平，打造长三角幸福颐养标杆区。发挥标志性项目引领作用和乡村游、生态游、文化游的独特优势，提升旅游服务供给水平，推动“长兴鲜”特色农产品走上长三角市民餐桌。深入推进电子商务扩面延伸，推动工业电子商务融合升级、跨境电商提速增量、农村电商提质增效、新零售电商繁荣发展，打造苏浙皖省际电商产业新高地。深化无理由退货行动，打造“满意消费”长三角新高地，全方位优化放心消费环境。</w:t>
      </w:r>
    </w:p>
    <w:p w14:paraId="70D771A8">
      <w:pPr>
        <w:pStyle w:val="3"/>
        <w:adjustRightInd w:val="0"/>
        <w:snapToGrid w:val="0"/>
        <w:spacing w:before="0" w:after="0" w:line="324" w:lineRule="auto"/>
        <w:ind w:firstLine="630" w:firstLineChars="200"/>
        <w:rPr>
          <w:rFonts w:ascii="楷体_GB2312" w:eastAsia="楷体_GB2312"/>
          <w:snapToGrid w:val="0"/>
        </w:rPr>
      </w:pPr>
      <w:bookmarkStart w:id="40" w:name="_Toc65844517"/>
      <w:bookmarkStart w:id="41" w:name="_Toc67664579"/>
      <w:r>
        <w:rPr>
          <w:rFonts w:hint="eastAsia" w:ascii="楷体_GB2312" w:eastAsia="楷体_GB2312"/>
          <w:snapToGrid w:val="0"/>
        </w:rPr>
        <w:t>（三）积极参与“一带一路”重要枢纽建设</w:t>
      </w:r>
      <w:bookmarkEnd w:id="40"/>
      <w:r>
        <w:rPr>
          <w:rFonts w:hint="eastAsia" w:ascii="楷体_GB2312" w:eastAsia="楷体_GB2312"/>
          <w:snapToGrid w:val="0"/>
        </w:rPr>
        <w:t>。</w:t>
      </w:r>
      <w:bookmarkEnd w:id="41"/>
    </w:p>
    <w:p w14:paraId="5A73B9C8">
      <w:pPr>
        <w:overflowPunct w:val="0"/>
        <w:adjustRightInd w:val="0"/>
        <w:spacing w:line="324" w:lineRule="auto"/>
        <w:ind w:firstLine="630" w:firstLineChars="200"/>
        <w:rPr>
          <w:rFonts w:ascii="仿宋_GB2312"/>
          <w:snapToGrid w:val="0"/>
        </w:rPr>
      </w:pPr>
      <w:r>
        <w:rPr>
          <w:rFonts w:hint="eastAsia" w:ascii="仿宋_GB2312"/>
          <w:snapToGrid w:val="0"/>
        </w:rPr>
        <w:t>1.切实提高“引进来”的吸引力。积极对接自贸区、进博会等外向型经济发展平台，吸引外商参与我县产业链、供应链布局。坚持进口与出口并重，培育壮大一批进口龙头企业，逐渐形成一批面向长三角地区乃至全国的进口商品采购、仓储、分拨、配送中心。借助“义新欧”班列，推进资源性产品进口，支持长兴企业扩大先进技术、设备和关键零部件进口，做大全县进口贸易规模。到2025年，培育年进口额亿元以上进口贸易示范企业2家。</w:t>
      </w:r>
    </w:p>
    <w:p w14:paraId="70364AAA">
      <w:pPr>
        <w:overflowPunct w:val="0"/>
        <w:adjustRightInd w:val="0"/>
        <w:spacing w:line="324" w:lineRule="auto"/>
        <w:ind w:firstLine="630" w:firstLineChars="200"/>
        <w:rPr>
          <w:rFonts w:ascii="仿宋_GB2312"/>
          <w:snapToGrid w:val="0"/>
        </w:rPr>
      </w:pPr>
      <w:r>
        <w:rPr>
          <w:rFonts w:hint="eastAsia" w:ascii="仿宋_GB2312"/>
          <w:snapToGrid w:val="0"/>
        </w:rPr>
        <w:t>2.不断提高“走出去”的竞争力。深入参与“一带一路”建设，支持出口行业龙头企业提升国际化经营能力，实现研发设计、加工制造、销售服务在全球的整合，积极融入全球供应链体系。鼓励企业布局建设海外运营中心、海外仓等境外外贸服务平台，带动产业链上下游中小企业抱团出海。引导动力电池、现代纺织等特色产业主动参与国际分工与合作，推动高端装备、生物医药等产业开拓国际市场，着力壮大新兴产业出口规模。到2025年，设立境外生产基地5个以上，境外营销网络机构30个以上，力争工业50强企业国际化经营程度显著提高，出口依存度较“十三五”期末提高5个百分点，机电与高新技术产品出口占全县比重提高3个百分点。</w:t>
      </w:r>
    </w:p>
    <w:p w14:paraId="1BB9D2F7">
      <w:pPr>
        <w:overflowPunct w:val="0"/>
        <w:adjustRightInd w:val="0"/>
        <w:spacing w:line="324" w:lineRule="auto"/>
        <w:ind w:firstLine="630" w:firstLineChars="200"/>
        <w:rPr>
          <w:rFonts w:ascii="仿宋_GB2312"/>
          <w:snapToGrid w:val="0"/>
        </w:rPr>
      </w:pPr>
      <w:r>
        <w:rPr>
          <w:rFonts w:hint="eastAsia" w:ascii="仿宋_GB2312"/>
          <w:snapToGrid w:val="0"/>
        </w:rPr>
        <w:t>3.持续优化外经外贸发展环境。支持优势企业跨国发展，开展投资并购、海外上市，培育本土跨国公司，发展更高能级总部经济，建设境外并购产业合作园。推进纺织产业外贸转型升级示范基地建设，实施外贸小微企业培育计划，实施间接转直接、异地转本地、内销转外销“三转”行动，建立常态化政企对接机制和清单化培育机制，优化回流扶持政策，推动实现“长兴产、长兴出”“长兴用、长兴进”。推进外贸综合服务平台建设，积极招引国内大型知名进出口贸易型企业来长设立外贸综合服务企业，为企业提供外贸环节事务、风险控制、退税代办等全流程集约化服务。大力推进通关一体化建设，加快建设国际贸易证照办理“单一窗口”，争取设立海关监管机构。加强外贸风险预警防范，保障外贸企业健康发展。</w:t>
      </w:r>
    </w:p>
    <w:p w14:paraId="5237713D">
      <w:pPr>
        <w:pStyle w:val="3"/>
        <w:adjustRightInd w:val="0"/>
        <w:snapToGrid w:val="0"/>
        <w:spacing w:before="0" w:after="0" w:line="324" w:lineRule="auto"/>
        <w:ind w:firstLine="630" w:firstLineChars="200"/>
        <w:rPr>
          <w:rFonts w:ascii="楷体_GB2312" w:eastAsia="楷体_GB2312"/>
          <w:snapToGrid w:val="0"/>
        </w:rPr>
      </w:pPr>
      <w:bookmarkStart w:id="42" w:name="_Toc65844518"/>
      <w:bookmarkStart w:id="43" w:name="_Toc67664580"/>
      <w:r>
        <w:rPr>
          <w:rFonts w:hint="eastAsia" w:ascii="楷体_GB2312" w:eastAsia="楷体_GB2312"/>
          <w:snapToGrid w:val="0"/>
        </w:rPr>
        <w:t>（四）深入实施区域合作发展战略</w:t>
      </w:r>
      <w:bookmarkEnd w:id="42"/>
      <w:r>
        <w:rPr>
          <w:rFonts w:hint="eastAsia" w:ascii="楷体_GB2312" w:eastAsia="楷体_GB2312"/>
          <w:snapToGrid w:val="0"/>
        </w:rPr>
        <w:t>。</w:t>
      </w:r>
      <w:bookmarkEnd w:id="43"/>
    </w:p>
    <w:p w14:paraId="682AB4AF">
      <w:pPr>
        <w:overflowPunct w:val="0"/>
        <w:adjustRightInd w:val="0"/>
        <w:spacing w:line="324" w:lineRule="auto"/>
        <w:ind w:firstLine="630" w:firstLineChars="200"/>
        <w:rPr>
          <w:rFonts w:ascii="仿宋_GB2312"/>
          <w:snapToGrid w:val="0"/>
        </w:rPr>
      </w:pPr>
      <w:r>
        <w:rPr>
          <w:rFonts w:hint="eastAsia" w:ascii="仿宋_GB2312"/>
          <w:snapToGrid w:val="0"/>
        </w:rPr>
        <w:t>1.深度融入长三角一体化发展。发挥沪苏浙皖合作大通道和宁杭生态经济带“十字”交汇点优势，提升“接沪融杭、联通苏皖”水平。全方位参与长三角产业合作区建设，着力打造长三角省际毗邻区域协同发展示范区。全面参与G60科创走廊建设，争取纳入杭州城西科创大走廊辐射区，探索更多长三角一体化创新试点。共建环太湖生态文化旅游圈、江南水乡文化体验廊道。加快建设“立足南太湖，辐射长三角”的枢纽型交通强县，完善</w:t>
      </w:r>
      <w:bookmarkStart w:id="44" w:name="_Hlk59803208"/>
      <w:r>
        <w:rPr>
          <w:rFonts w:hint="eastAsia" w:ascii="仿宋_GB2312"/>
          <w:snapToGrid w:val="0"/>
        </w:rPr>
        <w:t>“一环两廊、三港、六网络”布局</w:t>
      </w:r>
      <w:bookmarkEnd w:id="44"/>
      <w:r>
        <w:rPr>
          <w:rFonts w:hint="eastAsia" w:ascii="仿宋_GB2312"/>
          <w:snapToGrid w:val="0"/>
        </w:rPr>
        <w:t>（“一环两廊”为环太湖网和宁杭廊道、沪浙皖廊道两条廊道；“三港”为“陆、水、空”三港枢纽体系；“六网络”为建设多层次轨道交通网、纵横交织高速公路网、环状放射骨架公路网、骨干航道网、品质公交网、智慧物流网），谋划实施八三机场军民两用工程，加快推进盐泰锡常宜湖城际、如通苏湖长城际、宜长城际、宣杭铁路开行城际列车等项目规划建设，共建“轨道上的长三角”。加强跨区域跨流域生态屏障、生态廊道联合共建和环境污染联防联治。促进基本公共服务均等化、普惠化、便捷化，深化长三角政务服务“一网通办”“数字长三角”等建设。</w:t>
      </w:r>
    </w:p>
    <w:p w14:paraId="04426AB0">
      <w:pPr>
        <w:overflowPunct w:val="0"/>
        <w:adjustRightInd w:val="0"/>
        <w:spacing w:line="324" w:lineRule="auto"/>
        <w:jc w:val="center"/>
        <w:rPr>
          <w:rFonts w:ascii="仿宋_GB2312"/>
          <w:snapToGrid w:val="0"/>
        </w:rPr>
      </w:pPr>
      <w:r>
        <w:rPr>
          <w:rFonts w:hint="eastAsia" w:ascii="仿宋_GB2312"/>
          <w:snapToGrid w:val="0"/>
        </w:rPr>
        <w:t>专栏：共建“轨道上的长三角”有关项目</w:t>
      </w:r>
    </w:p>
    <w:tbl>
      <w:tblPr>
        <w:tblStyle w:val="15"/>
        <w:tblW w:w="4875" w:type="pct"/>
        <w:tblInd w:w="12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14:paraId="32F221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6CDE88AF">
            <w:pPr>
              <w:adjustRightInd w:val="0"/>
              <w:spacing w:line="300" w:lineRule="auto"/>
              <w:rPr>
                <w:rFonts w:ascii="仿宋_GB2312"/>
                <w:sz w:val="21"/>
                <w:szCs w:val="21"/>
              </w:rPr>
            </w:pPr>
            <w:r>
              <w:rPr>
                <w:rFonts w:hint="eastAsia" w:ascii="仿宋_GB2312"/>
                <w:b/>
                <w:sz w:val="21"/>
                <w:szCs w:val="21"/>
              </w:rPr>
              <w:t>1.宁杭高铁，</w:t>
            </w:r>
            <w:r>
              <w:rPr>
                <w:rFonts w:hint="eastAsia" w:ascii="仿宋_GB2312"/>
                <w:sz w:val="21"/>
                <w:szCs w:val="21"/>
              </w:rPr>
              <w:t>高速客运专线，境内里程16公里，设长兴站，设计时速350公里/小时，目前开行</w:t>
            </w:r>
          </w:p>
          <w:p w14:paraId="1B37EADD">
            <w:pPr>
              <w:adjustRightInd w:val="0"/>
              <w:spacing w:line="300" w:lineRule="auto"/>
              <w:ind w:firstLine="205" w:firstLineChars="100"/>
              <w:rPr>
                <w:rFonts w:ascii="仿宋_GB2312"/>
                <w:sz w:val="21"/>
                <w:szCs w:val="21"/>
              </w:rPr>
            </w:pPr>
            <w:r>
              <w:rPr>
                <w:rFonts w:hint="eastAsia" w:ascii="仿宋_GB2312"/>
                <w:sz w:val="21"/>
                <w:szCs w:val="21"/>
              </w:rPr>
              <w:t>136对/天。</w:t>
            </w:r>
          </w:p>
          <w:p w14:paraId="163F2E25">
            <w:pPr>
              <w:adjustRightInd w:val="0"/>
              <w:spacing w:line="300" w:lineRule="auto"/>
              <w:rPr>
                <w:rFonts w:ascii="仿宋_GB2312"/>
                <w:sz w:val="21"/>
                <w:szCs w:val="21"/>
              </w:rPr>
            </w:pPr>
            <w:r>
              <w:rPr>
                <w:rFonts w:hint="eastAsia" w:ascii="仿宋_GB2312"/>
                <w:b/>
                <w:sz w:val="21"/>
                <w:szCs w:val="21"/>
              </w:rPr>
              <w:t>2.商合杭高铁，</w:t>
            </w:r>
            <w:r>
              <w:rPr>
                <w:rFonts w:hint="eastAsia" w:ascii="仿宋_GB2312"/>
                <w:sz w:val="21"/>
                <w:szCs w:val="21"/>
              </w:rPr>
              <w:t>高速客运专线，境内里程13公里，不设站，设计时速350公里/小时，我县可利</w:t>
            </w:r>
          </w:p>
          <w:p w14:paraId="6EC08600">
            <w:pPr>
              <w:adjustRightInd w:val="0"/>
              <w:spacing w:line="300" w:lineRule="auto"/>
              <w:ind w:firstLine="205" w:firstLineChars="100"/>
              <w:rPr>
                <w:rFonts w:ascii="仿宋_GB2312"/>
                <w:sz w:val="21"/>
                <w:szCs w:val="21"/>
              </w:rPr>
            </w:pPr>
            <w:r>
              <w:rPr>
                <w:rFonts w:hint="eastAsia" w:ascii="仿宋_GB2312"/>
                <w:sz w:val="21"/>
                <w:szCs w:val="21"/>
              </w:rPr>
              <w:t>用湖州站、安吉站出行。</w:t>
            </w:r>
          </w:p>
          <w:p w14:paraId="23EEDF53">
            <w:pPr>
              <w:adjustRightInd w:val="0"/>
              <w:spacing w:line="300" w:lineRule="auto"/>
              <w:rPr>
                <w:rFonts w:ascii="仿宋_GB2312"/>
                <w:sz w:val="21"/>
                <w:szCs w:val="21"/>
              </w:rPr>
            </w:pPr>
            <w:r>
              <w:rPr>
                <w:rFonts w:hint="eastAsia" w:ascii="仿宋_GB2312"/>
                <w:b/>
                <w:sz w:val="21"/>
                <w:szCs w:val="21"/>
              </w:rPr>
              <w:t>3.新长铁路，</w:t>
            </w:r>
            <w:r>
              <w:rPr>
                <w:rFonts w:hint="eastAsia" w:ascii="仿宋_GB2312"/>
                <w:sz w:val="21"/>
                <w:szCs w:val="21"/>
              </w:rPr>
              <w:t>连接宣杭线与陇海线的干线铁路，境内里程24公里，目前是单线非电气化货运铁路，</w:t>
            </w:r>
          </w:p>
          <w:p w14:paraId="3DE7BDF7">
            <w:pPr>
              <w:adjustRightInd w:val="0"/>
              <w:spacing w:line="300" w:lineRule="auto"/>
              <w:ind w:firstLine="205" w:firstLineChars="100"/>
              <w:rPr>
                <w:rFonts w:ascii="仿宋_GB2312"/>
                <w:sz w:val="21"/>
                <w:szCs w:val="21"/>
              </w:rPr>
            </w:pPr>
            <w:r>
              <w:rPr>
                <w:rFonts w:hint="eastAsia" w:ascii="仿宋_GB2312"/>
                <w:sz w:val="21"/>
                <w:szCs w:val="21"/>
              </w:rPr>
              <w:t>设计时速120公里/小时。</w:t>
            </w:r>
          </w:p>
          <w:p w14:paraId="50255757">
            <w:pPr>
              <w:adjustRightInd w:val="0"/>
              <w:spacing w:line="300" w:lineRule="auto"/>
              <w:rPr>
                <w:rFonts w:ascii="仿宋_GB2312"/>
                <w:sz w:val="21"/>
                <w:szCs w:val="21"/>
              </w:rPr>
            </w:pPr>
            <w:r>
              <w:rPr>
                <w:rFonts w:hint="eastAsia" w:ascii="仿宋_GB2312"/>
                <w:b/>
                <w:sz w:val="21"/>
                <w:szCs w:val="21"/>
              </w:rPr>
              <w:t>4.宣杭铁路，</w:t>
            </w:r>
            <w:r>
              <w:rPr>
                <w:rFonts w:hint="eastAsia" w:ascii="仿宋_GB2312"/>
                <w:sz w:val="21"/>
                <w:szCs w:val="21"/>
              </w:rPr>
              <w:t>华东第二通道的重要组成部分，设计时速160公里/小时，境内里程44公里，双线</w:t>
            </w:r>
          </w:p>
          <w:p w14:paraId="6980F71F">
            <w:pPr>
              <w:adjustRightInd w:val="0"/>
              <w:spacing w:line="300" w:lineRule="auto"/>
              <w:ind w:firstLine="205" w:firstLineChars="100"/>
              <w:rPr>
                <w:rFonts w:ascii="仿宋_GB2312"/>
                <w:sz w:val="21"/>
                <w:szCs w:val="21"/>
              </w:rPr>
            </w:pPr>
            <w:r>
              <w:rPr>
                <w:rFonts w:hint="eastAsia" w:ascii="仿宋_GB2312"/>
                <w:sz w:val="21"/>
                <w:szCs w:val="21"/>
              </w:rPr>
              <w:t>电气化客货两用铁路。具备未来开行城际客运列车的条件。</w:t>
            </w:r>
          </w:p>
          <w:p w14:paraId="04375021">
            <w:pPr>
              <w:adjustRightInd w:val="0"/>
              <w:spacing w:line="300" w:lineRule="auto"/>
              <w:rPr>
                <w:rFonts w:ascii="仿宋_GB2312"/>
                <w:sz w:val="21"/>
                <w:szCs w:val="21"/>
              </w:rPr>
            </w:pPr>
            <w:r>
              <w:rPr>
                <w:rFonts w:hint="eastAsia" w:ascii="仿宋_GB2312"/>
                <w:b/>
                <w:sz w:val="21"/>
                <w:szCs w:val="21"/>
              </w:rPr>
              <w:t>5.长牛铁路，</w:t>
            </w:r>
            <w:r>
              <w:rPr>
                <w:rFonts w:hint="eastAsia" w:ascii="仿宋_GB2312"/>
                <w:sz w:val="21"/>
                <w:szCs w:val="21"/>
              </w:rPr>
              <w:t>境内里程38公里，目前为单线非电气化货运铁路，设计时速80公里/小时。</w:t>
            </w:r>
          </w:p>
          <w:p w14:paraId="18EC9194">
            <w:pPr>
              <w:adjustRightInd w:val="0"/>
              <w:spacing w:line="300" w:lineRule="auto"/>
              <w:rPr>
                <w:rFonts w:ascii="仿宋_GB2312"/>
                <w:sz w:val="21"/>
                <w:szCs w:val="21"/>
              </w:rPr>
            </w:pPr>
            <w:r>
              <w:rPr>
                <w:rFonts w:hint="eastAsia" w:ascii="仿宋_GB2312"/>
                <w:b/>
                <w:sz w:val="21"/>
                <w:szCs w:val="21"/>
              </w:rPr>
              <w:t>6.盐泰锡常宜湖区域城际铁路，</w:t>
            </w:r>
            <w:r>
              <w:rPr>
                <w:rFonts w:hint="eastAsia" w:ascii="仿宋_GB2312"/>
                <w:sz w:val="21"/>
                <w:szCs w:val="21"/>
              </w:rPr>
              <w:t>高速客运专线，设计350公里/小时，项目已经列入《长江三角洲</w:t>
            </w:r>
          </w:p>
          <w:p w14:paraId="764BE5EE">
            <w:pPr>
              <w:adjustRightInd w:val="0"/>
              <w:spacing w:line="300" w:lineRule="auto"/>
              <w:ind w:firstLine="205" w:firstLineChars="100"/>
              <w:rPr>
                <w:rFonts w:ascii="仿宋_GB2312"/>
                <w:sz w:val="21"/>
                <w:szCs w:val="21"/>
              </w:rPr>
            </w:pPr>
            <w:r>
              <w:rPr>
                <w:rFonts w:hint="eastAsia" w:ascii="仿宋_GB2312"/>
                <w:sz w:val="21"/>
                <w:szCs w:val="21"/>
              </w:rPr>
              <w:t>地区交通运输更高质量一体化发展规划》，将过境长兴，并在长兴设站。</w:t>
            </w:r>
          </w:p>
          <w:p w14:paraId="4E9C566A">
            <w:pPr>
              <w:adjustRightInd w:val="0"/>
              <w:spacing w:line="300" w:lineRule="auto"/>
              <w:rPr>
                <w:rFonts w:ascii="仿宋_GB2312"/>
                <w:sz w:val="21"/>
                <w:szCs w:val="21"/>
              </w:rPr>
            </w:pPr>
            <w:r>
              <w:rPr>
                <w:rFonts w:hint="eastAsia" w:ascii="仿宋_GB2312"/>
                <w:b/>
                <w:sz w:val="21"/>
                <w:szCs w:val="21"/>
              </w:rPr>
              <w:t>7.如通苏湖城际铁路，</w:t>
            </w:r>
            <w:r>
              <w:rPr>
                <w:rFonts w:hint="eastAsia" w:ascii="仿宋_GB2312"/>
                <w:sz w:val="21"/>
                <w:szCs w:val="21"/>
              </w:rPr>
              <w:t>城际客运专线，设计时速160公里/小时，项目已经列入正在编制的《长三</w:t>
            </w:r>
          </w:p>
          <w:p w14:paraId="05F93E57">
            <w:pPr>
              <w:adjustRightInd w:val="0"/>
              <w:spacing w:line="300" w:lineRule="auto"/>
              <w:ind w:firstLine="205" w:firstLineChars="100"/>
              <w:rPr>
                <w:rFonts w:ascii="仿宋_GB2312"/>
                <w:sz w:val="21"/>
                <w:szCs w:val="21"/>
              </w:rPr>
            </w:pPr>
            <w:r>
              <w:rPr>
                <w:rFonts w:hint="eastAsia" w:ascii="仿宋_GB2312"/>
                <w:sz w:val="21"/>
                <w:szCs w:val="21"/>
              </w:rPr>
              <w:t>角地区多层次轨道交通体系规划》，计划接入长兴站。</w:t>
            </w:r>
          </w:p>
          <w:p w14:paraId="12556072">
            <w:pPr>
              <w:adjustRightInd w:val="0"/>
              <w:spacing w:line="300" w:lineRule="auto"/>
              <w:rPr>
                <w:rFonts w:ascii="仿宋_GB2312"/>
                <w:sz w:val="21"/>
                <w:szCs w:val="21"/>
              </w:rPr>
            </w:pPr>
            <w:r>
              <w:rPr>
                <w:rFonts w:hint="eastAsia" w:ascii="仿宋_GB2312"/>
                <w:b/>
                <w:sz w:val="21"/>
                <w:szCs w:val="21"/>
              </w:rPr>
              <w:t>8.宜兴至长兴城际铁路，</w:t>
            </w:r>
            <w:r>
              <w:rPr>
                <w:rFonts w:hint="eastAsia" w:ascii="仿宋_GB2312"/>
                <w:sz w:val="21"/>
                <w:szCs w:val="21"/>
              </w:rPr>
              <w:t>环太湖城际铁路圈的重要组成部分，起于宜兴站，衔接无锡市域S2线，</w:t>
            </w:r>
          </w:p>
          <w:p w14:paraId="36D0977E">
            <w:pPr>
              <w:adjustRightInd w:val="0"/>
              <w:spacing w:line="300" w:lineRule="auto"/>
              <w:ind w:firstLine="205" w:firstLineChars="100"/>
              <w:rPr>
                <w:rFonts w:ascii="仿宋_GB2312"/>
                <w:sz w:val="21"/>
                <w:szCs w:val="21"/>
              </w:rPr>
            </w:pPr>
            <w:r>
              <w:rPr>
                <w:rFonts w:hint="eastAsia" w:ascii="仿宋_GB2312"/>
                <w:sz w:val="21"/>
                <w:szCs w:val="21"/>
              </w:rPr>
              <w:t>终到长兴站，衔接如通苏湖城际铁路，境内里程约16公里，设计速度160公里/小时。</w:t>
            </w:r>
          </w:p>
          <w:p w14:paraId="156F2DC8">
            <w:pPr>
              <w:adjustRightInd w:val="0"/>
              <w:spacing w:line="300" w:lineRule="auto"/>
              <w:rPr>
                <w:rFonts w:ascii="仿宋_GB2312"/>
                <w:sz w:val="21"/>
                <w:szCs w:val="21"/>
              </w:rPr>
            </w:pPr>
            <w:r>
              <w:rPr>
                <w:rFonts w:hint="eastAsia" w:ascii="仿宋_GB2312"/>
                <w:b/>
                <w:sz w:val="21"/>
                <w:szCs w:val="21"/>
              </w:rPr>
              <w:t>9.湖州至安吉市域铁路，</w:t>
            </w:r>
            <w:r>
              <w:rPr>
                <w:rFonts w:hint="eastAsia" w:ascii="仿宋_GB2312"/>
                <w:sz w:val="21"/>
                <w:szCs w:val="21"/>
              </w:rPr>
              <w:t>途经和平镇，境内里程约16公里，设计速度160公里/小时。</w:t>
            </w:r>
          </w:p>
          <w:p w14:paraId="5DF825CE">
            <w:pPr>
              <w:adjustRightInd w:val="0"/>
              <w:spacing w:line="300" w:lineRule="auto"/>
              <w:rPr>
                <w:rFonts w:ascii="仿宋_GB2312"/>
                <w:sz w:val="21"/>
                <w:szCs w:val="21"/>
              </w:rPr>
            </w:pPr>
            <w:r>
              <w:rPr>
                <w:rFonts w:hint="eastAsia" w:ascii="仿宋_GB2312"/>
                <w:b/>
                <w:sz w:val="21"/>
                <w:szCs w:val="21"/>
              </w:rPr>
              <w:t>10.城市轨道交通2、3、4号线，</w:t>
            </w:r>
            <w:r>
              <w:rPr>
                <w:rFonts w:hint="eastAsia" w:ascii="仿宋_GB2312"/>
                <w:sz w:val="21"/>
                <w:szCs w:val="21"/>
              </w:rPr>
              <w:t>2号线起于太湖图影旅游度假区，终到南太湖新区康山街道长西</w:t>
            </w:r>
          </w:p>
          <w:p w14:paraId="6E15A136">
            <w:pPr>
              <w:adjustRightInd w:val="0"/>
              <w:spacing w:line="300" w:lineRule="auto"/>
              <w:ind w:firstLine="308" w:firstLineChars="150"/>
              <w:rPr>
                <w:rFonts w:ascii="仿宋_GB2312"/>
                <w:sz w:val="21"/>
                <w:szCs w:val="21"/>
              </w:rPr>
            </w:pPr>
            <w:r>
              <w:rPr>
                <w:rFonts w:hint="eastAsia" w:ascii="仿宋_GB2312"/>
                <w:sz w:val="21"/>
                <w:szCs w:val="21"/>
              </w:rPr>
              <w:t>村，境内里程约3公里，设计速度80-120公里/小时；3号线起于长兴龙之梦南门，终到沪苏</w:t>
            </w:r>
          </w:p>
          <w:p w14:paraId="2A72A913">
            <w:pPr>
              <w:adjustRightInd w:val="0"/>
              <w:spacing w:line="300" w:lineRule="auto"/>
              <w:ind w:firstLine="308" w:firstLineChars="150"/>
              <w:rPr>
                <w:rFonts w:ascii="仿宋_GB2312"/>
                <w:sz w:val="21"/>
                <w:szCs w:val="21"/>
              </w:rPr>
            </w:pPr>
            <w:r>
              <w:rPr>
                <w:rFonts w:hint="eastAsia" w:ascii="仿宋_GB2312"/>
                <w:sz w:val="21"/>
                <w:szCs w:val="21"/>
              </w:rPr>
              <w:t>湖高铁湖州东站，境内约1.6公里，设计速度80-120公里/小时；4号线起于长兴高铁站，终</w:t>
            </w:r>
          </w:p>
          <w:p w14:paraId="71595E46">
            <w:pPr>
              <w:adjustRightInd w:val="0"/>
              <w:spacing w:line="300" w:lineRule="auto"/>
              <w:ind w:firstLine="308" w:firstLineChars="150"/>
            </w:pPr>
            <w:r>
              <w:rPr>
                <w:rFonts w:hint="eastAsia" w:ascii="仿宋_GB2312"/>
                <w:sz w:val="21"/>
                <w:szCs w:val="21"/>
              </w:rPr>
              <w:t>到大学城，串联湖州站和长兴站，境内里程约24公里，设计速度80-120公里/小时。</w:t>
            </w:r>
          </w:p>
        </w:tc>
      </w:tr>
    </w:tbl>
    <w:p w14:paraId="0FCBEEAA">
      <w:pPr>
        <w:overflowPunct w:val="0"/>
        <w:adjustRightInd w:val="0"/>
        <w:spacing w:before="126" w:beforeLines="20" w:line="324" w:lineRule="auto"/>
        <w:ind w:firstLine="630" w:firstLineChars="200"/>
        <w:rPr>
          <w:rFonts w:ascii="仿宋_GB2312"/>
          <w:snapToGrid w:val="0"/>
        </w:rPr>
      </w:pPr>
      <w:r>
        <w:rPr>
          <w:rFonts w:ascii="仿宋_GB2312"/>
          <w:snapToGrid w:val="0"/>
        </w:rPr>
        <w:t>2.积极参与大湾区大通道大都市区建设。主动接轨环杭州湾经济区、甬台温临港产业带和义甬舟开放大通道，主动参与嘉湖一体化、杭湖一体化、滨湖一体化发展战略，加快大湾区、大都市区标志性项目建设，积极参与大湾区、大都市区创新链产业链协同布局。积极参与数字湾区建设，加快推进新型基础设施建设，培育发展数字经济核心产业，加快建设智慧城市。</w:t>
      </w:r>
    </w:p>
    <w:p w14:paraId="201F169F">
      <w:pPr>
        <w:overflowPunct w:val="0"/>
        <w:adjustRightInd w:val="0"/>
        <w:spacing w:line="324" w:lineRule="auto"/>
        <w:ind w:firstLine="630" w:firstLineChars="200"/>
        <w:rPr>
          <w:rFonts w:ascii="仿宋_GB2312"/>
          <w:snapToGrid w:val="0"/>
        </w:rPr>
      </w:pPr>
      <w:r>
        <w:rPr>
          <w:rFonts w:hint="eastAsia" w:ascii="仿宋_GB2312"/>
          <w:snapToGrid w:val="0"/>
        </w:rPr>
        <w:t>3.持续推进山海协作和对口帮扶。巩固提升“山海协作”机制，着力构建更宽领域、更多层次、更高水平的山海协作新格局，加快形成南北联动、资源共享的发展格局，深化经济发展、人才交流、教育帮扶、社会事业等领域合作，推动对口协作结出更加丰硕的成果。深化推进援藏、援疆、援青等东西部扶贫和川渝、吉林等对口支援帮扶，加大与对口地区在产业合作、消费帮扶、劳务协作、社会帮扶等领域合作力度，积极推动脱贫成果与乡村振兴有效衔接。</w:t>
      </w:r>
    </w:p>
    <w:p w14:paraId="367BC8F6">
      <w:pPr>
        <w:pStyle w:val="3"/>
        <w:adjustRightInd w:val="0"/>
        <w:snapToGrid w:val="0"/>
        <w:spacing w:before="0" w:after="0" w:line="324" w:lineRule="auto"/>
        <w:ind w:firstLine="630" w:firstLineChars="200"/>
        <w:rPr>
          <w:rFonts w:ascii="楷体_GB2312" w:eastAsia="楷体_GB2312"/>
          <w:snapToGrid w:val="0"/>
        </w:rPr>
      </w:pPr>
      <w:bookmarkStart w:id="45" w:name="_Toc65844519"/>
      <w:bookmarkStart w:id="46" w:name="_Toc67664581"/>
      <w:r>
        <w:rPr>
          <w:rFonts w:hint="eastAsia" w:ascii="楷体_GB2312" w:eastAsia="楷体_GB2312"/>
          <w:snapToGrid w:val="0"/>
        </w:rPr>
        <w:t>（五）加快构建公平开放高效的市场体系</w:t>
      </w:r>
      <w:bookmarkEnd w:id="45"/>
      <w:r>
        <w:rPr>
          <w:rFonts w:hint="eastAsia" w:ascii="楷体_GB2312" w:eastAsia="楷体_GB2312"/>
          <w:snapToGrid w:val="0"/>
        </w:rPr>
        <w:t>。</w:t>
      </w:r>
      <w:bookmarkEnd w:id="46"/>
    </w:p>
    <w:p w14:paraId="1BFDB030">
      <w:pPr>
        <w:overflowPunct w:val="0"/>
        <w:adjustRightInd w:val="0"/>
        <w:spacing w:line="324" w:lineRule="auto"/>
        <w:ind w:firstLine="630" w:firstLineChars="200"/>
        <w:rPr>
          <w:rFonts w:ascii="仿宋_GB2312"/>
          <w:snapToGrid w:val="0"/>
        </w:rPr>
      </w:pPr>
      <w:r>
        <w:rPr>
          <w:rFonts w:hint="eastAsia" w:ascii="仿宋_GB2312"/>
          <w:snapToGrid w:val="0"/>
        </w:rPr>
        <w:t>1.深入推进资源要素市场化配置。充分发挥市场配置资源的决定性作用，突出数字赋能，畅通土地、劳动力、资本、技术、数据、能源、环境容量等要素流动渠道，保障不同市场主体平等获取生产要素。发挥市场竞争作用，完善政府调节与监管，做到放活与管好有机结合，引导各类要素协同向先进生产力集聚，实现要素配置效益最大化和效率最优化。突出问题导向、分类施策，根据不同要素属性、市场化程度差异和经济社会发展需要，分类完善要素市场化配置体制机制。坚持安全可控，尊重客观规律，</w:t>
      </w:r>
      <w:r>
        <w:rPr>
          <w:rFonts w:hint="eastAsia" w:ascii="仿宋_GB2312"/>
          <w:snapToGrid w:val="0"/>
          <w:spacing w:val="-3"/>
        </w:rPr>
        <w:t>培育发展新型要素形态。“十四五”期间，每年出让土地总量中工业用地比例不低于30%，优先保障单位能耗达到国际先进水平的制造业重大项目，实现规上工业企业参与电力市场化交易全覆盖。</w:t>
      </w:r>
    </w:p>
    <w:p w14:paraId="4B82A498">
      <w:pPr>
        <w:overflowPunct w:val="0"/>
        <w:adjustRightInd w:val="0"/>
        <w:spacing w:line="324" w:lineRule="auto"/>
        <w:jc w:val="center"/>
        <w:rPr>
          <w:rFonts w:ascii="仿宋_GB2312"/>
          <w:snapToGrid w:val="0"/>
        </w:rPr>
      </w:pPr>
      <w:r>
        <w:rPr>
          <w:rFonts w:ascii="仿宋_GB2312"/>
          <w:snapToGrid w:val="0"/>
        </w:rPr>
        <w:t>专栏：资源要素市场化配置改革主要任务</w:t>
      </w:r>
    </w:p>
    <w:tbl>
      <w:tblPr>
        <w:tblStyle w:val="15"/>
        <w:tblW w:w="4875" w:type="pct"/>
        <w:tblInd w:w="12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14:paraId="5E3A03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14:paraId="3D9BCF57">
            <w:pPr>
              <w:adjustRightInd w:val="0"/>
              <w:spacing w:line="300" w:lineRule="auto"/>
              <w:ind w:left="411" w:hanging="410" w:hangingChars="200"/>
              <w:rPr>
                <w:rFonts w:ascii="仿宋_GB2312"/>
                <w:sz w:val="21"/>
                <w:szCs w:val="21"/>
              </w:rPr>
            </w:pPr>
            <w:r>
              <w:rPr>
                <w:rFonts w:hint="eastAsia" w:ascii="仿宋_GB2312"/>
                <w:b/>
                <w:sz w:val="21"/>
                <w:szCs w:val="21"/>
              </w:rPr>
              <w:t>1.推进土地要素市场化配置。</w:t>
            </w:r>
          </w:p>
          <w:p w14:paraId="36BDBA49">
            <w:pPr>
              <w:adjustRightInd w:val="0"/>
              <w:spacing w:line="300" w:lineRule="auto"/>
              <w:ind w:firstLine="205" w:firstLineChars="100"/>
              <w:rPr>
                <w:sz w:val="21"/>
                <w:szCs w:val="21"/>
              </w:rPr>
            </w:pPr>
            <w:r>
              <w:rPr>
                <w:rFonts w:hint="eastAsia" w:ascii="仿宋_GB2312"/>
                <w:sz w:val="21"/>
                <w:szCs w:val="21"/>
              </w:rPr>
              <w:t>建立</w:t>
            </w:r>
            <w:r>
              <w:rPr>
                <w:sz w:val="21"/>
                <w:szCs w:val="21"/>
              </w:rPr>
              <w:t>健全城乡统一的建设用地市场，深化产业用地市场化配置改革，鼓励盘活存量建设用地，完善土地要素市场化配置体制。</w:t>
            </w:r>
          </w:p>
          <w:p w14:paraId="0ED35B97">
            <w:pPr>
              <w:adjustRightInd w:val="0"/>
              <w:spacing w:line="300" w:lineRule="auto"/>
              <w:ind w:left="411" w:hanging="410" w:hangingChars="200"/>
              <w:rPr>
                <w:sz w:val="21"/>
                <w:szCs w:val="21"/>
              </w:rPr>
            </w:pPr>
            <w:r>
              <w:rPr>
                <w:rFonts w:ascii="仿宋_GB2312"/>
                <w:b/>
                <w:sz w:val="21"/>
                <w:szCs w:val="21"/>
              </w:rPr>
              <w:t>2.引导劳动力要素合理畅通有序流动。</w:t>
            </w:r>
          </w:p>
          <w:p w14:paraId="013BFA76">
            <w:pPr>
              <w:adjustRightInd w:val="0"/>
              <w:spacing w:line="300" w:lineRule="auto"/>
              <w:ind w:firstLine="205" w:firstLineChars="100"/>
              <w:rPr>
                <w:rFonts w:ascii="仿宋_GB2312"/>
                <w:sz w:val="21"/>
                <w:szCs w:val="21"/>
              </w:rPr>
            </w:pPr>
            <w:r>
              <w:rPr>
                <w:rFonts w:ascii="仿宋_GB2312"/>
                <w:sz w:val="21"/>
                <w:szCs w:val="21"/>
              </w:rPr>
              <w:t>深化户籍制度改革，畅通劳动力和人才社会性流动渠道，完善技术技能评价制度，加大人才引进力度。</w:t>
            </w:r>
          </w:p>
          <w:p w14:paraId="5C87F9A6">
            <w:pPr>
              <w:adjustRightInd w:val="0"/>
              <w:spacing w:line="300" w:lineRule="auto"/>
              <w:ind w:left="411" w:hanging="410" w:hangingChars="200"/>
              <w:rPr>
                <w:rFonts w:ascii="仿宋_GB2312"/>
                <w:b/>
                <w:sz w:val="21"/>
                <w:szCs w:val="21"/>
              </w:rPr>
            </w:pPr>
            <w:r>
              <w:rPr>
                <w:rFonts w:ascii="仿宋_GB2312"/>
                <w:b/>
                <w:sz w:val="21"/>
                <w:szCs w:val="21"/>
              </w:rPr>
              <w:t>3.推进资本要素市场化配置。</w:t>
            </w:r>
          </w:p>
          <w:p w14:paraId="52EC2E0F">
            <w:pPr>
              <w:adjustRightInd w:val="0"/>
              <w:spacing w:line="300" w:lineRule="auto"/>
              <w:ind w:firstLine="205" w:firstLineChars="100"/>
              <w:rPr>
                <w:rFonts w:ascii="仿宋_GB2312"/>
                <w:sz w:val="21"/>
                <w:szCs w:val="21"/>
              </w:rPr>
            </w:pPr>
            <w:r>
              <w:rPr>
                <w:rFonts w:ascii="仿宋_GB2312"/>
                <w:sz w:val="21"/>
                <w:szCs w:val="21"/>
              </w:rPr>
              <w:t>增加有效金融服务供给，健全多层次资本市场体系；构建多层次、广覆盖、有差异、大中小合理分工的银行机构体系，优化金融资源配置，增加服务小微企业和民营企业的金融服务供给；建立县域银行业金融机构服务“三农”的激励约束机制；推进绿色金融创新。</w:t>
            </w:r>
          </w:p>
          <w:p w14:paraId="5BCBDEC7">
            <w:pPr>
              <w:adjustRightInd w:val="0"/>
              <w:spacing w:line="300" w:lineRule="auto"/>
              <w:ind w:left="411" w:hanging="410" w:hangingChars="200"/>
              <w:rPr>
                <w:sz w:val="21"/>
                <w:szCs w:val="21"/>
              </w:rPr>
            </w:pPr>
            <w:r>
              <w:rPr>
                <w:rFonts w:ascii="仿宋_GB2312"/>
                <w:b/>
                <w:sz w:val="21"/>
                <w:szCs w:val="21"/>
              </w:rPr>
              <w:t>4.加快发展技术要素市场。</w:t>
            </w:r>
          </w:p>
          <w:p w14:paraId="6AA85A36">
            <w:pPr>
              <w:adjustRightInd w:val="0"/>
              <w:spacing w:line="300" w:lineRule="auto"/>
              <w:ind w:firstLine="205" w:firstLineChars="100"/>
              <w:rPr>
                <w:rFonts w:ascii="仿宋_GB2312"/>
                <w:sz w:val="21"/>
                <w:szCs w:val="21"/>
              </w:rPr>
            </w:pPr>
            <w:r>
              <w:rPr>
                <w:rFonts w:ascii="仿宋_GB2312"/>
                <w:sz w:val="21"/>
                <w:szCs w:val="21"/>
              </w:rPr>
              <w:t>健全职务科技成果产权制度，完善科技创新资源配置方式，培育发展技术转移机构和技术经理人，促进技术要素与资本要素融合发展，支持国际科技创新合作。</w:t>
            </w:r>
          </w:p>
          <w:p w14:paraId="52237EC2">
            <w:pPr>
              <w:adjustRightInd w:val="0"/>
              <w:spacing w:line="300" w:lineRule="auto"/>
              <w:ind w:left="411" w:hanging="410" w:hangingChars="200"/>
              <w:rPr>
                <w:rFonts w:ascii="仿宋_GB2312"/>
                <w:b/>
                <w:sz w:val="21"/>
                <w:szCs w:val="21"/>
              </w:rPr>
            </w:pPr>
            <w:r>
              <w:rPr>
                <w:rFonts w:ascii="仿宋_GB2312"/>
                <w:b/>
                <w:sz w:val="21"/>
                <w:szCs w:val="21"/>
              </w:rPr>
              <w:t>5.加快培育数据要素市场。</w:t>
            </w:r>
          </w:p>
          <w:p w14:paraId="614EF738">
            <w:pPr>
              <w:adjustRightInd w:val="0"/>
              <w:spacing w:line="300" w:lineRule="auto"/>
              <w:ind w:firstLine="205" w:firstLineChars="100"/>
              <w:rPr>
                <w:rFonts w:ascii="仿宋_GB2312"/>
                <w:sz w:val="21"/>
                <w:szCs w:val="21"/>
              </w:rPr>
            </w:pPr>
            <w:r>
              <w:rPr>
                <w:rFonts w:ascii="仿宋_GB2312"/>
                <w:sz w:val="21"/>
                <w:szCs w:val="21"/>
              </w:rPr>
              <w:t>推进公共数据开放共享，提升社会数据资源价值，加强数据资源整合和安全保护。</w:t>
            </w:r>
          </w:p>
          <w:p w14:paraId="482AB557">
            <w:pPr>
              <w:adjustRightInd w:val="0"/>
              <w:spacing w:line="300" w:lineRule="auto"/>
              <w:ind w:left="411" w:hanging="410" w:hangingChars="200"/>
              <w:rPr>
                <w:rFonts w:ascii="仿宋_GB2312"/>
                <w:b/>
                <w:sz w:val="21"/>
                <w:szCs w:val="21"/>
              </w:rPr>
            </w:pPr>
            <w:r>
              <w:rPr>
                <w:rFonts w:ascii="仿宋_GB2312"/>
                <w:b/>
                <w:sz w:val="21"/>
                <w:szCs w:val="21"/>
              </w:rPr>
              <w:t>6.加快要素价格市场化改革。</w:t>
            </w:r>
          </w:p>
          <w:p w14:paraId="38148642">
            <w:pPr>
              <w:adjustRightInd w:val="0"/>
              <w:spacing w:line="300" w:lineRule="auto"/>
              <w:ind w:firstLine="205" w:firstLineChars="100"/>
              <w:rPr>
                <w:rFonts w:ascii="仿宋_GB2312"/>
                <w:sz w:val="21"/>
                <w:szCs w:val="21"/>
              </w:rPr>
            </w:pPr>
            <w:r>
              <w:rPr>
                <w:rFonts w:ascii="仿宋_GB2312"/>
                <w:sz w:val="21"/>
                <w:szCs w:val="21"/>
              </w:rPr>
              <w:t>完善主要由市场决定要素价格机制，加强要素价格管理和监督，健全生产要素由市场评价贡献、按贡献决定报酬的机制。</w:t>
            </w:r>
          </w:p>
          <w:p w14:paraId="72B4CEEF">
            <w:pPr>
              <w:adjustRightInd w:val="0"/>
              <w:spacing w:line="300" w:lineRule="auto"/>
              <w:ind w:left="411" w:hanging="410" w:hangingChars="200"/>
              <w:rPr>
                <w:sz w:val="21"/>
                <w:szCs w:val="21"/>
              </w:rPr>
            </w:pPr>
            <w:r>
              <w:rPr>
                <w:rFonts w:ascii="仿宋_GB2312"/>
                <w:b/>
                <w:sz w:val="21"/>
                <w:szCs w:val="21"/>
              </w:rPr>
              <w:t>7.健全要素市场运行机制。</w:t>
            </w:r>
          </w:p>
          <w:p w14:paraId="468E2FF1">
            <w:pPr>
              <w:adjustRightInd w:val="0"/>
              <w:spacing w:line="300" w:lineRule="auto"/>
              <w:ind w:firstLine="205" w:firstLineChars="100"/>
              <w:rPr>
                <w:szCs w:val="32"/>
              </w:rPr>
            </w:pPr>
            <w:r>
              <w:rPr>
                <w:rFonts w:ascii="仿宋_GB2312"/>
                <w:sz w:val="21"/>
                <w:szCs w:val="21"/>
              </w:rPr>
              <w:t>健全要素市场化交易平台，完善要素交易规则和服务，提升要素交易监管水平，增强要素应急配置能力。</w:t>
            </w:r>
          </w:p>
        </w:tc>
      </w:tr>
    </w:tbl>
    <w:p w14:paraId="2A7064F1">
      <w:pPr>
        <w:overflowPunct w:val="0"/>
        <w:adjustRightInd w:val="0"/>
        <w:spacing w:before="126" w:beforeLines="20" w:line="322" w:lineRule="auto"/>
        <w:ind w:firstLine="630" w:firstLineChars="200"/>
        <w:rPr>
          <w:rFonts w:ascii="仿宋_GB2312"/>
          <w:snapToGrid w:val="0"/>
        </w:rPr>
      </w:pPr>
      <w:r>
        <w:rPr>
          <w:rFonts w:hint="eastAsia" w:ascii="仿宋_GB2312"/>
          <w:snapToGrid w:val="0"/>
        </w:rPr>
        <w:t>2.激发各类市场主体活力。毫不动摇巩固发展公有制经济，毫不动摇鼓励、支持、引导非公有制经济发展。深化国资国企改革，坚持社会主义市场经济改革方向，完善产权清晰、权责明确、政企分开、管理科学的现代企业制度，完善国有资产监管体制，推动国有企业做大做优做强，进军资本市场、加快挂牌上市步伐。梯度培育各类企业主体，着力打造更多“雄鹰”“金象”“金牛”企业。优化民营经济发展环境，高效落实降本减负一揽子政策，进一步减轻民营经济成本负担；支持民营经济进入基础设施、公共事业等重点领域；构建亲清新型政商关系，大力弘扬新时代浙商精神，实施“品质浙（长）商提升工程”和“浙（长）商青蓝接力工程”，依法平等保护民营企业产权和企业家权益，促进非公有制经济健康发展和非公有制经济人士健康成长。</w:t>
      </w:r>
    </w:p>
    <w:p w14:paraId="5541BF80">
      <w:pPr>
        <w:overflowPunct w:val="0"/>
        <w:adjustRightInd w:val="0"/>
        <w:spacing w:line="322" w:lineRule="auto"/>
        <w:jc w:val="center"/>
        <w:rPr>
          <w:rFonts w:ascii="仿宋_GB2312"/>
          <w:snapToGrid w:val="0"/>
        </w:rPr>
      </w:pPr>
      <w:r>
        <w:rPr>
          <w:rFonts w:hint="eastAsia" w:ascii="仿宋_GB2312"/>
          <w:snapToGrid w:val="0"/>
        </w:rPr>
        <w:t>专栏：国有企业改革主要任务</w:t>
      </w:r>
    </w:p>
    <w:tbl>
      <w:tblPr>
        <w:tblStyle w:val="15"/>
        <w:tblW w:w="4875" w:type="pct"/>
        <w:tblInd w:w="12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4"/>
      </w:tblGrid>
      <w:tr w14:paraId="7FD0E96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5A96AD8C">
            <w:pPr>
              <w:widowControl/>
              <w:adjustRightInd w:val="0"/>
              <w:spacing w:line="295" w:lineRule="auto"/>
              <w:ind w:left="411" w:hanging="410" w:hangingChars="200"/>
              <w:jc w:val="left"/>
              <w:rPr>
                <w:rFonts w:ascii="仿宋_GB2312"/>
                <w:b/>
                <w:bCs/>
                <w:sz w:val="21"/>
                <w:szCs w:val="21"/>
              </w:rPr>
            </w:pPr>
            <w:r>
              <w:rPr>
                <w:rFonts w:hint="eastAsia" w:ascii="仿宋_GB2312"/>
                <w:b/>
                <w:bCs/>
                <w:sz w:val="21"/>
                <w:szCs w:val="21"/>
              </w:rPr>
              <w:t>1.完善现代企业制度。</w:t>
            </w:r>
          </w:p>
          <w:p w14:paraId="1184C2BE">
            <w:pPr>
              <w:widowControl/>
              <w:adjustRightInd w:val="0"/>
              <w:spacing w:line="295" w:lineRule="auto"/>
              <w:ind w:firstLine="205" w:firstLineChars="100"/>
              <w:jc w:val="left"/>
              <w:rPr>
                <w:rFonts w:ascii="仿宋_GB2312"/>
                <w:b/>
                <w:bCs/>
                <w:sz w:val="21"/>
                <w:szCs w:val="21"/>
              </w:rPr>
            </w:pPr>
            <w:r>
              <w:rPr>
                <w:rFonts w:hint="eastAsia" w:ascii="仿宋_GB2312"/>
                <w:sz w:val="21"/>
                <w:szCs w:val="21"/>
              </w:rPr>
              <w:t>推进公司制股份制改革，大力推动国有企业改制上市，创造条件实现集团公司整体上市。健全公司法人治理结构，建立健全权责对等、运转协调、有效制衡的决策执行监督机制。建立国有企业领导人员分类分层管理制度，坚持党管干部原则与董事会依法产生、董事会依法选择经营管理者、经营管理者依法行使用人权相结合，不断创新有效实现形式。实行与社会主义市场经济相适应的企业薪酬分配制度，完善既有激励又有约束、既讲效率又讲公平、既符合企业一般规律又体现国有企业特点的分配机制。深化企业内部用人制度改革。</w:t>
            </w:r>
          </w:p>
          <w:p w14:paraId="07467AE5">
            <w:pPr>
              <w:widowControl/>
              <w:adjustRightInd w:val="0"/>
              <w:spacing w:line="295" w:lineRule="auto"/>
              <w:ind w:left="411" w:hanging="410" w:hangingChars="200"/>
              <w:jc w:val="left"/>
              <w:rPr>
                <w:rFonts w:ascii="仿宋_GB2312"/>
                <w:sz w:val="21"/>
                <w:szCs w:val="21"/>
              </w:rPr>
            </w:pPr>
            <w:r>
              <w:rPr>
                <w:rFonts w:hint="eastAsia" w:ascii="仿宋_GB2312"/>
                <w:b/>
                <w:bCs/>
                <w:sz w:val="21"/>
                <w:szCs w:val="21"/>
              </w:rPr>
              <w:t>2.完善国有资产管理体制。</w:t>
            </w:r>
          </w:p>
          <w:p w14:paraId="302DBD6D">
            <w:pPr>
              <w:widowControl/>
              <w:adjustRightInd w:val="0"/>
              <w:spacing w:line="295" w:lineRule="auto"/>
              <w:ind w:firstLine="205" w:firstLineChars="100"/>
              <w:jc w:val="left"/>
              <w:rPr>
                <w:rFonts w:ascii="仿宋_GB2312"/>
                <w:sz w:val="21"/>
                <w:szCs w:val="21"/>
              </w:rPr>
            </w:pPr>
            <w:r>
              <w:rPr>
                <w:rFonts w:hint="eastAsia" w:ascii="仿宋_GB2312"/>
                <w:sz w:val="21"/>
                <w:szCs w:val="21"/>
              </w:rPr>
              <w:t>推进国有资产监管机构职能转变，实现以管企业为主向以管资本为主的转变。改革国有资本授权经营体制，通过开展投资融资、产业培育、资本整合，推动产业集聚和转型升级，优化国有资本布局结构；通过股权运作、价值管理、有序进退，促进国有资本合理流动，实现保值增值。推动国有资本合理流动优化配置。坚持以市场为导向、以企业为主体，有进有退、有所为有所不为，增强国有经济整体功能和效率。推进经营性国有资产集中统一监管。</w:t>
            </w:r>
          </w:p>
          <w:p w14:paraId="6ECE763B">
            <w:pPr>
              <w:widowControl/>
              <w:adjustRightInd w:val="0"/>
              <w:spacing w:line="295" w:lineRule="auto"/>
              <w:ind w:left="411" w:hanging="410" w:hangingChars="200"/>
              <w:jc w:val="left"/>
              <w:rPr>
                <w:rFonts w:ascii="仿宋_GB2312"/>
                <w:b/>
                <w:bCs/>
                <w:sz w:val="21"/>
                <w:szCs w:val="21"/>
              </w:rPr>
            </w:pPr>
            <w:r>
              <w:rPr>
                <w:rFonts w:hint="eastAsia" w:ascii="仿宋_GB2312"/>
                <w:b/>
                <w:bCs/>
                <w:sz w:val="21"/>
                <w:szCs w:val="21"/>
              </w:rPr>
              <w:t>3.发展混合所有制经济。</w:t>
            </w:r>
          </w:p>
          <w:p w14:paraId="07D898F7">
            <w:pPr>
              <w:widowControl/>
              <w:adjustRightInd w:val="0"/>
              <w:spacing w:line="295" w:lineRule="auto"/>
              <w:ind w:firstLine="205" w:firstLineChars="100"/>
              <w:jc w:val="left"/>
              <w:rPr>
                <w:rFonts w:ascii="仿宋_GB2312"/>
                <w:sz w:val="21"/>
                <w:szCs w:val="21"/>
              </w:rPr>
            </w:pPr>
            <w:r>
              <w:rPr>
                <w:rFonts w:hint="eastAsia" w:ascii="仿宋_GB2312"/>
                <w:sz w:val="21"/>
                <w:szCs w:val="21"/>
              </w:rPr>
              <w:t>推进国有企业混合所有制改革，促进国有企业转换经营机制，放大国有资本功能，提高国有资本配置和运行效率，实现各种所有制资本取长补短、相互促进、共同发展。引入非国有资本参与国有企业改革，鼓励非国有资本投资主体参与国有企业改制重组或国有控股上市公司增资扩股以及企业经营管理。鼓励国有资本以多种方式入股非国有企业。探索实行混合所有制企业员工持股。</w:t>
            </w:r>
          </w:p>
          <w:p w14:paraId="4B5B2E2C">
            <w:pPr>
              <w:widowControl/>
              <w:adjustRightInd w:val="0"/>
              <w:spacing w:line="295" w:lineRule="auto"/>
              <w:ind w:left="411" w:hanging="410" w:hangingChars="200"/>
              <w:jc w:val="left"/>
              <w:rPr>
                <w:rFonts w:ascii="仿宋_GB2312"/>
                <w:sz w:val="21"/>
                <w:szCs w:val="21"/>
              </w:rPr>
            </w:pPr>
            <w:r>
              <w:rPr>
                <w:rFonts w:hint="eastAsia" w:ascii="仿宋_GB2312"/>
                <w:b/>
                <w:bCs/>
                <w:sz w:val="21"/>
                <w:szCs w:val="21"/>
              </w:rPr>
              <w:t>4.强化监督防止国有资产流失。</w:t>
            </w:r>
          </w:p>
          <w:p w14:paraId="1C3093BF">
            <w:pPr>
              <w:widowControl/>
              <w:adjustRightInd w:val="0"/>
              <w:spacing w:line="295" w:lineRule="auto"/>
              <w:ind w:firstLine="205" w:firstLineChars="100"/>
              <w:jc w:val="left"/>
              <w:rPr>
                <w:rFonts w:ascii="仿宋_GB2312"/>
                <w:sz w:val="21"/>
                <w:szCs w:val="21"/>
              </w:rPr>
            </w:pPr>
            <w:r>
              <w:rPr>
                <w:rFonts w:hint="eastAsia" w:ascii="仿宋_GB2312"/>
                <w:sz w:val="21"/>
                <w:szCs w:val="21"/>
              </w:rPr>
              <w:t>强化企业内部监督，完善企业内部监督体系，明确监督职责，完善监督制度，增强制度执行力。建立健全高效协同的外部监督机制，强化出资人监督，加强和改进监事会制度，健全国有资本审计监督体系和制度，拓展审计覆盖面，加强纪检监察监督和巡视工作，建立监督工作会商机制、监督意见反馈整改机制，形成监督工作的闭环。实施信息公开加强社会监督。严格责任追究。</w:t>
            </w:r>
          </w:p>
          <w:p w14:paraId="3AB5E531">
            <w:pPr>
              <w:widowControl/>
              <w:adjustRightInd w:val="0"/>
              <w:spacing w:line="295" w:lineRule="auto"/>
              <w:ind w:left="411" w:hanging="410" w:hangingChars="200"/>
              <w:jc w:val="left"/>
              <w:rPr>
                <w:rFonts w:ascii="仿宋_GB2312"/>
                <w:b/>
                <w:bCs/>
                <w:sz w:val="21"/>
                <w:szCs w:val="21"/>
              </w:rPr>
            </w:pPr>
            <w:r>
              <w:rPr>
                <w:rFonts w:hint="eastAsia" w:ascii="仿宋_GB2312"/>
                <w:b/>
                <w:bCs/>
                <w:sz w:val="21"/>
                <w:szCs w:val="21"/>
              </w:rPr>
              <w:t>5.加强和改进党对国有企业的领导。</w:t>
            </w:r>
          </w:p>
          <w:p w14:paraId="6366F101">
            <w:pPr>
              <w:widowControl/>
              <w:adjustRightInd w:val="0"/>
              <w:spacing w:line="295" w:lineRule="auto"/>
              <w:ind w:firstLine="205" w:firstLineChars="100"/>
              <w:jc w:val="left"/>
              <w:rPr>
                <w:rFonts w:ascii="仿宋_GB2312"/>
                <w:sz w:val="21"/>
                <w:szCs w:val="21"/>
              </w:rPr>
            </w:pPr>
            <w:r>
              <w:rPr>
                <w:rFonts w:hint="eastAsia" w:ascii="仿宋_GB2312"/>
                <w:sz w:val="21"/>
                <w:szCs w:val="21"/>
              </w:rPr>
              <w:t>充分发挥国有企业党组织政治核心作用，进一步加强国有企业领导班子建设和人才队伍建设，切实落实国有企业全面从严治党“两个责任”。</w:t>
            </w:r>
          </w:p>
        </w:tc>
      </w:tr>
    </w:tbl>
    <w:p w14:paraId="535E71F3">
      <w:pPr>
        <w:overflowPunct w:val="0"/>
        <w:adjustRightInd w:val="0"/>
        <w:spacing w:line="324" w:lineRule="auto"/>
        <w:ind w:firstLine="630" w:firstLineChars="200"/>
        <w:rPr>
          <w:rFonts w:ascii="仿宋_GB2312"/>
          <w:snapToGrid w:val="0"/>
        </w:rPr>
      </w:pPr>
      <w:r>
        <w:rPr>
          <w:rFonts w:hint="eastAsia" w:ascii="仿宋_GB2312"/>
          <w:snapToGrid w:val="0"/>
        </w:rPr>
        <w:t>3.营造市场化法治化国际化的一流营商环境。全面打造服务型政府，加快政府数字化转型，深化“一件事”集成改革，推动企业、群众全生命周期“一件事”向基层、公共领域、司法领域等人民群众对美好生活向往的内容延伸扩面，全面实现政务服务一网通办、全域通办、就近可办、跨区能办。持续深化“放管服”改革，深化商事制度改革，探索以承诺制为核心的极简审批，持续提升企业开办服务能力。建立健全事中事后监管机制，推进政府职能重心从以审批为主的事前监管向以监督管理为主的事中、事后监管转变。推行“互联网+监管”，对新产业新业态实行包容审慎监管。深化信用体系建设，深入实施信用建设“531X”工程（</w:t>
      </w:r>
      <w:r>
        <w:rPr>
          <w:rFonts w:hint="eastAsia" w:ascii="仿宋_GB2312"/>
        </w:rPr>
        <w:t>聚焦企业、自然人、社会组织、事业单位和政府机构5类主体，构建公共信用指标体系、信用综合监管责任体系、公共信用评价及信用联合奖惩体系3大体系，完善全省统一的公共信用信息平台，推进信用体系在若干重点领域创新应用</w:t>
      </w:r>
      <w:r>
        <w:rPr>
          <w:rFonts w:hint="eastAsia" w:ascii="仿宋_GB2312"/>
          <w:snapToGrid w:val="0"/>
        </w:rPr>
        <w:t>），加强信用联合惩戒。健全公平竞争审查机制。</w:t>
      </w:r>
    </w:p>
    <w:p w14:paraId="679B9711">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47" w:name="_Toc67664582"/>
      <w:bookmarkStart w:id="48" w:name="_Toc65844520"/>
      <w:r>
        <w:rPr>
          <w:rFonts w:hint="eastAsia" w:ascii="黑体" w:hAnsi="黑体" w:eastAsia="黑体"/>
          <w:b w:val="0"/>
          <w:snapToGrid w:val="0"/>
          <w:sz w:val="32"/>
          <w:szCs w:val="32"/>
        </w:rPr>
        <w:t>五、坚定不移走以人为核心的新型城镇化道路，协调推进新型城镇化和乡村振兴，打造城乡融合现代化先行地</w:t>
      </w:r>
      <w:bookmarkEnd w:id="47"/>
      <w:bookmarkEnd w:id="48"/>
    </w:p>
    <w:p w14:paraId="7B3453F1">
      <w:pPr>
        <w:overflowPunct w:val="0"/>
        <w:adjustRightInd w:val="0"/>
        <w:spacing w:line="324" w:lineRule="auto"/>
        <w:ind w:firstLine="630" w:firstLineChars="200"/>
        <w:rPr>
          <w:rFonts w:ascii="仿宋_GB2312"/>
          <w:snapToGrid w:val="0"/>
        </w:rPr>
      </w:pPr>
      <w:r>
        <w:rPr>
          <w:rFonts w:hint="eastAsia" w:ascii="仿宋_GB2312"/>
          <w:snapToGrid w:val="0"/>
        </w:rPr>
        <w:t>十九届五中全会强调，要坚持实施主体功能区战略，完善新型城镇化战略，构建高质量发展的国土空间布局和支撑体系；要坚持把解决好“三农”问题作为全党工作重中之重，走中国特色社会主义乡村振兴之路，加快农业农村现代化。我县城镇格局持续优化，乡村振兴起步早、举措实、效果好，“十四五”时期要坚持以人为核心的城镇化建设之路，补短板强弱项，提升城镇化发展水平；要坚持农业农村优先发展，强化以工补农、以城带乡，推动形成工农互促、城乡互补、协调发展、共同繁荣的新型工农城乡关系，加快建设深度融合、品质一流的新城乡，推动新型城镇化和乡村振兴成为全国示范。</w:t>
      </w:r>
    </w:p>
    <w:p w14:paraId="4C922C5D">
      <w:pPr>
        <w:pStyle w:val="3"/>
        <w:adjustRightInd w:val="0"/>
        <w:snapToGrid w:val="0"/>
        <w:spacing w:before="0" w:after="0" w:line="324" w:lineRule="auto"/>
        <w:ind w:firstLine="630" w:firstLineChars="200"/>
        <w:rPr>
          <w:rFonts w:ascii="楷体_GB2312" w:eastAsia="楷体_GB2312"/>
          <w:snapToGrid w:val="0"/>
        </w:rPr>
      </w:pPr>
      <w:bookmarkStart w:id="49" w:name="_Toc65844521"/>
      <w:bookmarkStart w:id="50" w:name="_Toc67664583"/>
      <w:r>
        <w:rPr>
          <w:rFonts w:hint="eastAsia" w:ascii="楷体_GB2312" w:eastAsia="楷体_GB2312"/>
          <w:snapToGrid w:val="0"/>
        </w:rPr>
        <w:t>（一）优化完善县域发展空间格局</w:t>
      </w:r>
      <w:bookmarkEnd w:id="49"/>
      <w:r>
        <w:rPr>
          <w:rFonts w:hint="eastAsia" w:ascii="楷体_GB2312" w:eastAsia="楷体_GB2312"/>
          <w:snapToGrid w:val="0"/>
        </w:rPr>
        <w:t>。</w:t>
      </w:r>
      <w:bookmarkEnd w:id="50"/>
    </w:p>
    <w:p w14:paraId="68048823">
      <w:pPr>
        <w:overflowPunct w:val="0"/>
        <w:adjustRightInd w:val="0"/>
        <w:spacing w:line="324" w:lineRule="auto"/>
        <w:ind w:firstLine="630" w:firstLineChars="200"/>
        <w:rPr>
          <w:rFonts w:ascii="仿宋_GB2312"/>
          <w:snapToGrid w:val="0"/>
        </w:rPr>
      </w:pPr>
      <w:r>
        <w:rPr>
          <w:rFonts w:hint="eastAsia" w:ascii="仿宋_GB2312"/>
          <w:snapToGrid w:val="0"/>
        </w:rPr>
        <w:t>立足资源环境承载能力，科学划定城镇开发边界、永久基本农田保护红线、生态保护红线三条控制线，合理规划城市化优势发展地区、城市化潜力发展地区、农产品主产区和生态经济区，制定实施差异化发展策略，加快构建以“一带一轴、主副联动、两翼齐飞”为主框架的县域发展空间格局。</w:t>
      </w:r>
    </w:p>
    <w:p w14:paraId="45229CAD">
      <w:pPr>
        <w:overflowPunct w:val="0"/>
        <w:adjustRightInd w:val="0"/>
        <w:spacing w:line="324" w:lineRule="auto"/>
        <w:jc w:val="center"/>
        <w:rPr>
          <w:rFonts w:ascii="仿宋_GB2312"/>
          <w:snapToGrid w:val="0"/>
        </w:rPr>
      </w:pPr>
      <w:r>
        <w:drawing>
          <wp:anchor distT="0" distB="0" distL="114300" distR="114300" simplePos="0" relativeHeight="251659264" behindDoc="1" locked="0" layoutInCell="1" allowOverlap="1">
            <wp:simplePos x="0" y="0"/>
            <wp:positionH relativeFrom="column">
              <wp:posOffset>75565</wp:posOffset>
            </wp:positionH>
            <wp:positionV relativeFrom="paragraph">
              <wp:posOffset>236220</wp:posOffset>
            </wp:positionV>
            <wp:extent cx="5514975" cy="3899535"/>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14975" cy="3899515"/>
                    </a:xfrm>
                    <a:prstGeom prst="rect">
                      <a:avLst/>
                    </a:prstGeom>
                    <a:noFill/>
                    <a:ln>
                      <a:noFill/>
                    </a:ln>
                  </pic:spPr>
                </pic:pic>
              </a:graphicData>
            </a:graphic>
          </wp:anchor>
        </w:drawing>
      </w:r>
      <w:r>
        <w:rPr>
          <w:rFonts w:ascii="仿宋_GB2312"/>
          <w:snapToGrid w:val="0"/>
        </w:rPr>
        <w:t>专栏：一带一轴、主副联动、两翼齐飞</w:t>
      </w:r>
    </w:p>
    <w:p w14:paraId="69A588BB">
      <w:pPr>
        <w:spacing w:line="240" w:lineRule="atLeast"/>
        <w:jc w:val="center"/>
      </w:pPr>
    </w:p>
    <w:p w14:paraId="0C359A1B">
      <w:pPr>
        <w:spacing w:line="240" w:lineRule="atLeast"/>
        <w:jc w:val="center"/>
      </w:pPr>
    </w:p>
    <w:p w14:paraId="2A8DAF40">
      <w:pPr>
        <w:spacing w:line="240" w:lineRule="atLeast"/>
        <w:jc w:val="center"/>
      </w:pPr>
    </w:p>
    <w:p w14:paraId="163E07D3">
      <w:pPr>
        <w:spacing w:line="240" w:lineRule="atLeast"/>
        <w:jc w:val="center"/>
      </w:pPr>
    </w:p>
    <w:p w14:paraId="6DD67D25">
      <w:pPr>
        <w:spacing w:line="240" w:lineRule="atLeast"/>
        <w:jc w:val="center"/>
      </w:pPr>
    </w:p>
    <w:p w14:paraId="38377517">
      <w:pPr>
        <w:spacing w:line="240" w:lineRule="atLeast"/>
        <w:jc w:val="center"/>
      </w:pPr>
    </w:p>
    <w:p w14:paraId="6AE642B0">
      <w:pPr>
        <w:spacing w:line="240" w:lineRule="atLeast"/>
        <w:jc w:val="center"/>
      </w:pPr>
    </w:p>
    <w:p w14:paraId="3194B120">
      <w:pPr>
        <w:spacing w:line="240" w:lineRule="atLeast"/>
        <w:jc w:val="center"/>
      </w:pPr>
    </w:p>
    <w:p w14:paraId="42A97007">
      <w:pPr>
        <w:spacing w:line="240" w:lineRule="atLeast"/>
        <w:jc w:val="center"/>
      </w:pPr>
    </w:p>
    <w:p w14:paraId="3CCA19D4">
      <w:pPr>
        <w:spacing w:line="240" w:lineRule="atLeast"/>
        <w:jc w:val="center"/>
      </w:pPr>
    </w:p>
    <w:p w14:paraId="784DA31C">
      <w:pPr>
        <w:spacing w:line="240" w:lineRule="atLeast"/>
        <w:jc w:val="center"/>
      </w:pPr>
    </w:p>
    <w:p w14:paraId="49BFC64C">
      <w:pPr>
        <w:spacing w:line="240" w:lineRule="atLeast"/>
        <w:jc w:val="center"/>
      </w:pPr>
    </w:p>
    <w:p w14:paraId="440E96EB">
      <w:pPr>
        <w:spacing w:line="240" w:lineRule="atLeast"/>
        <w:jc w:val="center"/>
      </w:pPr>
    </w:p>
    <w:p w14:paraId="260C80E8">
      <w:pPr>
        <w:spacing w:line="240" w:lineRule="atLeast"/>
        <w:jc w:val="center"/>
      </w:pPr>
    </w:p>
    <w:p w14:paraId="2D5ABECA">
      <w:pPr>
        <w:spacing w:line="240" w:lineRule="atLeast"/>
        <w:jc w:val="center"/>
      </w:pPr>
    </w:p>
    <w:p w14:paraId="55EEED37">
      <w:pPr>
        <w:spacing w:line="240" w:lineRule="atLeast"/>
      </w:pPr>
    </w:p>
    <w:p w14:paraId="47268FD3">
      <w:pPr>
        <w:overflowPunct w:val="0"/>
        <w:adjustRightInd w:val="0"/>
        <w:spacing w:line="324" w:lineRule="auto"/>
        <w:ind w:firstLine="630" w:firstLineChars="200"/>
        <w:rPr>
          <w:rFonts w:ascii="仿宋_GB2312"/>
          <w:snapToGrid w:val="0"/>
        </w:rPr>
      </w:pPr>
      <w:r>
        <w:rPr>
          <w:rFonts w:hint="eastAsia" w:ascii="仿宋_GB2312"/>
          <w:snapToGrid w:val="0"/>
        </w:rPr>
        <w:t>1.精心打造“一带一轴”。滨湖特色带向东对接湖州南太湖新区，沿太湖岸线向北延伸至夹浦、水口，紧密对接无锡太湖湾科创带，主打休闲度假、农文旅融合、文化创意、科创研发等绿色产业。核心发展轴东部与滨湖特色产业带无缝衔接，沿G50高速公路和宣杭铁路向西延伸至泗安镇，并对接安徽东向发展战略，共绘省际毗邻地区协同发展蓝图，与安吉共建长三角产业合作区湖州片区，打造城乡融合发展样板地、先进制造业发展主战场。</w:t>
      </w:r>
    </w:p>
    <w:p w14:paraId="214C38DC">
      <w:pPr>
        <w:overflowPunct w:val="0"/>
        <w:adjustRightInd w:val="0"/>
        <w:spacing w:line="324" w:lineRule="auto"/>
        <w:ind w:firstLine="630" w:firstLineChars="200"/>
        <w:rPr>
          <w:rFonts w:ascii="仿宋_GB2312"/>
          <w:snapToGrid w:val="0"/>
          <w:spacing w:val="-3"/>
        </w:rPr>
      </w:pPr>
      <w:r>
        <w:rPr>
          <w:rFonts w:hint="eastAsia" w:ascii="仿宋_GB2312"/>
          <w:snapToGrid w:val="0"/>
        </w:rPr>
        <w:t>2.协调推进“主副联动”。进一步强化主城区在县域中的极核地位，合理确定开发边界，科学划定生产空间和生活空间，加快实施县城新型城镇化补短板强弱项工程，引导集聚高端要素、高端产业、高端功能，不断提高主城区人口承载和辐射带动能力</w:t>
      </w:r>
      <w:r>
        <w:rPr>
          <w:rFonts w:hint="eastAsia" w:ascii="仿宋_GB2312"/>
          <w:snapToGrid w:val="0"/>
          <w:spacing w:val="-3"/>
        </w:rPr>
        <w:t>。以长三角产业合作区建设和省级小城市培育试点为载体，继续推动泗安打造县域副中心，增强发展能力和服务能力。加强主城区与副中心联动发展，提升长兴城市品牌影响力和综合实力竞争力。</w:t>
      </w:r>
    </w:p>
    <w:p w14:paraId="1F4558D3">
      <w:pPr>
        <w:overflowPunct w:val="0"/>
        <w:adjustRightInd w:val="0"/>
        <w:spacing w:line="324" w:lineRule="auto"/>
        <w:ind w:firstLine="630" w:firstLineChars="200"/>
        <w:rPr>
          <w:rFonts w:ascii="仿宋_GB2312"/>
          <w:snapToGrid w:val="0"/>
        </w:rPr>
      </w:pPr>
      <w:r>
        <w:rPr>
          <w:rFonts w:hint="eastAsia" w:ascii="仿宋_GB2312"/>
          <w:snapToGrid w:val="0"/>
        </w:rPr>
        <w:t>3.大力推动“两翼齐飞”。依托和平镇和煤山镇两大板块，加快打造承接城市功能、辐射带动农村、推进新型城镇化的重要节点，建设成为支撑县域经济社会发展的南北两翼。加快推进以</w:t>
      </w:r>
      <w:r>
        <w:rPr>
          <w:rFonts w:hint="eastAsia" w:ascii="仿宋_GB2312"/>
          <w:snapToGrid w:val="0"/>
          <w:spacing w:val="-5"/>
        </w:rPr>
        <w:t>和平镇为中心的南翼建设，坚持东西双向联动，打造湖州市区</w:t>
      </w:r>
      <w:r>
        <w:rPr>
          <w:rFonts w:hint="eastAsia" w:ascii="方正小标宋简体" w:eastAsia="方正小标宋简体"/>
          <w:snapToGrid w:val="0"/>
          <w:spacing w:val="-5"/>
          <w:sz w:val="30"/>
          <w:szCs w:val="30"/>
        </w:rPr>
        <w:t>——</w:t>
      </w:r>
      <w:r>
        <w:rPr>
          <w:rFonts w:hint="eastAsia" w:ascii="仿宋_GB2312"/>
          <w:snapToGrid w:val="0"/>
        </w:rPr>
        <w:t>安吉县城通道上的节点型小城市。加快</w:t>
      </w:r>
      <w:r>
        <w:rPr>
          <w:rFonts w:ascii="仿宋_GB2312"/>
          <w:snapToGrid w:val="0"/>
        </w:rPr>
        <w:t>推进以煤山镇为中心的北翼发展，全面提升工业经济绿色化发展水平，守住绿水青山；加强与宜兴、广德联动发展，加快培育农旅、林旅、文旅、体旅和工业旅游等多元化融合业态，进一步拓宽绿水青山就是金山银山的转化通道。</w:t>
      </w:r>
    </w:p>
    <w:p w14:paraId="09DF81EA">
      <w:pPr>
        <w:pStyle w:val="3"/>
        <w:adjustRightInd w:val="0"/>
        <w:snapToGrid w:val="0"/>
        <w:spacing w:before="0" w:after="0" w:line="324" w:lineRule="auto"/>
        <w:ind w:firstLine="630" w:firstLineChars="200"/>
        <w:rPr>
          <w:rFonts w:ascii="楷体_GB2312" w:eastAsia="楷体_GB2312"/>
          <w:snapToGrid w:val="0"/>
        </w:rPr>
      </w:pPr>
      <w:bookmarkStart w:id="51" w:name="_Toc65844522"/>
      <w:bookmarkStart w:id="52" w:name="_Toc67664584"/>
      <w:r>
        <w:rPr>
          <w:rFonts w:hint="eastAsia" w:ascii="楷体_GB2312" w:eastAsia="楷体_GB2312"/>
          <w:snapToGrid w:val="0"/>
        </w:rPr>
        <w:t>（二）高标准建设长三角现代化美丽城市</w:t>
      </w:r>
      <w:bookmarkEnd w:id="51"/>
      <w:r>
        <w:rPr>
          <w:rFonts w:hint="eastAsia" w:ascii="楷体_GB2312" w:eastAsia="楷体_GB2312"/>
          <w:snapToGrid w:val="0"/>
        </w:rPr>
        <w:t>。</w:t>
      </w:r>
      <w:bookmarkEnd w:id="52"/>
    </w:p>
    <w:p w14:paraId="044B0721">
      <w:pPr>
        <w:overflowPunct w:val="0"/>
        <w:adjustRightInd w:val="0"/>
        <w:spacing w:line="324" w:lineRule="auto"/>
        <w:ind w:firstLine="630" w:firstLineChars="200"/>
        <w:rPr>
          <w:rFonts w:ascii="仿宋_GB2312"/>
          <w:snapToGrid w:val="0"/>
        </w:rPr>
      </w:pPr>
      <w:r>
        <w:rPr>
          <w:rFonts w:hint="eastAsia" w:ascii="仿宋_GB2312"/>
          <w:snapToGrid w:val="0"/>
        </w:rPr>
        <w:t>坚持“区域城市化、城市区域化”城市建设理念，整合历史文化与现代文明，用好山水资源和滨湖特色，加快中心城区赋能升级，提高城市设计、城市经营、城市管理水平，全面提升城市品质，建设现代宜居的美丽城市和新时代美丽城镇，加快推动县域经济向城市经济升级，高标准建设长三角现代化美丽城市。</w:t>
      </w:r>
    </w:p>
    <w:p w14:paraId="037C5E53">
      <w:pPr>
        <w:overflowPunct w:val="0"/>
        <w:adjustRightInd w:val="0"/>
        <w:spacing w:line="324" w:lineRule="auto"/>
        <w:ind w:firstLine="630" w:firstLineChars="200"/>
        <w:rPr>
          <w:rFonts w:ascii="仿宋_GB2312"/>
          <w:snapToGrid w:val="0"/>
        </w:rPr>
      </w:pPr>
      <w:r>
        <w:rPr>
          <w:rFonts w:hint="eastAsia" w:ascii="仿宋_GB2312"/>
          <w:snapToGrid w:val="0"/>
        </w:rPr>
        <w:t>1.开展中心城区赋能升级行动。有序实施城市有机更新，谋划推进未来社区建设。加快实施城市生态修复、功能完善工程和低效用地再开发。强化历史文化保护，加强城市设计，塑造城市风貌，提升城市规划、建设、治理、经营水平。增强城市防洪排涝能力，加强城市地下空间开发利用，提升城市交通畅通水平，规划建设县域综合客运枢纽站，建设宜居城市、海绵城市、韧性城市。稳步推进雉城街道旧城有机更新和基础设施、公共服务能级提升。提升龙山街道新区发展功能，科学布局大型综合公共服务设施，不断完善基础配套和生活设施。推进太湖街道打造新时代产城融合样板，做精做活总部经济，高品质推进滨湖区块开发。加强画溪街道与中心城区功能衔接、一体发展，补齐城市短板。推动李家巷镇、洪桥镇、太湖图影旅游度假区城镇建设纳入中心城区一体化规划。</w:t>
      </w:r>
    </w:p>
    <w:p w14:paraId="41A0F848">
      <w:pPr>
        <w:overflowPunct w:val="0"/>
        <w:adjustRightInd w:val="0"/>
        <w:spacing w:line="324" w:lineRule="auto"/>
        <w:ind w:firstLine="630" w:firstLineChars="200"/>
        <w:rPr>
          <w:rFonts w:ascii="仿宋_GB2312"/>
          <w:snapToGrid w:val="0"/>
        </w:rPr>
      </w:pPr>
      <w:r>
        <w:rPr>
          <w:rFonts w:hint="eastAsia" w:ascii="仿宋_GB2312"/>
          <w:snapToGrid w:val="0"/>
        </w:rPr>
        <w:t>2.统筹推进小城市培育和中心镇发展。加快推进泗安镇省级小城市培育试点，进一步完善城市功能，高标准建成省级美丽城镇样板镇；抢抓长三角产业合作区建设机遇，多措并举集聚资源要素，加快打造具有竞争力的产业集群，提升人口规模、经济规模。加快提升和平镇城乡统筹发展水平，积极承接农业转移人口，带动县域南部城乡融合和新型城镇化水平稳步提升。加快煤山镇绿色发展步伐，巩固美丽城镇省级样板建设成果，深化生产、生活绿色转型，成为苏浙皖省际毗邻地区绿色生产、绿色生活的标杆。</w:t>
      </w:r>
    </w:p>
    <w:p w14:paraId="2F251E92">
      <w:pPr>
        <w:overflowPunct w:val="0"/>
        <w:adjustRightInd w:val="0"/>
        <w:spacing w:line="324" w:lineRule="auto"/>
        <w:ind w:firstLine="630" w:firstLineChars="200"/>
        <w:rPr>
          <w:rFonts w:ascii="仿宋_GB2312"/>
          <w:snapToGrid w:val="0"/>
        </w:rPr>
      </w:pPr>
      <w:r>
        <w:rPr>
          <w:rFonts w:hint="eastAsia" w:ascii="仿宋_GB2312"/>
          <w:snapToGrid w:val="0"/>
        </w:rPr>
        <w:t>3.推动其他乡镇特色化发展。深入挖掘乡镇特色文化、特色底蕴，打造“一镇一天地、一乡一特色”的差异化发展格局。发挥</w:t>
      </w:r>
      <w:r>
        <w:rPr>
          <w:rFonts w:hint="eastAsia" w:ascii="宋体" w:hAnsi="宋体" w:eastAsia="宋体" w:cs="宋体"/>
          <w:snapToGrid w:val="0"/>
        </w:rPr>
        <w:t>溇</w:t>
      </w:r>
      <w:r>
        <w:rPr>
          <w:rFonts w:hint="eastAsia" w:ascii="仿宋_GB2312"/>
          <w:snapToGrid w:val="0"/>
        </w:rPr>
        <w:t>港世界文化遗产品牌效应，提升洪桥农旅融合发展水平。以诗画浙江大花园建设为契机，打响大唐贡茶文化旅游品牌，加快建设乡村民宿小镇，联动龙山街道北部乡村全面提升全域旅游发展水平。加快推进夹浦产业转型升级，用好省际毗邻区域优质生态资源，对接融入无锡太湖湾科创带。推动林城镇、虹星桥镇、吕山乡彰显农业特色，推动城乡联动，打造城乡衔接和乡村振兴的关键枢纽节点。</w:t>
      </w:r>
    </w:p>
    <w:p w14:paraId="618EA36C">
      <w:pPr>
        <w:pStyle w:val="3"/>
        <w:adjustRightInd w:val="0"/>
        <w:snapToGrid w:val="0"/>
        <w:spacing w:before="0" w:after="0" w:line="324" w:lineRule="auto"/>
        <w:ind w:firstLine="630" w:firstLineChars="200"/>
        <w:rPr>
          <w:rFonts w:ascii="楷体_GB2312" w:eastAsia="楷体_GB2312"/>
          <w:snapToGrid w:val="0"/>
        </w:rPr>
      </w:pPr>
      <w:bookmarkStart w:id="53" w:name="_Toc65844523"/>
      <w:bookmarkStart w:id="54" w:name="_Toc67664585"/>
      <w:r>
        <w:rPr>
          <w:rFonts w:ascii="楷体_GB2312" w:eastAsia="楷体_GB2312"/>
          <w:snapToGrid w:val="0"/>
        </w:rPr>
        <w:t>（三）全力打造农业农村现代化全国先行示范县</w:t>
      </w:r>
      <w:bookmarkEnd w:id="53"/>
      <w:r>
        <w:rPr>
          <w:rFonts w:hint="eastAsia" w:ascii="楷体_GB2312" w:eastAsia="楷体_GB2312"/>
          <w:snapToGrid w:val="0"/>
        </w:rPr>
        <w:t>。</w:t>
      </w:r>
      <w:bookmarkEnd w:id="54"/>
    </w:p>
    <w:p w14:paraId="40BE9107">
      <w:pPr>
        <w:overflowPunct w:val="0"/>
        <w:adjustRightInd w:val="0"/>
        <w:spacing w:line="324" w:lineRule="auto"/>
        <w:ind w:firstLine="630" w:firstLineChars="200"/>
        <w:rPr>
          <w:rFonts w:ascii="仿宋_GB2312"/>
          <w:snapToGrid w:val="0"/>
        </w:rPr>
      </w:pPr>
      <w:r>
        <w:rPr>
          <w:rFonts w:hint="eastAsia" w:ascii="仿宋_GB2312"/>
          <w:snapToGrid w:val="0"/>
        </w:rPr>
        <w:t>坚持农业农村优先发展，深入实施乡村振兴“6612”行动，加快推进城乡融合，推动形成工农互促、城乡互补、协调发展、共同繁荣的新型工农城乡关系，全力打造农业农村现代化国家示范。</w:t>
      </w:r>
    </w:p>
    <w:p w14:paraId="1D27E3F0">
      <w:pPr>
        <w:overflowPunct w:val="0"/>
        <w:adjustRightInd w:val="0"/>
        <w:spacing w:line="324" w:lineRule="auto"/>
        <w:jc w:val="center"/>
        <w:rPr>
          <w:rFonts w:ascii="仿宋_GB2312"/>
          <w:snapToGrid w:val="0"/>
        </w:rPr>
      </w:pPr>
      <w:r>
        <w:rPr>
          <w:rFonts w:hint="eastAsia" w:ascii="仿宋_GB2312"/>
          <w:snapToGrid w:val="0"/>
        </w:rPr>
        <w:t>专栏：乡村振兴“6612”行动</w:t>
      </w:r>
    </w:p>
    <w:tbl>
      <w:tblPr>
        <w:tblStyle w:val="15"/>
        <w:tblW w:w="4890" w:type="pct"/>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61"/>
      </w:tblGrid>
      <w:tr w14:paraId="0265EAF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vAlign w:val="center"/>
          </w:tcPr>
          <w:p w14:paraId="4AFD8866">
            <w:pPr>
              <w:overflowPunct w:val="0"/>
              <w:adjustRightInd w:val="0"/>
              <w:spacing w:line="324" w:lineRule="auto"/>
              <w:rPr>
                <w:rFonts w:ascii="仿宋_GB2312"/>
                <w:snapToGrid w:val="0"/>
                <w:sz w:val="21"/>
                <w:szCs w:val="21"/>
              </w:rPr>
            </w:pPr>
            <w:r>
              <w:rPr>
                <w:rFonts w:hint="eastAsia" w:ascii="仿宋_GB2312"/>
                <w:b/>
                <w:snapToGrid w:val="0"/>
                <w:sz w:val="21"/>
                <w:szCs w:val="21"/>
              </w:rPr>
              <w:t>六带：</w:t>
            </w:r>
            <w:r>
              <w:rPr>
                <w:rFonts w:hint="eastAsia" w:ascii="仿宋_GB2312"/>
                <w:snapToGrid w:val="0"/>
                <w:spacing w:val="-4"/>
                <w:sz w:val="21"/>
                <w:szCs w:val="21"/>
              </w:rPr>
              <w:t>太湖风情、江南茶乡、希望田野、农园风景、梅映乌龙、山水古韵等六条乡村振兴示范带；</w:t>
            </w:r>
          </w:p>
          <w:p w14:paraId="464C70B6">
            <w:pPr>
              <w:overflowPunct w:val="0"/>
              <w:adjustRightInd w:val="0"/>
              <w:spacing w:line="324" w:lineRule="auto"/>
              <w:rPr>
                <w:rFonts w:ascii="仿宋_GB2312"/>
                <w:snapToGrid w:val="0"/>
                <w:sz w:val="21"/>
                <w:szCs w:val="21"/>
              </w:rPr>
            </w:pPr>
            <w:r>
              <w:rPr>
                <w:rFonts w:hint="eastAsia" w:ascii="仿宋_GB2312"/>
                <w:b/>
                <w:snapToGrid w:val="0"/>
                <w:sz w:val="21"/>
                <w:szCs w:val="21"/>
              </w:rPr>
              <w:t>六区：</w:t>
            </w:r>
            <w:r>
              <w:rPr>
                <w:rFonts w:hint="eastAsia" w:ascii="仿宋_GB2312"/>
                <w:snapToGrid w:val="0"/>
                <w:sz w:val="21"/>
                <w:szCs w:val="21"/>
              </w:rPr>
              <w:t>洪桥万亩河蟹、吕山十万头湖羊、南部</w:t>
            </w:r>
            <w:r>
              <w:rPr>
                <w:rFonts w:hint="eastAsia" w:ascii="宋体" w:hAnsi="宋体" w:eastAsia="宋体" w:cs="宋体"/>
                <w:snapToGrid w:val="0"/>
                <w:sz w:val="21"/>
                <w:szCs w:val="21"/>
              </w:rPr>
              <w:t>㘰</w:t>
            </w:r>
            <w:r>
              <w:rPr>
                <w:rFonts w:hint="eastAsia" w:ascii="仿宋_GB2312"/>
                <w:snapToGrid w:val="0"/>
                <w:sz w:val="21"/>
                <w:szCs w:val="21"/>
              </w:rPr>
              <w:t>区万亩芦笋、画溪万亩葡萄、水口万亩紫笋茶、</w:t>
            </w:r>
          </w:p>
          <w:p w14:paraId="45C3896B">
            <w:pPr>
              <w:overflowPunct w:val="0"/>
              <w:adjustRightInd w:val="0"/>
              <w:spacing w:line="324" w:lineRule="auto"/>
              <w:ind w:firstLine="615" w:firstLineChars="300"/>
              <w:rPr>
                <w:rFonts w:ascii="仿宋_GB2312"/>
                <w:snapToGrid w:val="0"/>
                <w:sz w:val="21"/>
                <w:szCs w:val="21"/>
              </w:rPr>
            </w:pPr>
            <w:r>
              <w:rPr>
                <w:rFonts w:hint="eastAsia" w:ascii="仿宋_GB2312"/>
                <w:snapToGrid w:val="0"/>
                <w:sz w:val="21"/>
                <w:szCs w:val="21"/>
              </w:rPr>
              <w:t>和平十万亩白茶等六大产业集聚区；</w:t>
            </w:r>
          </w:p>
          <w:p w14:paraId="7328E3BF">
            <w:pPr>
              <w:overflowPunct w:val="0"/>
              <w:adjustRightInd w:val="0"/>
              <w:spacing w:line="324" w:lineRule="auto"/>
              <w:rPr>
                <w:rFonts w:ascii="仿宋_GB2312"/>
                <w:snapToGrid w:val="0"/>
                <w:sz w:val="21"/>
                <w:szCs w:val="21"/>
              </w:rPr>
            </w:pPr>
            <w:r>
              <w:rPr>
                <w:rFonts w:hint="eastAsia" w:ascii="仿宋_GB2312"/>
                <w:b/>
                <w:snapToGrid w:val="0"/>
                <w:sz w:val="21"/>
                <w:szCs w:val="21"/>
              </w:rPr>
              <w:t>一平台：</w:t>
            </w:r>
            <w:r>
              <w:rPr>
                <w:rFonts w:hint="eastAsia" w:ascii="仿宋_GB2312"/>
                <w:snapToGrid w:val="0"/>
                <w:sz w:val="21"/>
                <w:szCs w:val="21"/>
              </w:rPr>
              <w:t>以吕山乡为核心的农业农村发展现代化“窗口示范”；</w:t>
            </w:r>
          </w:p>
          <w:p w14:paraId="74F3F911">
            <w:pPr>
              <w:overflowPunct w:val="0"/>
              <w:adjustRightInd w:val="0"/>
              <w:spacing w:line="324" w:lineRule="auto"/>
              <w:rPr>
                <w:sz w:val="24"/>
              </w:rPr>
            </w:pPr>
            <w:r>
              <w:rPr>
                <w:rFonts w:hint="eastAsia" w:ascii="仿宋_GB2312"/>
                <w:b/>
                <w:snapToGrid w:val="0"/>
                <w:sz w:val="21"/>
                <w:szCs w:val="21"/>
              </w:rPr>
              <w:t>双百工程：</w:t>
            </w:r>
            <w:r>
              <w:rPr>
                <w:rFonts w:hint="eastAsia" w:ascii="仿宋_GB2312"/>
                <w:snapToGrid w:val="0"/>
                <w:sz w:val="21"/>
                <w:szCs w:val="21"/>
              </w:rPr>
              <w:t>建设100个美丽乡村精品村、培育100个农业示范主体。</w:t>
            </w:r>
          </w:p>
        </w:tc>
      </w:tr>
    </w:tbl>
    <w:p w14:paraId="0EB751CD">
      <w:pPr>
        <w:overflowPunct w:val="0"/>
        <w:adjustRightInd w:val="0"/>
        <w:spacing w:before="126" w:beforeLines="20" w:line="324" w:lineRule="auto"/>
        <w:ind w:firstLine="630" w:firstLineChars="200"/>
        <w:rPr>
          <w:rFonts w:ascii="仿宋_GB2312"/>
          <w:snapToGrid w:val="0"/>
        </w:rPr>
      </w:pPr>
      <w:r>
        <w:rPr>
          <w:rFonts w:hint="eastAsia" w:ascii="仿宋_GB2312"/>
          <w:snapToGrid w:val="0"/>
        </w:rPr>
        <w:t>1.全力打造“长三角地区绿色农产品优选区”。实施稳粮增收工程，实行最严格的耕地保护制度，高质量推进高标准农田与基础设施建设，确保耕地保有量不低于68.7万亩、基本农田不低于55.9万亩、粮食生产功能区管护不低于25万亩。深化畜牧业转型升级，提高生猪产能和自给水平。提升农业生产现代化水平，加大数字农业和“机器换人”推进力度，高标准实施农村水系综合治理、圩区治理和灌区现代化改造。加快推进农技应用体系化，高质量建设国家级、省级农业特色产业平台，构建绿色生态循环农业发展格局。实施农产品品牌化战略，打造以“长兴鲜”农产品区域公用品牌为引领、特色产业品牌和知名企业品牌协同发展的“母子”品牌体系。深入实施农业生产标准化，健全农产品质量和食品安全标准体系。加快完善农村物流配送体系，大力发展农村电商和网络创业创新。扎实开展“三位一体”深度改革示范区建设，加快发展新型农业组织，构建以农业龙头企业、合作社、家庭农场、社会化服务组织为主的新型经营主体队伍，推进农业产业化联合体发展。</w:t>
      </w:r>
    </w:p>
    <w:p w14:paraId="22615B42">
      <w:pPr>
        <w:overflowPunct w:val="0"/>
        <w:adjustRightInd w:val="0"/>
        <w:spacing w:line="324" w:lineRule="auto"/>
        <w:ind w:firstLine="630" w:firstLineChars="200"/>
        <w:rPr>
          <w:rFonts w:ascii="仿宋_GB2312"/>
          <w:snapToGrid w:val="0"/>
        </w:rPr>
      </w:pPr>
      <w:r>
        <w:rPr>
          <w:rFonts w:hint="eastAsia" w:ascii="仿宋_GB2312"/>
          <w:snapToGrid w:val="0"/>
        </w:rPr>
        <w:t>2.高标准建设生态宜居的新时代美丽乡村。深化“千万工程”，实施全域新时代美丽乡村达标创建行动，持续提升六大乡村振兴示范带发展建设水平，引领全县乡村全面振兴，到2025年实现所有行政村创成新时代美丽乡村。高标准开展乡村规划设计，强化历史文化（传统）村落保护利用，深化实施美丽乡村村民共建共享机制，打造“一村一景”“一村一品”“一村一韵”。扎实推进全域土地综合整治，持续优化乡村布局推进乡村片区化、组团式发展，做大做强中心村。提档升级乡村基础设施，巩固提升农村居民饮用水标准，高水平推进“四好农村路”建设，规范农民建房与困难户危房改造，高水平推进农村垃圾分类、污水治理、农村公厕提升工作，并完善长效管理机制。推动美丽乡村向美丽经济转化，创新发展体验经济、文创经济、养生经济、夜游经济等美丽经济新业态。拓宽村集体经济发展渠道，增强村集体经济发展活力，不断壮大村集体经济。</w:t>
      </w:r>
    </w:p>
    <w:p w14:paraId="2B7A32EC">
      <w:pPr>
        <w:overflowPunct w:val="0"/>
        <w:adjustRightInd w:val="0"/>
        <w:spacing w:line="319" w:lineRule="auto"/>
        <w:ind w:firstLine="630" w:firstLineChars="200"/>
        <w:rPr>
          <w:rFonts w:ascii="仿宋_GB2312"/>
          <w:snapToGrid w:val="0"/>
        </w:rPr>
      </w:pPr>
      <w:r>
        <w:rPr>
          <w:rFonts w:hint="eastAsia" w:ascii="仿宋_GB2312"/>
          <w:snapToGrid w:val="0"/>
        </w:rPr>
        <w:t>3.全面激发乡村振兴活力。深入推进“两进两回”（“科技进乡村、资金进乡村，青年回农村、乡贤回农村”，旨在推动科技、资金、人才等资源要素流向农村，从而激发乡村发展活力，推进乡村全面振兴），畅通科技、人才、资金下乡渠道，激发全社会推动乡村振兴的市场活力和创造力。深入开展与省内外高校、科研院所签约“产学研”合作和科技成果转化项目。推动乡村人才振兴，加快推进国家级农广校农民中职教育教学改革试点，提高农民科技文化水平，培养农业经纪人等新型农民，吸引各类人才返乡创业。优化乡村投资环境，充分发挥新乡贤作用，加强引导工商资本广泛参与乡村振兴重点领域。深入推进农村集体闲置及低效资源盘活，加快实施集体经营性建设用地入市制度，稳步推进农村集体产权制度改革、深化农村宅基地制度改革，全面激发农村资源要素活力。健全城乡融合发展体制机制和政策体系，努力在城乡融合发展上走在全国前列。</w:t>
      </w:r>
    </w:p>
    <w:p w14:paraId="18C55D36">
      <w:pPr>
        <w:overflowPunct w:val="0"/>
        <w:adjustRightInd w:val="0"/>
        <w:spacing w:line="319" w:lineRule="auto"/>
        <w:jc w:val="center"/>
        <w:rPr>
          <w:rFonts w:ascii="仿宋_GB2312"/>
          <w:snapToGrid w:val="0"/>
        </w:rPr>
      </w:pPr>
      <w:r>
        <w:rPr>
          <w:rFonts w:ascii="仿宋_GB2312"/>
          <w:snapToGrid w:val="0"/>
        </w:rPr>
        <w:t>专栏：城乡融合发展体制机制改革主要任务</w:t>
      </w:r>
    </w:p>
    <w:tbl>
      <w:tblPr>
        <w:tblStyle w:val="15"/>
        <w:tblW w:w="4859" w:type="pct"/>
        <w:tblInd w:w="13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5"/>
      </w:tblGrid>
      <w:tr w14:paraId="5BE923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4B20D744">
            <w:pPr>
              <w:overflowPunct w:val="0"/>
              <w:adjustRightInd w:val="0"/>
              <w:spacing w:line="300" w:lineRule="auto"/>
              <w:rPr>
                <w:rFonts w:ascii="仿宋_GB2312"/>
                <w:snapToGrid w:val="0"/>
                <w:sz w:val="21"/>
                <w:szCs w:val="21"/>
              </w:rPr>
            </w:pPr>
            <w:r>
              <w:rPr>
                <w:rFonts w:ascii="仿宋_GB2312"/>
                <w:snapToGrid w:val="0"/>
                <w:sz w:val="21"/>
                <w:szCs w:val="21"/>
              </w:rPr>
              <w:t>1.建立健全有利于城乡要素合理配置的体制机制，健全农业转移人口市民化机制，建立城市人</w:t>
            </w:r>
          </w:p>
          <w:p w14:paraId="510E1446">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才入乡激励机制，改革完善农村承包地制度，审慎改革农村宅基地制度，建立集体经营性建</w:t>
            </w:r>
          </w:p>
          <w:p w14:paraId="0C93FDC8">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设用地入市制度，健全财政投入保障机制，完善乡村金融服务体系，建立工商资本入乡促进</w:t>
            </w:r>
          </w:p>
          <w:p w14:paraId="07466641">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机制，建立科技成果入乡转化机制。</w:t>
            </w:r>
          </w:p>
          <w:p w14:paraId="485A6E67">
            <w:pPr>
              <w:overflowPunct w:val="0"/>
              <w:adjustRightInd w:val="0"/>
              <w:spacing w:line="300" w:lineRule="auto"/>
              <w:rPr>
                <w:rFonts w:ascii="仿宋_GB2312"/>
                <w:snapToGrid w:val="0"/>
                <w:sz w:val="21"/>
                <w:szCs w:val="21"/>
              </w:rPr>
            </w:pPr>
            <w:r>
              <w:rPr>
                <w:rFonts w:ascii="仿宋_GB2312"/>
                <w:snapToGrid w:val="0"/>
                <w:sz w:val="21"/>
                <w:szCs w:val="21"/>
              </w:rPr>
              <w:t>2.建立健全有利于城乡基本公共服务普惠共享的体制机制，建立城乡教育资源均衡配置机制，</w:t>
            </w:r>
          </w:p>
          <w:p w14:paraId="7F4E9F17">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健全乡村医疗卫生服务体系，健全城乡公共文化服务体系，完善城乡统一的社会保险制度，</w:t>
            </w:r>
          </w:p>
          <w:p w14:paraId="28CB90F9">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统筹城乡社会救助体系，建立健全乡村治理机制。</w:t>
            </w:r>
          </w:p>
          <w:p w14:paraId="08A4D390">
            <w:pPr>
              <w:overflowPunct w:val="0"/>
              <w:adjustRightInd w:val="0"/>
              <w:spacing w:line="300" w:lineRule="auto"/>
              <w:rPr>
                <w:rFonts w:ascii="仿宋_GB2312"/>
                <w:snapToGrid w:val="0"/>
                <w:sz w:val="21"/>
                <w:szCs w:val="21"/>
              </w:rPr>
            </w:pPr>
            <w:r>
              <w:rPr>
                <w:rFonts w:ascii="仿宋_GB2312"/>
                <w:snapToGrid w:val="0"/>
                <w:sz w:val="21"/>
                <w:szCs w:val="21"/>
              </w:rPr>
              <w:t>3.建立健全有利于城乡基础设施一体化发展的体制机制，建立城乡基础设施一体化规划机制，</w:t>
            </w:r>
          </w:p>
          <w:p w14:paraId="48547BB1">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健全城乡基础设施一体化建设机制，建立城乡基础设施一体化管护机制，加快推动乡村基础</w:t>
            </w:r>
          </w:p>
          <w:p w14:paraId="69D06D85">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设施提档升级，加快实现城乡基础设施提档升级，加快实现城乡基础设施统一规划、统一建</w:t>
            </w:r>
          </w:p>
          <w:p w14:paraId="54FC36F8">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设、统一管护。</w:t>
            </w:r>
          </w:p>
          <w:p w14:paraId="2FBEE0A6">
            <w:pPr>
              <w:overflowPunct w:val="0"/>
              <w:adjustRightInd w:val="0"/>
              <w:spacing w:line="300" w:lineRule="auto"/>
              <w:rPr>
                <w:rFonts w:ascii="仿宋_GB2312"/>
                <w:snapToGrid w:val="0"/>
                <w:sz w:val="21"/>
                <w:szCs w:val="21"/>
              </w:rPr>
            </w:pPr>
            <w:r>
              <w:rPr>
                <w:rFonts w:ascii="仿宋_GB2312"/>
                <w:snapToGrid w:val="0"/>
                <w:sz w:val="21"/>
                <w:szCs w:val="21"/>
              </w:rPr>
              <w:t>4.建立健全有利于乡村经济多元化发展的体制机制，建立新产业新业态培育机制，探索生态产</w:t>
            </w:r>
          </w:p>
          <w:p w14:paraId="63752CBD">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品价值实现机制，建立乡村文化保护利用机制，搭建城乡产业协同发展平台，健全城乡统筹</w:t>
            </w:r>
          </w:p>
          <w:p w14:paraId="5D44D6D3">
            <w:pPr>
              <w:overflowPunct w:val="0"/>
              <w:adjustRightInd w:val="0"/>
              <w:spacing w:line="300" w:lineRule="auto"/>
              <w:ind w:firstLine="205" w:firstLineChars="100"/>
              <w:rPr>
                <w:rFonts w:ascii="仿宋_GB2312"/>
                <w:snapToGrid w:val="0"/>
                <w:sz w:val="21"/>
                <w:szCs w:val="21"/>
              </w:rPr>
            </w:pPr>
            <w:r>
              <w:rPr>
                <w:rFonts w:ascii="仿宋_GB2312"/>
                <w:snapToGrid w:val="0"/>
                <w:sz w:val="21"/>
                <w:szCs w:val="21"/>
              </w:rPr>
              <w:t>规划制度，完善农企利益紧密联结机制。</w:t>
            </w:r>
          </w:p>
          <w:p w14:paraId="30290156">
            <w:pPr>
              <w:overflowPunct w:val="0"/>
              <w:adjustRightInd w:val="0"/>
              <w:spacing w:line="300" w:lineRule="auto"/>
              <w:rPr>
                <w:rFonts w:ascii="仿宋_GB2312"/>
                <w:snapToGrid w:val="0"/>
                <w:sz w:val="21"/>
                <w:szCs w:val="21"/>
              </w:rPr>
            </w:pPr>
            <w:r>
              <w:rPr>
                <w:rFonts w:ascii="仿宋_GB2312"/>
                <w:snapToGrid w:val="0"/>
                <w:sz w:val="21"/>
                <w:szCs w:val="21"/>
              </w:rPr>
              <w:t>5.建立健全有利于农民收入持续增长的体制机制，健全农民经营收入增长机制，建立农民财产</w:t>
            </w:r>
          </w:p>
          <w:p w14:paraId="5F228B19">
            <w:pPr>
              <w:overflowPunct w:val="0"/>
              <w:adjustRightInd w:val="0"/>
              <w:spacing w:line="300" w:lineRule="auto"/>
              <w:ind w:firstLine="205" w:firstLineChars="100"/>
              <w:rPr>
                <w:szCs w:val="32"/>
              </w:rPr>
            </w:pPr>
            <w:r>
              <w:rPr>
                <w:rFonts w:ascii="仿宋_GB2312"/>
                <w:snapToGrid w:val="0"/>
                <w:sz w:val="21"/>
                <w:szCs w:val="21"/>
              </w:rPr>
              <w:t>性收入增长机制，强化农民转移性收入保障机制，建立巩固脱贫攻坚成果长效机制。</w:t>
            </w:r>
          </w:p>
        </w:tc>
      </w:tr>
    </w:tbl>
    <w:p w14:paraId="4D0DEB5A">
      <w:pPr>
        <w:pStyle w:val="3"/>
        <w:adjustRightInd w:val="0"/>
        <w:snapToGrid w:val="0"/>
        <w:spacing w:before="126" w:beforeLines="20" w:after="0" w:line="319" w:lineRule="auto"/>
        <w:ind w:firstLine="630" w:firstLineChars="200"/>
        <w:rPr>
          <w:rFonts w:ascii="楷体_GB2312" w:eastAsia="楷体_GB2312"/>
          <w:snapToGrid w:val="0"/>
        </w:rPr>
      </w:pPr>
      <w:bookmarkStart w:id="55" w:name="_Toc65844524"/>
      <w:bookmarkStart w:id="56" w:name="_Toc67664586"/>
      <w:r>
        <w:rPr>
          <w:rFonts w:hint="eastAsia" w:ascii="楷体_GB2312" w:eastAsia="楷体_GB2312"/>
          <w:snapToGrid w:val="0"/>
        </w:rPr>
        <w:t>（四）全力打造“美丽中国”“美丽浙江”先行示范区</w:t>
      </w:r>
      <w:bookmarkEnd w:id="55"/>
      <w:r>
        <w:rPr>
          <w:rFonts w:hint="eastAsia" w:ascii="楷体_GB2312" w:eastAsia="楷体_GB2312"/>
          <w:snapToGrid w:val="0"/>
        </w:rPr>
        <w:t>。</w:t>
      </w:r>
      <w:bookmarkEnd w:id="56"/>
    </w:p>
    <w:p w14:paraId="3F63DD70">
      <w:pPr>
        <w:overflowPunct w:val="0"/>
        <w:adjustRightInd w:val="0"/>
        <w:spacing w:line="319" w:lineRule="auto"/>
        <w:ind w:firstLine="630" w:firstLineChars="200"/>
        <w:rPr>
          <w:rFonts w:ascii="仿宋_GB2312"/>
          <w:snapToGrid w:val="0"/>
        </w:rPr>
      </w:pPr>
      <w:r>
        <w:rPr>
          <w:rFonts w:hint="eastAsia" w:ascii="仿宋_GB2312"/>
          <w:snapToGrid w:val="0"/>
        </w:rPr>
        <w:t>深入践行绿水青山就是金山银山理念，全领域、全地域、全过程、全方位加强生态文明建设，深入实施蓝天、碧水、净土、清废四大行动，全力打好生态环境巩固提升持久战，建设人与自然和谐共生的现代化，打造“美丽中国”“诗画浙江”先行示范区，建成国家生态文明建设示范县。</w:t>
      </w:r>
    </w:p>
    <w:p w14:paraId="168165B9">
      <w:pPr>
        <w:overflowPunct w:val="0"/>
        <w:adjustRightInd w:val="0"/>
        <w:spacing w:line="319" w:lineRule="auto"/>
        <w:ind w:firstLine="630" w:firstLineChars="200"/>
        <w:rPr>
          <w:rFonts w:ascii="仿宋_GB2312"/>
          <w:snapToGrid w:val="0"/>
        </w:rPr>
      </w:pPr>
      <w:r>
        <w:rPr>
          <w:rFonts w:hint="eastAsia" w:ascii="仿宋_GB2312"/>
          <w:snapToGrid w:val="0"/>
        </w:rPr>
        <w:t>1.建设天蓝地绿水清的全要素美丽生态系统。全力打好生态环境巩固提升持久战，扎实推进垃圾、污水、厕所“三大革命”标准化建设和长效管理。强化多污染物协同控制和区域协同治理，开展“清新空气示范区”创建，实现细颗粒物和臭氧“双控双减”，全面消除重污染天气，基本消除中度污染天气，PM</w:t>
      </w:r>
      <w:r>
        <w:rPr>
          <w:rFonts w:hint="eastAsia" w:ascii="仿宋_GB2312"/>
          <w:snapToGrid w:val="0"/>
          <w:vertAlign w:val="subscript"/>
        </w:rPr>
        <w:t>2.5</w:t>
      </w:r>
      <w:r>
        <w:rPr>
          <w:rFonts w:hint="eastAsia" w:ascii="仿宋_GB2312"/>
          <w:snapToGrid w:val="0"/>
        </w:rPr>
        <w:t>年均浓度不超过25µg/m</w:t>
      </w:r>
      <w:r>
        <w:rPr>
          <w:rFonts w:hint="eastAsia" w:ascii="仿宋_GB2312"/>
          <w:snapToGrid w:val="0"/>
          <w:vertAlign w:val="superscript"/>
        </w:rPr>
        <w:t>3</w:t>
      </w:r>
      <w:r>
        <w:rPr>
          <w:rFonts w:hint="eastAsia" w:ascii="仿宋_GB2312"/>
          <w:snapToGrid w:val="0"/>
        </w:rPr>
        <w:t>，空气质量优良天数比率超过90%，稳定达到国家二级标准，争取达到国家一级标准。强化河湖长制，深化“五水共治”碧水行动，推动农村生活污水治理设施建设改造和运维管理，推进“污水零直排区”建设，实施河湖水系综合整治、水土流失综合防治，加强湖泊湿地生态保护治理，巩固黑臭水体治理成果，加强美丽河湖建设，高标准落实太湖十年禁渔，确保县控以上地表水断面Ш类水质比例、水环境功能区达标率、集中式饮用水水源水质达标率保持100%，水土保持率稳步提升。加强对一般工业固体废物、工业危险废物、医疗废物以及城市生活垃圾等各类废物的综合治理，高标准建成“无废城市”。重视新污染物治理。实施山水林田湖草生态系统保护与修复工程，全面保护野生动植物，深入实施废弃矿山综合治理，推行林长制，深化国土绿化行动，建设森林城市和森林乡村。</w:t>
      </w:r>
    </w:p>
    <w:p w14:paraId="01A1C22F">
      <w:pPr>
        <w:overflowPunct w:val="0"/>
        <w:adjustRightInd w:val="0"/>
        <w:spacing w:line="319" w:lineRule="auto"/>
        <w:ind w:firstLine="630" w:firstLineChars="200"/>
        <w:rPr>
          <w:rFonts w:ascii="仿宋_GB2312"/>
          <w:snapToGrid w:val="0"/>
        </w:rPr>
      </w:pPr>
      <w:r>
        <w:rPr>
          <w:rFonts w:hint="eastAsia" w:ascii="仿宋_GB2312"/>
          <w:snapToGrid w:val="0"/>
        </w:rPr>
        <w:t>2.推行绿色低碳循环的全方位美丽生态生产生活方式。强化应对气候变化与深化经济发展、能源改革和环境质量改善等工作的统筹，制定碳排放达峰行动方案，推进二氧化碳排放达峰行动。大力推进经济生态化，持续压减淘汰落后和过剩产能，加快绿色技术创新，构建绿色制造体系，发展绿色建筑，发展节能环保产业，推进重点行业和重要领域绿色化改造，推进服务业绿色发展，确保完成能源“双控”目标。大力推进生态经济化，发展生态工业、生态旅游、生态农业。开展绿水青山就是金山银山综合改革试点，推进绿水青山就是金山银山实践创新基地建设，深化绿色金融改革，推行生态产品价值实现机制。大力发展循环经济，深化资源循环利用示范城市试点建设，加快构建废旧物资循环利用体系。大力推广低碳生活，广泛开展节约型机关、绿色家庭、绿色学校、绿色社区、绿色商场等“绿色细胞”创建行动，推行绿色餐饮、绿色包装、绿色消费、绿色出行，深化“光盘行动”，推动形成全民生态自觉，实现城乡生活垃圾总量“零增长”、分类处理全覆盖。大力实施节地生态安葬模式，全面推行绿色殡葬。</w:t>
      </w:r>
    </w:p>
    <w:p w14:paraId="3DA0D8E1">
      <w:pPr>
        <w:overflowPunct w:val="0"/>
        <w:adjustRightInd w:val="0"/>
        <w:spacing w:line="319" w:lineRule="auto"/>
        <w:ind w:firstLine="630" w:firstLineChars="200"/>
        <w:rPr>
          <w:rFonts w:ascii="仿宋_GB2312"/>
          <w:snapToGrid w:val="0"/>
        </w:rPr>
      </w:pPr>
      <w:r>
        <w:rPr>
          <w:rFonts w:hint="eastAsia" w:ascii="仿宋_GB2312"/>
          <w:snapToGrid w:val="0"/>
        </w:rPr>
        <w:t>3.完善科学高效完备的全领域美丽治理体系。强化国土空间规划和用途管控，加强全域国土空间治理，实施以“三线一单”为核心的生态环境分区管控体系。开展生态系统生产总值核算，完善市场化、多元化生态补偿，开展排污权、用能权、用水权、碳排放权市场化交易。完善环境保护、节能减排约束性指标管理，健全自然资源资产产权制度。健全生态环境治理标准体系，完善环境污染问题发现、风险预警和应急处置机制，完善生态环境突出问题全过程闭环管理长效机制，完善生态环境损害赔偿制度。积极拓展自然资源和生态环境审计覆盖面，发挥好生态环境审计影响力和震慑力。完善生态环境考核评价体系，合理设定约束性和预期性目标，加强生态环境损害赔偿制度、生态环境公益诉讼制度等制度建设，严格实行生态环境损害责任终身追究制度，健全责任倒查机制，完善配套法律制度，定期开展执法监督检查。实施节能、节水、节地、节材行动，强化水资源刚性约束。</w:t>
      </w:r>
      <w:bookmarkStart w:id="57" w:name="_Toc65844525"/>
    </w:p>
    <w:p w14:paraId="6E726DDA">
      <w:pPr>
        <w:pStyle w:val="3"/>
        <w:adjustRightInd w:val="0"/>
        <w:snapToGrid w:val="0"/>
        <w:spacing w:before="0" w:after="0" w:line="319" w:lineRule="auto"/>
        <w:ind w:firstLine="630" w:firstLineChars="200"/>
        <w:rPr>
          <w:rFonts w:ascii="楷体_GB2312" w:eastAsia="楷体_GB2312"/>
          <w:snapToGrid w:val="0"/>
        </w:rPr>
      </w:pPr>
      <w:bookmarkStart w:id="58" w:name="_Toc67664587"/>
      <w:r>
        <w:rPr>
          <w:rFonts w:ascii="楷体_GB2312" w:eastAsia="楷体_GB2312"/>
          <w:snapToGrid w:val="0"/>
        </w:rPr>
        <w:t>（五）完善现代化基础设施体系</w:t>
      </w:r>
      <w:bookmarkEnd w:id="57"/>
      <w:r>
        <w:rPr>
          <w:rFonts w:hint="eastAsia" w:ascii="楷体_GB2312" w:eastAsia="楷体_GB2312"/>
          <w:snapToGrid w:val="0"/>
        </w:rPr>
        <w:t>。</w:t>
      </w:r>
      <w:bookmarkEnd w:id="58"/>
    </w:p>
    <w:p w14:paraId="11FCD5F0">
      <w:pPr>
        <w:overflowPunct w:val="0"/>
        <w:adjustRightInd w:val="0"/>
        <w:spacing w:line="319" w:lineRule="auto"/>
        <w:ind w:firstLine="630" w:firstLineChars="200"/>
        <w:rPr>
          <w:rFonts w:ascii="仿宋_GB2312"/>
          <w:snapToGrid w:val="0"/>
        </w:rPr>
      </w:pPr>
      <w:r>
        <w:rPr>
          <w:rFonts w:hint="eastAsia" w:ascii="仿宋_GB2312"/>
          <w:snapToGrid w:val="0"/>
        </w:rPr>
        <w:t>聚焦系统完备，加快推进基础设施整体优化、协同融合；坚持高效实用，补齐“前后一公里”和关键节点短板，提升基础设施服务质量和效益；瞄准智能绿色，推动基础设施智能升级和绿色发展；守住安全可靠底线，增强基础设施系统韧性，提高应急响应和自我修复能力。</w:t>
      </w:r>
    </w:p>
    <w:p w14:paraId="179023D4">
      <w:pPr>
        <w:overflowPunct w:val="0"/>
        <w:adjustRightInd w:val="0"/>
        <w:spacing w:line="319" w:lineRule="auto"/>
        <w:ind w:firstLine="630" w:firstLineChars="200"/>
        <w:rPr>
          <w:rFonts w:ascii="仿宋_GB2312"/>
          <w:snapToGrid w:val="0"/>
        </w:rPr>
      </w:pPr>
      <w:r>
        <w:rPr>
          <w:rFonts w:hint="eastAsia" w:ascii="仿宋_GB2312"/>
          <w:snapToGrid w:val="0"/>
          <w:color w:val="000000" w:themeColor="text1"/>
          <w14:textFill>
            <w14:solidFill>
              <w14:schemeClr w14:val="tx1"/>
            </w14:solidFill>
          </w14:textFill>
        </w:rPr>
        <w:t>1.建设高水平交通强县。全力构建“铁公水空”立体多式联运体系，基本完成长兴至安吉公路S216省道等工程建设，加快推进104国道上莘桥至刘家渡提升、235国道改建等项目，开工建设宁合高速公路长兴至广德联络线、G50高速长兴西</w:t>
      </w:r>
      <w:r>
        <w:rPr>
          <w:rFonts w:hint="eastAsia" w:ascii="华文仿宋" w:hAnsi="华文仿宋" w:eastAsia="华文仿宋"/>
          <w:snapToGrid w:val="0"/>
          <w:color w:val="000000" w:themeColor="text1"/>
          <w:sz w:val="30"/>
          <w:szCs w:val="30"/>
          <w14:textFill>
            <w14:solidFill>
              <w14:schemeClr w14:val="tx1"/>
            </w14:solidFill>
          </w14:textFill>
        </w:rPr>
        <w:t>——</w:t>
      </w:r>
      <w:r>
        <w:rPr>
          <w:rFonts w:hint="eastAsia" w:ascii="仿宋_GB2312"/>
          <w:snapToGrid w:val="0"/>
          <w:color w:val="000000" w:themeColor="text1"/>
          <w14:textFill>
            <w14:solidFill>
              <w14:schemeClr w14:val="tx1"/>
            </w14:solidFill>
          </w14:textFill>
        </w:rPr>
        <w:t>省界拓宽等项目。结合“轨道上的长三角”项目实施，谋划推进高铁站和客运站一体化改造建设，实现公铁客运零换乘。大力推进“四好农村路”建设，完善构建“一绕三环、五纵五横”县域骨架支撑路网，形成县域半小时交通圈。完善内河航道网，基本完成浙北高等级航道网集装箱通道、图影</w:t>
      </w:r>
      <w:r>
        <w:rPr>
          <w:rFonts w:hint="eastAsia" w:ascii="华文仿宋" w:hAnsi="华文仿宋" w:eastAsia="华文仿宋"/>
          <w:snapToGrid w:val="0"/>
          <w:sz w:val="30"/>
          <w:szCs w:val="30"/>
        </w:rPr>
        <w:t>——</w:t>
      </w:r>
      <w:r>
        <w:rPr>
          <w:rFonts w:hint="eastAsia" w:ascii="仿宋_GB2312"/>
          <w:snapToGrid w:val="0"/>
          <w:color w:val="000000" w:themeColor="text1"/>
          <w14:textFill>
            <w14:solidFill>
              <w14:schemeClr w14:val="tx1"/>
            </w14:solidFill>
          </w14:textFill>
        </w:rPr>
        <w:t>长兴水上慢行系统等工程建设</w:t>
      </w:r>
      <w:r>
        <w:rPr>
          <w:rFonts w:hint="eastAsia" w:ascii="仿宋_GB2312"/>
          <w:snapToGrid w:val="0"/>
        </w:rPr>
        <w:t>，谋划推进长兴</w:t>
      </w:r>
      <w:r>
        <w:rPr>
          <w:rFonts w:hint="eastAsia" w:ascii="华文仿宋" w:hAnsi="华文仿宋" w:eastAsia="华文仿宋"/>
          <w:snapToGrid w:val="0"/>
          <w:sz w:val="30"/>
          <w:szCs w:val="30"/>
        </w:rPr>
        <w:t>——</w:t>
      </w:r>
      <w:r>
        <w:rPr>
          <w:rFonts w:hint="eastAsia" w:ascii="仿宋_GB2312"/>
          <w:snapToGrid w:val="0"/>
        </w:rPr>
        <w:t>水口水上慢行系统项目。</w:t>
      </w:r>
    </w:p>
    <w:p w14:paraId="5FB43513">
      <w:pPr>
        <w:overflowPunct w:val="0"/>
        <w:adjustRightInd w:val="0"/>
        <w:spacing w:line="319" w:lineRule="auto"/>
        <w:jc w:val="center"/>
        <w:rPr>
          <w:rFonts w:ascii="仿宋_GB2312"/>
          <w:snapToGrid w:val="0"/>
        </w:rPr>
      </w:pPr>
      <w:r>
        <w:rPr>
          <w:rFonts w:hint="eastAsia" w:ascii="仿宋_GB2312"/>
          <w:snapToGrid w:val="0"/>
        </w:rPr>
        <w:t>专栏:“一绕三环、五纵五横”县域骨架支撑路网</w:t>
      </w:r>
    </w:p>
    <w:tbl>
      <w:tblPr>
        <w:tblStyle w:val="15"/>
        <w:tblW w:w="4872"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8"/>
      </w:tblGrid>
      <w:tr w14:paraId="4246CF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14:paraId="1FA76335">
            <w:pPr>
              <w:pStyle w:val="6"/>
              <w:adjustRightInd w:val="0"/>
              <w:snapToGrid w:val="0"/>
              <w:spacing w:line="300" w:lineRule="auto"/>
              <w:rPr>
                <w:rFonts w:ascii="仿宋_GB2312" w:hAnsi="Times New Roman" w:eastAsia="仿宋_GB2312"/>
                <w:szCs w:val="21"/>
              </w:rPr>
            </w:pPr>
            <w:r>
              <w:rPr>
                <w:rFonts w:hint="eastAsia" w:ascii="仿宋_GB2312" w:hAnsi="Times New Roman" w:eastAsia="仿宋_GB2312"/>
                <w:b/>
                <w:szCs w:val="21"/>
              </w:rPr>
              <w:t>一绕：</w:t>
            </w:r>
            <w:r>
              <w:rPr>
                <w:rFonts w:hint="eastAsia" w:ascii="仿宋_GB2312" w:hAnsi="Times New Roman" w:eastAsia="仿宋_GB2312"/>
                <w:szCs w:val="21"/>
              </w:rPr>
              <w:t>由长深高速、沪渝高速、杭长高速和规划建设的合温高速长兴至广德联络线构成。</w:t>
            </w:r>
          </w:p>
          <w:p w14:paraId="4761A676">
            <w:pPr>
              <w:pStyle w:val="6"/>
              <w:adjustRightInd w:val="0"/>
              <w:snapToGrid w:val="0"/>
              <w:spacing w:line="300" w:lineRule="auto"/>
              <w:rPr>
                <w:rFonts w:ascii="仿宋_GB2312" w:hAnsi="Times New Roman" w:eastAsia="仿宋_GB2312"/>
                <w:szCs w:val="21"/>
              </w:rPr>
            </w:pPr>
            <w:r>
              <w:rPr>
                <w:rFonts w:hint="eastAsia" w:ascii="仿宋_GB2312" w:hAnsi="Times New Roman" w:eastAsia="仿宋_GB2312"/>
                <w:b/>
                <w:szCs w:val="21"/>
              </w:rPr>
              <w:t>三环：</w:t>
            </w:r>
            <w:r>
              <w:rPr>
                <w:rFonts w:hint="eastAsia" w:ascii="仿宋_GB2312" w:hAnsi="Times New Roman" w:eastAsia="仿宋_GB2312"/>
                <w:szCs w:val="21"/>
              </w:rPr>
              <w:t>一环指东至陈王路，南至雉州大道，西至画溪大道，北至发展大道。二环指东至站前大道</w:t>
            </w:r>
          </w:p>
          <w:p w14:paraId="6895CCD0">
            <w:pPr>
              <w:pStyle w:val="6"/>
              <w:adjustRightInd w:val="0"/>
              <w:snapToGrid w:val="0"/>
              <w:spacing w:line="300" w:lineRule="auto"/>
              <w:ind w:firstLine="615" w:firstLineChars="300"/>
              <w:rPr>
                <w:rFonts w:ascii="仿宋_GB2312" w:hAnsi="Times New Roman" w:eastAsia="仿宋_GB2312"/>
                <w:szCs w:val="21"/>
              </w:rPr>
            </w:pPr>
            <w:r>
              <w:rPr>
                <w:rFonts w:hint="eastAsia" w:ascii="仿宋_GB2312" w:hAnsi="Times New Roman" w:eastAsia="仿宋_GB2312"/>
                <w:szCs w:val="21"/>
              </w:rPr>
              <w:t>经杨小线到318国道，南至G318国道，西为规划104国道西移工程，北至合温高速长兴支</w:t>
            </w:r>
          </w:p>
          <w:p w14:paraId="24E2349D">
            <w:pPr>
              <w:pStyle w:val="6"/>
              <w:adjustRightInd w:val="0"/>
              <w:snapToGrid w:val="0"/>
              <w:spacing w:line="300" w:lineRule="auto"/>
              <w:ind w:firstLine="615" w:firstLineChars="300"/>
              <w:rPr>
                <w:rFonts w:ascii="仿宋_GB2312" w:hAnsi="Times New Roman" w:eastAsia="仿宋_GB2312"/>
                <w:szCs w:val="21"/>
              </w:rPr>
            </w:pPr>
            <w:r>
              <w:rPr>
                <w:rFonts w:hint="eastAsia" w:ascii="仿宋_GB2312" w:hAnsi="Times New Roman" w:eastAsia="仿宋_GB2312"/>
                <w:szCs w:val="21"/>
              </w:rPr>
              <w:t>线地面道路。三环主要结合《长兴县美丽经济交通走廊建设方案》既定的外环线进行布设，</w:t>
            </w:r>
          </w:p>
          <w:p w14:paraId="0D4D399D">
            <w:pPr>
              <w:pStyle w:val="6"/>
              <w:adjustRightInd w:val="0"/>
              <w:snapToGrid w:val="0"/>
              <w:spacing w:line="300" w:lineRule="auto"/>
              <w:ind w:firstLine="615" w:firstLineChars="300"/>
              <w:rPr>
                <w:rFonts w:ascii="仿宋_GB2312" w:hAnsi="Times New Roman" w:eastAsia="仿宋_GB2312"/>
                <w:szCs w:val="21"/>
              </w:rPr>
            </w:pPr>
            <w:r>
              <w:rPr>
                <w:rFonts w:hint="eastAsia" w:ascii="仿宋_GB2312" w:hAnsi="Times New Roman" w:eastAsia="仿宋_GB2312"/>
                <w:szCs w:val="21"/>
              </w:rPr>
              <w:t>致力于打造半小时旅游交通圈。</w:t>
            </w:r>
          </w:p>
          <w:p w14:paraId="3F0F2D2D">
            <w:pPr>
              <w:pStyle w:val="6"/>
              <w:adjustRightInd w:val="0"/>
              <w:snapToGrid w:val="0"/>
              <w:spacing w:line="300" w:lineRule="auto"/>
              <w:rPr>
                <w:rFonts w:ascii="仿宋_GB2312" w:hAnsi="Times New Roman" w:eastAsia="仿宋_GB2312"/>
                <w:szCs w:val="21"/>
              </w:rPr>
            </w:pPr>
            <w:r>
              <w:rPr>
                <w:rFonts w:hint="eastAsia" w:ascii="仿宋_GB2312" w:hAnsi="Times New Roman" w:eastAsia="仿宋_GB2312"/>
                <w:b/>
                <w:szCs w:val="21"/>
              </w:rPr>
              <w:t>五纵：</w:t>
            </w:r>
            <w:r>
              <w:rPr>
                <w:rFonts w:hint="eastAsia" w:ascii="仿宋_GB2312" w:hAnsi="Times New Roman" w:eastAsia="仿宋_GB2312"/>
                <w:szCs w:val="21"/>
              </w:rPr>
              <w:t>X247滨湖大道、G104国道、X219长达线连长吕公路至和平、S301省道长牛线接长和公路</w:t>
            </w:r>
          </w:p>
          <w:p w14:paraId="2A8247EB">
            <w:pPr>
              <w:pStyle w:val="6"/>
              <w:adjustRightInd w:val="0"/>
              <w:snapToGrid w:val="0"/>
              <w:spacing w:line="300" w:lineRule="auto"/>
              <w:ind w:firstLine="615" w:firstLineChars="300"/>
              <w:rPr>
                <w:rFonts w:ascii="仿宋_GB2312" w:hAnsi="Times New Roman" w:eastAsia="仿宋_GB2312"/>
                <w:szCs w:val="21"/>
              </w:rPr>
            </w:pPr>
            <w:r>
              <w:rPr>
                <w:rFonts w:hint="eastAsia" w:ascii="仿宋_GB2312" w:hAnsi="Times New Roman" w:eastAsia="仿宋_GB2312"/>
                <w:szCs w:val="21"/>
              </w:rPr>
              <w:t>至和平、规划S216省道煤山至和平。</w:t>
            </w:r>
          </w:p>
          <w:p w14:paraId="192B9BEC">
            <w:pPr>
              <w:pStyle w:val="6"/>
              <w:adjustRightInd w:val="0"/>
              <w:snapToGrid w:val="0"/>
              <w:spacing w:line="300" w:lineRule="auto"/>
              <w:rPr>
                <w:rFonts w:ascii="仿宋_GB2312" w:hAnsi="Times New Roman" w:eastAsia="仿宋_GB2312"/>
                <w:szCs w:val="21"/>
              </w:rPr>
            </w:pPr>
            <w:r>
              <w:rPr>
                <w:rFonts w:hint="eastAsia" w:ascii="仿宋_GB2312" w:hAnsi="Times New Roman" w:eastAsia="仿宋_GB2312"/>
                <w:b/>
                <w:szCs w:val="21"/>
              </w:rPr>
              <w:t>五横：</w:t>
            </w:r>
            <w:r>
              <w:rPr>
                <w:rFonts w:hint="eastAsia" w:ascii="仿宋_GB2312" w:hAnsi="Times New Roman" w:eastAsia="仿宋_GB2312"/>
                <w:szCs w:val="21"/>
              </w:rPr>
              <w:t>夹浦至水口至煤山公路（规划S301省道）、方一至五峰公路接中央大道、老318国道至图</w:t>
            </w:r>
          </w:p>
          <w:p w14:paraId="4D871153">
            <w:pPr>
              <w:pStyle w:val="6"/>
              <w:adjustRightInd w:val="0"/>
              <w:snapToGrid w:val="0"/>
              <w:spacing w:line="300" w:lineRule="auto"/>
              <w:ind w:firstLine="615" w:firstLineChars="300"/>
              <w:rPr>
                <w:rFonts w:ascii="Times New Roman" w:hAnsi="Times New Roman" w:eastAsia="仿宋"/>
                <w:sz w:val="32"/>
                <w:szCs w:val="32"/>
              </w:rPr>
            </w:pPr>
            <w:r>
              <w:rPr>
                <w:rFonts w:hint="eastAsia" w:ascii="仿宋_GB2312" w:hAnsi="Times New Roman" w:eastAsia="仿宋_GB2312"/>
                <w:szCs w:val="21"/>
              </w:rPr>
              <w:t>影、G318国道、S302省道。</w:t>
            </w:r>
          </w:p>
        </w:tc>
      </w:tr>
    </w:tbl>
    <w:p w14:paraId="29345F75">
      <w:pPr>
        <w:overflowPunct w:val="0"/>
        <w:adjustRightInd w:val="0"/>
        <w:spacing w:line="324" w:lineRule="auto"/>
        <w:ind w:firstLine="630" w:firstLineChars="200"/>
        <w:rPr>
          <w:rFonts w:ascii="仿宋_GB2312"/>
          <w:snapToGrid w:val="0"/>
        </w:rPr>
      </w:pPr>
      <w:r>
        <w:rPr>
          <w:rFonts w:ascii="仿宋_GB2312"/>
          <w:snapToGrid w:val="0"/>
        </w:rPr>
        <w:t>2.加强水利基础设施建设。全力推进环湖大堤（长兴段）后续、苕溪清水入湖后续等重大水利工程建设，全面提升县域防洪排涝能力。加强中小流域综合治理，改善流域水岸生态环境，打造中小流域综合治理示范工程，提升中小流域防洪减灾能力。深化开展全域美丽河湖建设，系统开展泗安塘、合溪、西苕溪三大流域河道综合治理工程建设，全力打造“河畅、水清、岸绿、景美、安全”的长兴特色幸福河湖。有序实施圩区整治工程建设，开展水库山塘除险加固工程建设，改造提升中型灌区农田水利基础设施，提升农村水利防洪减灾能力，保障农村水利工程运行安全。加快水利核心业务数字化转型，建成长兴县水管理平台，加强智能水网建设，补齐水文短板，提升水文服务能力，实施水库管理提能，增强水库工程管理能力，加强农村饮用水源地保护和管网更新维护，提升农村饮用水保障水平，推进水治理体系高效化和能力现代化。</w:t>
      </w:r>
    </w:p>
    <w:p w14:paraId="1B4F4A78">
      <w:pPr>
        <w:overflowPunct w:val="0"/>
        <w:adjustRightInd w:val="0"/>
        <w:spacing w:line="324" w:lineRule="auto"/>
        <w:ind w:firstLine="630" w:firstLineChars="200"/>
        <w:rPr>
          <w:rFonts w:ascii="仿宋_GB2312"/>
          <w:snapToGrid w:val="0"/>
        </w:rPr>
      </w:pPr>
      <w:r>
        <w:rPr>
          <w:rFonts w:ascii="仿宋_GB2312"/>
          <w:snapToGrid w:val="0"/>
        </w:rPr>
        <w:t>3.完善能源供给网络。构建绿色低碳的现代能源供应体系和电油气“三张网”，探索拓展各类“光伏+”综合利用技术，加快推进光伏发电降本增效。优化电能供给格局，建成投运500千伏长兴输变电、220千伏湖滨输变电及配套工程。有序推进天然气管网向农村延伸，建设燃气管网</w:t>
      </w:r>
      <w:r>
        <w:rPr>
          <w:rFonts w:hint="eastAsia" w:ascii="仿宋_GB2312"/>
          <w:snapToGrid w:val="0"/>
        </w:rPr>
        <w:t>195</w:t>
      </w:r>
      <w:r>
        <w:rPr>
          <w:rFonts w:ascii="仿宋_GB2312"/>
          <w:snapToGrid w:val="0"/>
        </w:rPr>
        <w:t>公里，提高居民气化率，有序发展工业用气。建设城市燃气储备设施，提高储气调峰能力。优化集中供热规划，提升能源梯度、集约利用水平。加强油气管道安全保护。</w:t>
      </w:r>
    </w:p>
    <w:p w14:paraId="5DE947AC">
      <w:pPr>
        <w:overflowPunct w:val="0"/>
        <w:adjustRightInd w:val="0"/>
        <w:spacing w:line="324" w:lineRule="auto"/>
        <w:ind w:firstLine="630" w:firstLineChars="200"/>
        <w:rPr>
          <w:rFonts w:ascii="仿宋_GB2312"/>
          <w:snapToGrid w:val="0"/>
        </w:rPr>
      </w:pPr>
      <w:r>
        <w:rPr>
          <w:rFonts w:ascii="仿宋_GB2312"/>
          <w:snapToGrid w:val="0"/>
        </w:rPr>
        <w:t>4.加强新型基础设施建设。加快推进5G通信建设，实现乡镇以上5G信号全覆盖。部署下一代互联网（IPv6）</w:t>
      </w:r>
      <w:r>
        <w:rPr>
          <w:rFonts w:hint="eastAsia" w:ascii="仿宋_GB2312"/>
          <w:snapToGrid w:val="0"/>
        </w:rPr>
        <w:t>，</w:t>
      </w:r>
      <w:r>
        <w:rPr>
          <w:rFonts w:ascii="仿宋_GB2312"/>
          <w:snapToGrid w:val="0"/>
        </w:rPr>
        <w:t>建设一批</w:t>
      </w:r>
      <w:r>
        <w:rPr>
          <w:rFonts w:hint="eastAsia" w:ascii="仿宋_GB2312"/>
          <w:snapToGrid w:val="0"/>
        </w:rPr>
        <w:t>工业互联网、</w:t>
      </w:r>
      <w:r>
        <w:rPr>
          <w:rFonts w:ascii="仿宋_GB2312"/>
          <w:snapToGrid w:val="0"/>
        </w:rPr>
        <w:t>卫星互联网</w:t>
      </w:r>
      <w:r>
        <w:rPr>
          <w:rFonts w:hint="eastAsia" w:ascii="仿宋_GB2312"/>
          <w:snapToGrid w:val="0"/>
        </w:rPr>
        <w:t>和物联网</w:t>
      </w:r>
      <w:r>
        <w:rPr>
          <w:rFonts w:ascii="仿宋_GB2312"/>
          <w:snapToGrid w:val="0"/>
        </w:rPr>
        <w:t>基础设施。建设一批区块链基础设施，加快区块链与物联网、云计算、5G等前沿信息技术的深度融合。加快推进5G网络建设和产业应用，促进千兆光纤宽带网络升级，健全智能计算、云计算基础设施，引导人工智能开放平台建设。积极推动5G、人工智能、大数据、云计算和区块链等技术与产业、基础设施和民生事业的深度融合，发展工业互联网和电子政务平台，打造天地一体、万物互联、数据共享的城市智慧网。加快推进传统基础设施的智能化改造，科学评估和合理布局数据中心。</w:t>
      </w:r>
    </w:p>
    <w:p w14:paraId="47F50861">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59" w:name="_Toc67664588"/>
      <w:bookmarkStart w:id="60" w:name="_Toc65844526"/>
      <w:r>
        <w:rPr>
          <w:rFonts w:ascii="黑体" w:hAnsi="黑体" w:eastAsia="黑体"/>
          <w:b w:val="0"/>
          <w:snapToGrid w:val="0"/>
          <w:sz w:val="32"/>
          <w:szCs w:val="32"/>
        </w:rPr>
        <w:t>六、坚持共建共治共享共同富裕，促进人的全面发展和社会全面进步，打造美好生活现代化先行地</w:t>
      </w:r>
      <w:bookmarkEnd w:id="59"/>
      <w:bookmarkEnd w:id="60"/>
    </w:p>
    <w:p w14:paraId="25F2EC9F">
      <w:pPr>
        <w:overflowPunct w:val="0"/>
        <w:adjustRightInd w:val="0"/>
        <w:spacing w:line="324" w:lineRule="auto"/>
        <w:ind w:firstLine="630" w:firstLineChars="200"/>
        <w:rPr>
          <w:rFonts w:ascii="仿宋_GB2312"/>
          <w:snapToGrid w:val="0"/>
        </w:rPr>
      </w:pPr>
      <w:r>
        <w:rPr>
          <w:rFonts w:ascii="仿宋_GB2312"/>
          <w:snapToGrid w:val="0"/>
        </w:rPr>
        <w:t>十九届五中全会强调，要坚持把维护好、发展好最广大人民根本利益作为发展的出发点、落脚点，尽力而为、量力而行，扎实推动共同富裕。我县城乡统筹发展水平较高，人民群众的幸福感、满意度也普遍较高，“十四五”时期要继续巩固和发展我县均衡发展比较优势，全力补齐民生短板，健全为民办实事长效机制，全面促进富民惠民安民，加快推进共同富裕，更好满足人民对美好生活的新期待。</w:t>
      </w:r>
    </w:p>
    <w:p w14:paraId="1F9BD2C1">
      <w:pPr>
        <w:pStyle w:val="3"/>
        <w:adjustRightInd w:val="0"/>
        <w:snapToGrid w:val="0"/>
        <w:spacing w:before="0" w:after="0" w:line="324" w:lineRule="auto"/>
        <w:ind w:firstLine="630" w:firstLineChars="200"/>
        <w:rPr>
          <w:rFonts w:ascii="楷体_GB2312" w:eastAsia="楷体_GB2312"/>
          <w:snapToGrid w:val="0"/>
        </w:rPr>
      </w:pPr>
      <w:bookmarkStart w:id="61" w:name="_Toc65844527"/>
      <w:bookmarkStart w:id="62" w:name="_Toc67664589"/>
      <w:r>
        <w:rPr>
          <w:rFonts w:ascii="楷体_GB2312" w:eastAsia="楷体_GB2312"/>
          <w:snapToGrid w:val="0"/>
        </w:rPr>
        <w:t>（一）全力营造更加充分更高质量就业创业环境</w:t>
      </w:r>
      <w:bookmarkEnd w:id="61"/>
      <w:r>
        <w:rPr>
          <w:rFonts w:hint="eastAsia" w:ascii="楷体_GB2312" w:eastAsia="楷体_GB2312"/>
          <w:snapToGrid w:val="0"/>
        </w:rPr>
        <w:t>。</w:t>
      </w:r>
      <w:bookmarkEnd w:id="62"/>
    </w:p>
    <w:p w14:paraId="1A33ED86">
      <w:pPr>
        <w:overflowPunct w:val="0"/>
        <w:adjustRightInd w:val="0"/>
        <w:spacing w:line="336" w:lineRule="auto"/>
        <w:ind w:firstLine="630" w:firstLineChars="200"/>
        <w:rPr>
          <w:rFonts w:ascii="仿宋_GB2312"/>
          <w:snapToGrid w:val="0"/>
        </w:rPr>
      </w:pPr>
      <w:r>
        <w:rPr>
          <w:rFonts w:hint="eastAsia" w:ascii="仿宋_GB2312"/>
          <w:snapToGrid w:val="0"/>
        </w:rPr>
        <w:t>强化就业优先政策，坚持经济发展就业导向，千方百计稳定和扩大就业，提升就业质量，促进充分就业；大力推进创新创业，打造“双创”升级版，促进创业带就业。</w:t>
      </w:r>
    </w:p>
    <w:p w14:paraId="18062B0F">
      <w:pPr>
        <w:overflowPunct w:val="0"/>
        <w:adjustRightInd w:val="0"/>
        <w:spacing w:line="336" w:lineRule="auto"/>
        <w:ind w:firstLine="630" w:firstLineChars="200"/>
        <w:rPr>
          <w:rFonts w:ascii="仿宋_GB2312"/>
          <w:snapToGrid w:val="0"/>
        </w:rPr>
      </w:pPr>
      <w:r>
        <w:rPr>
          <w:rFonts w:hint="eastAsia" w:ascii="仿宋_GB2312"/>
          <w:snapToGrid w:val="0"/>
        </w:rPr>
        <w:t>1.稳定和扩大就业。坚持创造更多就业岗位和稳定现有就业岗位并重，全力防范化解规模性失业风险，保障全县就业形势总体稳定。提高劳动密集型产业附加值，大力发展社区服务、养老服务、人力资源服务等就业带动能力强的产业，开发季节性、灵活性、公益性就业岗位，鼓励发展灵活就业新业态，提高就业吸纳能力。加强职业技能培训，提升劳动者就业能力。加强残疾人等重点群体就业精准帮扶和就业困难人员的就业培训、托底安置，实施零就业家庭动态清零。“十四五”期间开展职业培训5万人次以上，实现城镇新增就业10万人以上，城镇登记失业率控制在2.0%以内，全县三分之一的村（社区）达到高质量就业村（社区）标准。</w:t>
      </w:r>
    </w:p>
    <w:p w14:paraId="70DEFE89">
      <w:pPr>
        <w:overflowPunct w:val="0"/>
        <w:adjustRightInd w:val="0"/>
        <w:spacing w:line="336" w:lineRule="auto"/>
        <w:ind w:firstLine="630" w:firstLineChars="200"/>
        <w:rPr>
          <w:rFonts w:ascii="仿宋_GB2312"/>
          <w:snapToGrid w:val="0"/>
        </w:rPr>
      </w:pPr>
      <w:r>
        <w:rPr>
          <w:rFonts w:hint="eastAsia" w:ascii="仿宋_GB2312"/>
          <w:snapToGrid w:val="0"/>
        </w:rPr>
        <w:t>2.促进创业带动就业。深入推动大众创业、万众创新，加强创业教育培训。推进众创空间、创业孵化基地等创业平台建设，全面落实就业创业服务补贴、孵化补贴等政策，健全创业担保贷款代偿机制。建立健全大学生创业团队、返乡入乡创业重点人群、农村电商人才创业扶持政策，加大资金支持、场地提供和创业指导帮扶。充分挖掘新产业、新业态、新商业模式的创业空间和新型灵活就业增长点。</w:t>
      </w:r>
    </w:p>
    <w:p w14:paraId="3B5D6D91">
      <w:pPr>
        <w:overflowPunct w:val="0"/>
        <w:adjustRightInd w:val="0"/>
        <w:spacing w:line="336" w:lineRule="auto"/>
        <w:ind w:firstLine="630" w:firstLineChars="200"/>
        <w:rPr>
          <w:rFonts w:ascii="仿宋_GB2312"/>
          <w:snapToGrid w:val="0"/>
        </w:rPr>
      </w:pPr>
      <w:r>
        <w:rPr>
          <w:rFonts w:hint="eastAsia" w:ascii="仿宋_GB2312"/>
          <w:snapToGrid w:val="0"/>
        </w:rPr>
        <w:t>3.构建新型和谐劳动关系。全面落实劳动合同制度，建立健全企业劳动用工评价机制。规范新业态从业人员用工保障制度，落实优化新业态劳动用工服务政策措施，稳定新业态劳动用工，促进小微企业用工更加规范。深入推进乡镇（街道）劳动纠纷多元化解机制建设。强化劳动监察执法工作，加强“互联网+监管”“互联网+执法”的监管方式和执法形式。高水平打造“无欠薪”长兴，提升欠薪治理能力。加强对园区、企业调解组织人员的劳动争议调解工作业务培训。</w:t>
      </w:r>
    </w:p>
    <w:p w14:paraId="1662CB3E">
      <w:pPr>
        <w:overflowPunct w:val="0"/>
        <w:adjustRightInd w:val="0"/>
        <w:spacing w:line="336" w:lineRule="auto"/>
        <w:ind w:firstLine="630" w:firstLineChars="200"/>
        <w:rPr>
          <w:rFonts w:ascii="仿宋_GB2312"/>
          <w:snapToGrid w:val="0"/>
        </w:rPr>
      </w:pPr>
      <w:r>
        <w:rPr>
          <w:rFonts w:hint="eastAsia" w:ascii="仿宋_GB2312"/>
          <w:snapToGrid w:val="0"/>
        </w:rPr>
        <w:t>4.推动城乡居民持续增收。统筹扩大中等收入群体和增加低收入群体收入，完善企业工资集体协商制度和最低工资标准调整机制，推动居民收入与经济增长同步、劳动报酬与劳动生产率提高同步。落实和完善按要素分配政策制度，探索增加中低收入群体要素收入，多渠道增加居民财产性收入。推动实施技能人才、新型职业农民、科研人员等重点群体增收激励计划。深入实施“十百千万”工程，落实强农惠农富农政策，促进农民持续增收。完善最低工资标准调整机制，实施低收入群体同步基本实现现代化行动。</w:t>
      </w:r>
    </w:p>
    <w:p w14:paraId="6B35D8B3">
      <w:pPr>
        <w:pStyle w:val="3"/>
        <w:adjustRightInd w:val="0"/>
        <w:snapToGrid w:val="0"/>
        <w:spacing w:before="0" w:after="0" w:line="324" w:lineRule="auto"/>
        <w:ind w:firstLine="630" w:firstLineChars="200"/>
        <w:rPr>
          <w:rFonts w:ascii="楷体_GB2312" w:eastAsia="楷体_GB2312"/>
          <w:snapToGrid w:val="0"/>
        </w:rPr>
      </w:pPr>
      <w:bookmarkStart w:id="63" w:name="_Toc65844528"/>
      <w:bookmarkStart w:id="64" w:name="_Toc67664590"/>
      <w:r>
        <w:rPr>
          <w:rFonts w:hint="eastAsia" w:ascii="楷体_GB2312" w:eastAsia="楷体_GB2312"/>
          <w:snapToGrid w:val="0"/>
        </w:rPr>
        <w:t>（二）打造具有全国影响力的“学在长兴”品牌</w:t>
      </w:r>
      <w:bookmarkEnd w:id="63"/>
      <w:r>
        <w:rPr>
          <w:rFonts w:hint="eastAsia" w:ascii="楷体_GB2312" w:eastAsia="楷体_GB2312"/>
          <w:snapToGrid w:val="0"/>
        </w:rPr>
        <w:t>。</w:t>
      </w:r>
      <w:bookmarkEnd w:id="64"/>
    </w:p>
    <w:p w14:paraId="6EA23DAC">
      <w:pPr>
        <w:overflowPunct w:val="0"/>
        <w:adjustRightInd w:val="0"/>
        <w:spacing w:line="336" w:lineRule="auto"/>
        <w:ind w:firstLine="630" w:firstLineChars="200"/>
        <w:rPr>
          <w:rFonts w:ascii="仿宋_GB2312"/>
          <w:snapToGrid w:val="0"/>
        </w:rPr>
      </w:pPr>
      <w:r>
        <w:rPr>
          <w:rFonts w:hint="eastAsia" w:ascii="仿宋_GB2312"/>
          <w:snapToGrid w:val="0"/>
        </w:rPr>
        <w:t>全面落实立德树人根本任务，健全学校家庭社会协同育人机制，促进学生德智体美劳全面发展，不断丰富“学在长兴”内涵、提升“学在长兴”品质。</w:t>
      </w:r>
    </w:p>
    <w:p w14:paraId="0E7A5F24">
      <w:pPr>
        <w:overflowPunct w:val="0"/>
        <w:adjustRightInd w:val="0"/>
        <w:spacing w:line="336" w:lineRule="auto"/>
        <w:ind w:firstLine="630" w:firstLineChars="200"/>
        <w:rPr>
          <w:rFonts w:ascii="仿宋_GB2312"/>
          <w:snapToGrid w:val="0"/>
        </w:rPr>
      </w:pPr>
      <w:r>
        <w:rPr>
          <w:rFonts w:hint="eastAsia" w:ascii="仿宋_GB2312"/>
          <w:snapToGrid w:val="0"/>
        </w:rPr>
        <w:t>1.夯实教育教学基础。加强受教育人口变化趋势研究，前瞻性做好全县教育基础设施规划布局，科学设置学校数量和规模，循序渐进推进学前教育、小学教育、初中教育和高中教育基础设施布局优化和扩容改造，高质量普及学前至高中段15年教育，建成覆盖城乡的学前教育公共服务体系，促进义务教育优质均衡发展，推进高中阶段学校多样化发展，完善特殊教育、专门教育保障机制。研究布局高等教育，争取“十四五”时期在中外合作办学、应用型高校引进和国家级科研院所落实上实现突破，填补高等教育空白。加快发展“互联网+教育”，完善终身学习体系，建立终身职业技能培训体系，建设学习型社会。</w:t>
      </w:r>
    </w:p>
    <w:p w14:paraId="6034F37E">
      <w:pPr>
        <w:overflowPunct w:val="0"/>
        <w:adjustRightInd w:val="0"/>
        <w:spacing w:line="336" w:lineRule="auto"/>
        <w:ind w:firstLine="630" w:firstLineChars="200"/>
        <w:rPr>
          <w:rFonts w:ascii="仿宋_GB2312"/>
          <w:snapToGrid w:val="0"/>
        </w:rPr>
      </w:pPr>
      <w:r>
        <w:rPr>
          <w:rFonts w:hint="eastAsia" w:ascii="仿宋_GB2312"/>
          <w:snapToGrid w:val="0"/>
        </w:rPr>
        <w:t>2.提升教育教学质量。扎实推进第四轮学前教育三年行动计划，加强与长三角高校名园合作交流，提升课程生活化品牌影响力。加强新型城乡教育共同体建设和教育集团化、社会化办学，促进城乡教育优质均衡发展，实施初中创强行动。推动普通高中特色化发展，开展大数据精准教学，实施普通高中新课程新教材，推动高中育人方式改革。完善职业教育、技工教育体系，深化职普融通、产教融合、育训兼容，建设一流职教中心、技师学院，继续保持职业教育先行示范地位，积极推动长兴技师学院升级高等职业技术学院。推行现代学徒制，将工匠精神培育融入到职业教育的全过程，实施成教服务能力提升工程。推进特殊教育与普通教育融合发展，继续推进资源教室建设，不断加强体育、美育、劳动技术教育。推动校外培训机构“云‘智’理”，提升民办教育管理能力。</w:t>
      </w:r>
    </w:p>
    <w:p w14:paraId="589582B6">
      <w:pPr>
        <w:overflowPunct w:val="0"/>
        <w:adjustRightInd w:val="0"/>
        <w:spacing w:line="324" w:lineRule="auto"/>
        <w:ind w:firstLine="630" w:firstLineChars="200"/>
        <w:rPr>
          <w:rFonts w:ascii="仿宋_GB2312"/>
          <w:snapToGrid w:val="0"/>
        </w:rPr>
      </w:pPr>
    </w:p>
    <w:p w14:paraId="654B9912">
      <w:pPr>
        <w:overflowPunct w:val="0"/>
        <w:adjustRightInd w:val="0"/>
        <w:spacing w:line="324" w:lineRule="auto"/>
        <w:ind w:firstLine="630" w:firstLineChars="200"/>
        <w:rPr>
          <w:rFonts w:ascii="仿宋_GB2312"/>
          <w:snapToGrid w:val="0"/>
        </w:rPr>
      </w:pPr>
    </w:p>
    <w:p w14:paraId="08C8080A">
      <w:pPr>
        <w:overflowPunct w:val="0"/>
        <w:adjustRightInd w:val="0"/>
        <w:spacing w:line="324" w:lineRule="auto"/>
        <w:jc w:val="center"/>
        <w:rPr>
          <w:rFonts w:ascii="仿宋_GB2312"/>
          <w:snapToGrid w:val="0"/>
        </w:rPr>
      </w:pPr>
      <w:r>
        <w:rPr>
          <w:rFonts w:hint="eastAsia" w:ascii="仿宋_GB2312"/>
          <w:snapToGrid w:val="0"/>
        </w:rPr>
        <w:t>专栏：新型城乡教育共同体</w:t>
      </w:r>
    </w:p>
    <w:tbl>
      <w:tblPr>
        <w:tblStyle w:val="15"/>
        <w:tblW w:w="4867" w:type="pct"/>
        <w:tblInd w:w="13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19"/>
      </w:tblGrid>
      <w:tr w14:paraId="43DB3E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14:paraId="57A54724">
            <w:pPr>
              <w:adjustRightInd w:val="0"/>
              <w:spacing w:line="324" w:lineRule="auto"/>
              <w:rPr>
                <w:rFonts w:ascii="仿宋_GB2312"/>
                <w:bCs/>
                <w:sz w:val="21"/>
                <w:szCs w:val="21"/>
              </w:rPr>
            </w:pPr>
            <w:r>
              <w:rPr>
                <w:rFonts w:hint="eastAsia" w:ascii="仿宋_GB2312"/>
                <w:bCs/>
                <w:sz w:val="21"/>
                <w:szCs w:val="21"/>
              </w:rPr>
              <w:t>借助“互联网+”技术，打造一个智慧大脑、六大管理平台，集成四大应用场景，推动城乡孩子同教育同培养，推动形成共同体学校线上线下深度融合的新型城乡教育共同体。着力探索基于新型城乡教育共同体运行模式，推动全县学校内涵提升、各层次教师专业有效发展以及乡村学校的生源回流，重塑乡村学校文化自信，打造优质均衡的教育生态。</w:t>
            </w:r>
          </w:p>
          <w:p w14:paraId="0B13E2DC">
            <w:pPr>
              <w:adjustRightInd w:val="0"/>
              <w:spacing w:line="324" w:lineRule="auto"/>
              <w:rPr>
                <w:rFonts w:ascii="仿宋_GB2312"/>
                <w:bCs/>
                <w:sz w:val="21"/>
                <w:szCs w:val="21"/>
              </w:rPr>
            </w:pPr>
            <w:r>
              <w:rPr>
                <w:rFonts w:hint="eastAsia" w:ascii="仿宋_GB2312"/>
                <w:b/>
                <w:sz w:val="21"/>
                <w:szCs w:val="21"/>
              </w:rPr>
              <w:t>一个智慧大脑：</w:t>
            </w:r>
            <w:r>
              <w:rPr>
                <w:rFonts w:hint="eastAsia" w:ascii="仿宋_GB2312"/>
                <w:bCs/>
                <w:sz w:val="21"/>
                <w:szCs w:val="21"/>
              </w:rPr>
              <w:t>打通学校文化管理、师生发展、社区服务的各类数据信息，构建“应用+大数据+</w:t>
            </w:r>
          </w:p>
          <w:p w14:paraId="0795A9D5">
            <w:pPr>
              <w:adjustRightInd w:val="0"/>
              <w:spacing w:line="324" w:lineRule="auto"/>
              <w:ind w:firstLine="1435" w:firstLineChars="700"/>
              <w:rPr>
                <w:rFonts w:ascii="仿宋_GB2312"/>
                <w:bCs/>
                <w:sz w:val="21"/>
                <w:szCs w:val="21"/>
              </w:rPr>
            </w:pPr>
            <w:r>
              <w:rPr>
                <w:rFonts w:hint="eastAsia" w:ascii="仿宋_GB2312"/>
                <w:bCs/>
                <w:sz w:val="21"/>
                <w:szCs w:val="21"/>
              </w:rPr>
              <w:t>开放生态”跨领域协作的平台体系，为城乡学校和师生用户提供统一入口、统一</w:t>
            </w:r>
          </w:p>
          <w:p w14:paraId="0005DEEB">
            <w:pPr>
              <w:adjustRightInd w:val="0"/>
              <w:spacing w:line="324" w:lineRule="auto"/>
              <w:ind w:firstLine="1435" w:firstLineChars="700"/>
              <w:rPr>
                <w:rFonts w:ascii="仿宋_GB2312"/>
                <w:b/>
                <w:sz w:val="21"/>
                <w:szCs w:val="21"/>
              </w:rPr>
            </w:pPr>
            <w:r>
              <w:rPr>
                <w:rFonts w:hint="eastAsia" w:ascii="仿宋_GB2312"/>
                <w:bCs/>
                <w:sz w:val="21"/>
                <w:szCs w:val="21"/>
              </w:rPr>
              <w:t>认证的“一站式”应用，形成全县教育信息数据库。</w:t>
            </w:r>
          </w:p>
          <w:p w14:paraId="17B44205">
            <w:pPr>
              <w:adjustRightInd w:val="0"/>
              <w:spacing w:line="324" w:lineRule="auto"/>
              <w:rPr>
                <w:rFonts w:ascii="仿宋_GB2312"/>
                <w:bCs/>
                <w:sz w:val="21"/>
                <w:szCs w:val="21"/>
              </w:rPr>
            </w:pPr>
            <w:r>
              <w:rPr>
                <w:rFonts w:hint="eastAsia" w:ascii="仿宋_GB2312"/>
                <w:b/>
                <w:sz w:val="21"/>
                <w:szCs w:val="21"/>
              </w:rPr>
              <w:t>六大管理平台：</w:t>
            </w:r>
            <w:r>
              <w:rPr>
                <w:rFonts w:hint="eastAsia" w:ascii="仿宋_GB2312"/>
                <w:bCs/>
                <w:sz w:val="21"/>
                <w:szCs w:val="21"/>
              </w:rPr>
              <w:t>学校发展性管理平台、师生成长管理应用平台、教师智慧教育平台、大数据精准</w:t>
            </w:r>
          </w:p>
          <w:p w14:paraId="6BAA5866">
            <w:pPr>
              <w:adjustRightInd w:val="0"/>
              <w:spacing w:line="324" w:lineRule="auto"/>
              <w:ind w:firstLine="1435" w:firstLineChars="700"/>
              <w:rPr>
                <w:rFonts w:ascii="仿宋_GB2312"/>
                <w:bCs/>
                <w:sz w:val="21"/>
                <w:szCs w:val="21"/>
              </w:rPr>
            </w:pPr>
            <w:r>
              <w:rPr>
                <w:rFonts w:hint="eastAsia" w:ascii="仿宋_GB2312"/>
                <w:bCs/>
                <w:sz w:val="21"/>
                <w:szCs w:val="21"/>
              </w:rPr>
              <w:t>教学平台、劳动实践教育学习中心和全民在线学习中心六大平台。</w:t>
            </w:r>
          </w:p>
          <w:p w14:paraId="2689E945">
            <w:pPr>
              <w:adjustRightInd w:val="0"/>
              <w:spacing w:line="324" w:lineRule="auto"/>
              <w:rPr>
                <w:rFonts w:ascii="仿宋_GB2312"/>
                <w:bCs/>
                <w:sz w:val="21"/>
                <w:szCs w:val="21"/>
              </w:rPr>
            </w:pPr>
            <w:r>
              <w:rPr>
                <w:rFonts w:hint="eastAsia" w:ascii="仿宋_GB2312"/>
                <w:b/>
                <w:sz w:val="21"/>
                <w:szCs w:val="21"/>
              </w:rPr>
              <w:t>四大应用场景：</w:t>
            </w:r>
            <w:r>
              <w:rPr>
                <w:rFonts w:hint="eastAsia" w:ascii="仿宋_GB2312"/>
                <w:bCs/>
                <w:sz w:val="21"/>
                <w:szCs w:val="21"/>
              </w:rPr>
              <w:t>打造学校管理文化一体化应用场景，推动城区牵头学校的管理文化向乡村辐射；</w:t>
            </w:r>
          </w:p>
          <w:p w14:paraId="5D5A1259">
            <w:pPr>
              <w:adjustRightInd w:val="0"/>
              <w:spacing w:line="324" w:lineRule="auto"/>
              <w:ind w:firstLine="1435" w:firstLineChars="700"/>
              <w:rPr>
                <w:rFonts w:ascii="仿宋_GB2312"/>
                <w:bCs/>
                <w:sz w:val="21"/>
                <w:szCs w:val="21"/>
              </w:rPr>
            </w:pPr>
            <w:r>
              <w:rPr>
                <w:rFonts w:hint="eastAsia" w:ascii="仿宋_GB2312"/>
                <w:bCs/>
                <w:sz w:val="21"/>
                <w:szCs w:val="21"/>
              </w:rPr>
              <w:t>打造城乡学生成长一体化应用场景，依托精准教学和个性化学习平台，实现城乡</w:t>
            </w:r>
          </w:p>
          <w:p w14:paraId="26098A77">
            <w:pPr>
              <w:adjustRightInd w:val="0"/>
              <w:spacing w:line="324" w:lineRule="auto"/>
              <w:ind w:firstLine="1435" w:firstLineChars="700"/>
              <w:rPr>
                <w:rFonts w:ascii="仿宋_GB2312"/>
                <w:bCs/>
                <w:sz w:val="21"/>
                <w:szCs w:val="21"/>
              </w:rPr>
            </w:pPr>
            <w:r>
              <w:rPr>
                <w:rFonts w:hint="eastAsia" w:ascii="仿宋_GB2312"/>
                <w:bCs/>
                <w:sz w:val="21"/>
                <w:szCs w:val="21"/>
              </w:rPr>
              <w:t>资源的共享；城乡教师发展一体化应用场景，构建“空中课堂”“空中教研”应用</w:t>
            </w:r>
          </w:p>
          <w:p w14:paraId="11112476">
            <w:pPr>
              <w:adjustRightInd w:val="0"/>
              <w:spacing w:line="324" w:lineRule="auto"/>
              <w:ind w:firstLine="1435" w:firstLineChars="700"/>
              <w:rPr>
                <w:rFonts w:ascii="仿宋_GB2312"/>
                <w:bCs/>
                <w:sz w:val="21"/>
                <w:szCs w:val="21"/>
              </w:rPr>
            </w:pPr>
            <w:r>
              <w:rPr>
                <w:rFonts w:hint="eastAsia" w:ascii="仿宋_GB2312"/>
                <w:bCs/>
                <w:sz w:val="21"/>
                <w:szCs w:val="21"/>
              </w:rPr>
              <w:t>场景；打造城乡社区服务一体化应用场景。充分发挥职成学校（社区学院）、专业</w:t>
            </w:r>
          </w:p>
          <w:p w14:paraId="7413513D">
            <w:pPr>
              <w:adjustRightInd w:val="0"/>
              <w:spacing w:line="324" w:lineRule="auto"/>
              <w:ind w:firstLine="1435" w:firstLineChars="700"/>
              <w:rPr>
                <w:bCs/>
                <w:szCs w:val="32"/>
              </w:rPr>
            </w:pPr>
            <w:r>
              <w:rPr>
                <w:rFonts w:hint="eastAsia" w:ascii="仿宋_GB2312"/>
                <w:bCs/>
                <w:sz w:val="21"/>
                <w:szCs w:val="21"/>
              </w:rPr>
              <w:t>技术中心的作用，实现优质教育资源向社会辐射。</w:t>
            </w:r>
          </w:p>
        </w:tc>
      </w:tr>
    </w:tbl>
    <w:p w14:paraId="14D39CCA">
      <w:pPr>
        <w:overflowPunct w:val="0"/>
        <w:adjustRightInd w:val="0"/>
        <w:spacing w:before="126" w:beforeLines="20" w:line="324" w:lineRule="auto"/>
        <w:ind w:firstLine="630" w:firstLineChars="200"/>
        <w:rPr>
          <w:rFonts w:ascii="仿宋_GB2312"/>
          <w:snapToGrid w:val="0"/>
          <w:szCs w:val="32"/>
        </w:rPr>
      </w:pPr>
      <w:r>
        <w:rPr>
          <w:rFonts w:hint="eastAsia" w:ascii="仿宋_GB2312"/>
          <w:snapToGrid w:val="0"/>
          <w:szCs w:val="32"/>
        </w:rPr>
        <w:t>3.优化教育教学生态。建立系统、科学、完备的教师专业发展体系，促进各级各类教师队伍专业发展水平满足新时代教育内涵式发展新需求，造就一批名师、名校长、学科领军人才和德才兼备的教育专家，提升教师教书育人能力素质。增强学生文明素养、社会责任意识、实践本领，高度重视青少年身体素质和心理健康教育。完善终身学习体系，建立终身职业技能培训体系，建设学习型社会，进一步浓厚尊师重教氛围。</w:t>
      </w:r>
    </w:p>
    <w:p w14:paraId="020F14FB">
      <w:pPr>
        <w:pStyle w:val="3"/>
        <w:adjustRightInd w:val="0"/>
        <w:snapToGrid w:val="0"/>
        <w:spacing w:before="0" w:after="0" w:line="324" w:lineRule="auto"/>
        <w:ind w:firstLine="630" w:firstLineChars="200"/>
        <w:rPr>
          <w:rFonts w:ascii="楷体_GB2312" w:eastAsia="楷体_GB2312"/>
          <w:snapToGrid w:val="0"/>
        </w:rPr>
      </w:pPr>
      <w:bookmarkStart w:id="65" w:name="_Toc65844529"/>
      <w:bookmarkStart w:id="66" w:name="_Toc67664591"/>
      <w:r>
        <w:rPr>
          <w:rFonts w:hint="eastAsia" w:ascii="楷体_GB2312" w:eastAsia="楷体_GB2312"/>
          <w:snapToGrid w:val="0"/>
        </w:rPr>
        <w:t>（三）高水平建设人民满意的“健康长兴”</w:t>
      </w:r>
      <w:bookmarkEnd w:id="65"/>
      <w:r>
        <w:rPr>
          <w:rFonts w:hint="eastAsia" w:ascii="楷体_GB2312" w:eastAsia="楷体_GB2312"/>
          <w:snapToGrid w:val="0"/>
        </w:rPr>
        <w:t>。</w:t>
      </w:r>
      <w:bookmarkEnd w:id="66"/>
    </w:p>
    <w:p w14:paraId="7C164BD6">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倡导全面健康理念，深入实施健康长兴专项行动，加快推动卫生健康事业从以治病为中心向以健康为中心转变，更好满足群众全生命全周期健康服务，全力打造国家级综合医改示范样板区和健康中国先行示范县。</w:t>
      </w:r>
    </w:p>
    <w:p w14:paraId="6A9EE4FB">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持续深化医药卫生体制改革。全面推进高水平医联体、医共体建设，深入推进省级“三医联动”“六医统筹”集成创新改革，探索构建“急病要急”“慢病要准”“无病要防”的整合型县域卫生健康服务体系，全力做优全国公立医院综合改革示范县，打造国家级综合医改示范样板区。完善分级诊疗机制，推进家庭医生签约服务，引导社会办医提档升级，全面提高基本医疗卫生服务均等化水平。</w:t>
      </w:r>
    </w:p>
    <w:p w14:paraId="57C57790">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健全完善公共卫生体系。完善疾病预防控制体系和重大疫情防控体制机制，实施传染病医疗救治能力提升工程，建成平战结合院区2个，规范设置二级以上医疗机构发热门诊，完善县域急救体系建设，实现院前急救站点乡镇全覆盖，建立县级卫生应急专家咨询委员会，提高应对突发公共卫生事件能力。健全卫生应急信息化管理体系和物资保障体系。创新医防协同机制，完善公共卫生服务项目，落实医疗机构公共卫生责任。深入开展爱国卫生运动，普及健康生活方式，引导卫生城镇向健康城镇发展，全面推进健康村镇建设，实施健康“细胞”培育工程，推动健康责任社会化和全民化。</w:t>
      </w:r>
    </w:p>
    <w:p w14:paraId="624C988E">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全面提升医疗服务能力。参与打造长三角城市群医院协同发展战略联盟，鼓励本地医院与长三角名医名院开展医疗合作，柔性引进名医专家，推进学科、重点专科合作共建，协同扩大优质医疗资源供给，促进优质医疗资源共享和下沉。推进镇村基层医疗卫生机构标准化建设。强化基层卫生人才引育力度。大力发展智慧医疗，加快实现卫生健康全面数字化转型。坚持中西医并重，积极推动中医药事业发展。完成全人群健康基线调查，全面推进医共体建设下全人群、全周期健康管理，提升健康教育、慢病管理和残疾康复服务质量，重视精神卫生和心理健康，全县居民主要健康发展指标和县域健康发展状况达到发达国家水平。</w:t>
      </w:r>
    </w:p>
    <w:p w14:paraId="62FAE994">
      <w:pPr>
        <w:pStyle w:val="3"/>
        <w:adjustRightInd w:val="0"/>
        <w:snapToGrid w:val="0"/>
        <w:spacing w:before="0" w:after="0" w:line="324" w:lineRule="auto"/>
        <w:ind w:firstLine="630" w:firstLineChars="200"/>
        <w:rPr>
          <w:rFonts w:ascii="楷体_GB2312" w:eastAsia="楷体_GB2312"/>
          <w:snapToGrid w:val="0"/>
        </w:rPr>
      </w:pPr>
      <w:bookmarkStart w:id="67" w:name="_Toc65844530"/>
      <w:bookmarkStart w:id="68" w:name="_Toc67664592"/>
      <w:r>
        <w:rPr>
          <w:rFonts w:hint="eastAsia" w:ascii="楷体_GB2312" w:eastAsia="楷体_GB2312"/>
          <w:snapToGrid w:val="0"/>
        </w:rPr>
        <w:t>（四）持续推进“文化长兴”“文明长兴”建设</w:t>
      </w:r>
      <w:bookmarkEnd w:id="67"/>
      <w:r>
        <w:rPr>
          <w:rFonts w:hint="eastAsia" w:ascii="楷体_GB2312" w:eastAsia="楷体_GB2312"/>
          <w:snapToGrid w:val="0"/>
        </w:rPr>
        <w:t>。</w:t>
      </w:r>
      <w:bookmarkEnd w:id="68"/>
    </w:p>
    <w:p w14:paraId="2FBD39B7">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坚持以社会主义核心价值观为引领，坚定文化自信，深入实施文化建设“八项工程”（</w:t>
      </w:r>
      <w:r>
        <w:rPr>
          <w:rFonts w:hint="eastAsia" w:ascii="仿宋_GB2312"/>
        </w:rPr>
        <w:t>包括文化引领工程、文化研究工程、文化精品工程、文化设施工程、文化创意工程、文化传播工程、文化人才工程、文化素质工程等</w:t>
      </w:r>
      <w:r>
        <w:rPr>
          <w:rFonts w:hint="eastAsia" w:ascii="仿宋_GB2312"/>
          <w:snapToGrid w:val="0"/>
          <w:szCs w:val="32"/>
        </w:rPr>
        <w:t>），以文化人，提升文化软实力，引领社会新风尚，打造思想高地、文明高地、文化事业和文化产业高地。</w:t>
      </w:r>
    </w:p>
    <w:p w14:paraId="5BF858F8">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建设更高水平文明长兴。加强理论武装，深入实施铸魂工程、溯源工程、走心工程，推动学习贯彻习近平新时代中国特色社会主义思想走深走心走实。实施红色基因薪火行动，推动理想信念教育常态化、制度化，大力弘扬革命精神、长兴精神，加强新四军苏浙军区旧址群保护和研究利用，提升爱国主义教育基地建设水平，打造红色文化示范区。深化群众性精神文明创建，实施新时代文明生活行动。推进公民道德建设，加强家庭家教家风建设。构建覆盖县乡村三级的新时代文明实践体系，着力打造新时代文明实践“长兴样板”，推进新时代文明实践中心、县融媒体中心和“学习强国”学习平台融合建设。深入挖掘和广泛宣传各领域“最美”典型。加快建设“诚信长兴”，弘扬诚信文化，推动形成适应新时代要求的思想观念、精神面貌、文明风尚、行为规范。深化婚丧等移风易俗，完成全省“婚俗改革”试点工作。深入推广践行“文明长兴新八条”，使人心和善、家庭和睦、事业和合、环境和美、社会和谐成为全县人民的共同价值理念，持续擦亮“和文化”道德品牌。完善志愿服务体系。</w:t>
      </w:r>
    </w:p>
    <w:p w14:paraId="6711A638">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优化公共文化服务体系。创新实施文化惠民工程，更好发挥图书馆、文化馆、档案馆、博物馆等作用，广泛开展群众性文化活动，提档升级基本公共文化服务标准。实施人文素养提升行动，深化全民阅读。深入开展长兴文化基因解码工程并推进转化成果，打造一批“既叫好、又叫座”的文艺精品佳作。弘扬彰显禅茶文化、太湖文化、红色文化、古生态文化等地域文化特色，加强自然遗产和文化遗产传承与保护，推进大运河国家文化公园、诗路文化带建设。做强新型主流媒体，加强网络空间规范发展，发挥融媒体宣传主旋律、传播先进文化的主渠道作用。规划建设全民健身中心、新少体校，加快推进工人文化宫建设，开展全民健身行动，创建省级体育现代化县、全国全民运动健身模范县。高度重视推进史志、档案事业发展。</w:t>
      </w:r>
    </w:p>
    <w:p w14:paraId="2A02F2AE">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 xml:space="preserve">3.促进文化产业繁荣发展。落实文化产业发展扶持政策，加大文化产业项目引推力度，培育扶持文化企业成长，加强文化产业的监测分析。加强文化人才培养。培育壮大以百叶龙、紫笋茶、紫砂为代表的特色文化产业。发展数字文化新业态，重点扶持影视制作、动漫游戏、创意设计等产业，推动文旅项目数字化转型。加快文化遗产与旅游的融合发展，鼓励文化遗产项目市场化运作。推进农旅、文旅、体旅深度融合，培育创建富有文化底蕴的国家全域旅游示范区、文化特色鲜明的文旅产业融合试验区，打造环太湖赛事之城和长三角一流运动休闲基地。 </w:t>
      </w:r>
    </w:p>
    <w:p w14:paraId="1D967652">
      <w:pPr>
        <w:pStyle w:val="3"/>
        <w:adjustRightInd w:val="0"/>
        <w:snapToGrid w:val="0"/>
        <w:spacing w:before="0" w:after="0" w:line="324" w:lineRule="auto"/>
        <w:ind w:firstLine="630" w:firstLineChars="200"/>
        <w:rPr>
          <w:rFonts w:ascii="楷体_GB2312" w:eastAsia="楷体_GB2312"/>
          <w:snapToGrid w:val="0"/>
        </w:rPr>
      </w:pPr>
      <w:bookmarkStart w:id="69" w:name="_Toc65844531"/>
      <w:bookmarkStart w:id="70" w:name="_Toc67664593"/>
      <w:r>
        <w:rPr>
          <w:rFonts w:hint="eastAsia" w:ascii="楷体_GB2312" w:eastAsia="楷体_GB2312"/>
          <w:snapToGrid w:val="0"/>
        </w:rPr>
        <w:t>（五）健全多层次社会保障体系</w:t>
      </w:r>
      <w:bookmarkEnd w:id="69"/>
      <w:r>
        <w:rPr>
          <w:rFonts w:hint="eastAsia" w:ascii="楷体_GB2312" w:eastAsia="楷体_GB2312"/>
          <w:snapToGrid w:val="0"/>
        </w:rPr>
        <w:t>。</w:t>
      </w:r>
      <w:bookmarkEnd w:id="70"/>
    </w:p>
    <w:p w14:paraId="1842C53A">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健全覆盖全民、统筹城乡、公平统一、可持续的多层次社会保障体系。</w:t>
      </w:r>
    </w:p>
    <w:p w14:paraId="515EE17A">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健全社会保险体系。健全社会保险制度，加快实现法定人员社保全覆盖。落实渐进式延迟法定退休年龄政策，加快健全多层次、多支柱养老保险体系。完善大病保险和医疗救助制度，稳步建立长期护理保险制度，发展商业补充保险。加强医保基金监管，深化医保支付方式改革，提高基金可持续保障能力。健全灵活就业人员社保制度。健全“普惠+特惠”残疾人基本保障制度，构建高质量福利保障体系和精准化公共服务体系。</w:t>
      </w:r>
    </w:p>
    <w:p w14:paraId="1C22A8C1">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完善社会救助制度。健全完善以基本生活救助为主体、专项救助为支撑、急难救助为辅助、慈善救助为补充的分层分类的新时代救助体系。健全主动发现、精准识贫和长效帮扶机制。加强支出型贫困救助，完善最低生活保障制度。加大基本民生保障和兜底力度，健全完善老、幼、残、困四类民政兜底对象救助保障政策。大力发展社会福利和慈善事业，鼓励和支持社会组织承接社会救助事务，加强社会福利和慈善事业与社会救助政策有机衔接，推动“互联网+慈善”发展。推动红十字会事业发展，支持红十字会参与社会救助。</w:t>
      </w:r>
    </w:p>
    <w:p w14:paraId="639016C2">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完善城镇住房保障体系。促进房地产市场平稳健康发展，稳步扩大住房公积金覆盖面和受益面。探索政策性租赁住房供应体系和运行机制，鼓励房地产开发企业和其他机构参与政策性租赁住房的建设和管理。推进城镇棚户区改造，持续深化危旧房治理，提升老旧小区环境品质、设施功能和配套服务。基本形成以公租房为主体、政策性租赁住房为重点、棚户区改造等为补充的城镇住房保障体系。完善新建商品住房、二手住房和租赁住房市场体系。</w:t>
      </w:r>
    </w:p>
    <w:p w14:paraId="52C48A1F">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4.健全退役军人工作体系和保障服务制度。完善多层次退役军人保障体系，推进退役军人服务中心（站）规范化、标准化运行。建立退役军人职业规划帮扶机制，探索实行特殊人才“直通车”式安置办法。加强对困难退役军人的关心关爱，大力褒扬英烈，制度化开展重要节日、纪念日纪念活动。</w:t>
      </w:r>
    </w:p>
    <w:p w14:paraId="639FB83F">
      <w:pPr>
        <w:pStyle w:val="3"/>
        <w:adjustRightInd w:val="0"/>
        <w:snapToGrid w:val="0"/>
        <w:spacing w:before="0" w:after="0" w:line="324" w:lineRule="auto"/>
        <w:ind w:firstLine="630" w:firstLineChars="200"/>
        <w:rPr>
          <w:rFonts w:ascii="楷体_GB2312" w:eastAsia="楷体_GB2312"/>
          <w:snapToGrid w:val="0"/>
        </w:rPr>
      </w:pPr>
      <w:bookmarkStart w:id="71" w:name="_Toc65844532"/>
      <w:bookmarkStart w:id="72" w:name="_Toc67664594"/>
      <w:r>
        <w:rPr>
          <w:rFonts w:hint="eastAsia" w:ascii="楷体_GB2312" w:eastAsia="楷体_GB2312"/>
          <w:snapToGrid w:val="0"/>
        </w:rPr>
        <w:t>（六）持续推进人口结构优化和素质提升</w:t>
      </w:r>
      <w:bookmarkEnd w:id="71"/>
      <w:r>
        <w:rPr>
          <w:rFonts w:hint="eastAsia" w:ascii="楷体_GB2312" w:eastAsia="楷体_GB2312"/>
          <w:snapToGrid w:val="0"/>
        </w:rPr>
        <w:t>。</w:t>
      </w:r>
      <w:bookmarkEnd w:id="72"/>
    </w:p>
    <w:p w14:paraId="02DA1169">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实施积极应对人口老龄化战略，加强前瞻性思考、全局性谋划、战略性布局、整体性推进，调动政府、市场、社会、家庭应对人口老龄化的积极性，最大程度防范化解人口老龄化风险，优化人口结构，构筑新的人口红利。</w:t>
      </w:r>
    </w:p>
    <w:p w14:paraId="222C1FE4">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优化人口生育和婴幼儿发展政策。制定人口长期发展战略，引导人口合理分布，优化人口结构，提高人口素质。围绕实现适度生育水平的可持续发展目标，完善相关服务政策，不断降低生育、养育、教育等成本。完善育儿休假制度，增加婴幼儿照护服务供给，率先构建生育友好型社会。增强生育政策包容性，提高优生优育服务水平，完善普惠托育服务体系、生育保险制度，建立以基本医保为主体、生育补贴等多种形式为补充的多层次家庭生育保障体系。</w:t>
      </w:r>
    </w:p>
    <w:p w14:paraId="5F56DA43">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促进青年健康全面发展。贯彻落实习近平总书记关于青年工作的重要思想，扎实推进中央和省市中长期青年发展规划实施。加强青年素质教育和思想引领，深入实施青年马克思主义者培养工程，推动习近平新时代中国特色社会主义思想在青年群体中入耳入脑入心，提升青年的思想道德水平、政治素养和文明素质。充分发挥“长青汇”青年交流平台作用，完善青年就业创业服务体系，持续优化青年健康发展环境，大力吸引、集聚、培养一批高素质青年人才，打造青年创新创业首选地和品质生活向往地。完善青年组织体系，推动青年全面参与政治、经济和社会各领域事务。实施青少年体育活动促进计划，实施“健康青年”养成工程，持续提升青年身心健康水平。落实完善青少年发展相关法律法规和政策，保障青少年各项合法权益。</w:t>
      </w:r>
    </w:p>
    <w:p w14:paraId="01AB736A">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完善康养服务体系。落实积极应对人口老龄化国家战略，推进养老事业、养老产业协同发展。健全以居家为基础、社区为依托、机构充分发展、医养康养有机结合的多层次养老服务体系。建立集预防保健、疾病诊治、长期照护、安宁疗护为一体的老年健康关爱服务系统。建设一批失能失智老人养老机构照护专区，提高公办养老机构“失智症”照护专区床位数。加强居家养老服务中心、日间照料中心、嵌入式养老机构等场所配置，完善综合养老服务中心和示范型乡镇（街道）居家养老服务中心建设。推广运用智慧养老综合服务平台，推进养老服务线上线下融合发展。完善家庭赡养老人支持体系，增加老年休闲娱乐设施和场景，建设老年友好型社会。</w:t>
      </w:r>
    </w:p>
    <w:p w14:paraId="2CB88BBC">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73" w:name="_Toc65844533"/>
      <w:bookmarkStart w:id="74" w:name="_Toc67664595"/>
      <w:r>
        <w:rPr>
          <w:rFonts w:hint="eastAsia" w:ascii="黑体" w:hAnsi="黑体" w:eastAsia="黑体"/>
          <w:b w:val="0"/>
          <w:snapToGrid w:val="0"/>
          <w:sz w:val="32"/>
          <w:szCs w:val="32"/>
        </w:rPr>
        <w:t>七、统筹发展和安全，高水平推进平安创建和整体智治，打造社会治理现代化先行地</w:t>
      </w:r>
      <w:bookmarkEnd w:id="73"/>
      <w:bookmarkEnd w:id="74"/>
    </w:p>
    <w:p w14:paraId="0FEBC19C">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十九届五中全会强调，要坚持总体国家安全观，坚持系统观念，把安全发展贯穿国家发展各领域和全过程，筑牢国家安全屏障。我县社会和谐安定，社会治理体系不断优化升级，治理能力不断提升，“十四五”时期要继续牢固树立“大平安”理念，综合应用系统治理、综合治理、依法治理和智慧治理，推进县域治理体系和治理能力现代化，防范和化解影响现代化进程的各种风险，健全党组织领导的自治、法治、德治、智治相结合的城乡基层治理体系，建设人人有责、人人尽责、人人享有的社会治理共同体。</w:t>
      </w:r>
    </w:p>
    <w:p w14:paraId="1811E2AF">
      <w:pPr>
        <w:pStyle w:val="3"/>
        <w:adjustRightInd w:val="0"/>
        <w:snapToGrid w:val="0"/>
        <w:spacing w:before="0" w:after="0" w:line="324" w:lineRule="auto"/>
        <w:ind w:firstLine="630" w:firstLineChars="200"/>
        <w:rPr>
          <w:rFonts w:ascii="楷体_GB2312" w:eastAsia="楷体_GB2312"/>
          <w:snapToGrid w:val="0"/>
        </w:rPr>
      </w:pPr>
      <w:bookmarkStart w:id="75" w:name="_Toc65844534"/>
      <w:bookmarkStart w:id="76" w:name="_Toc67664596"/>
      <w:r>
        <w:rPr>
          <w:rFonts w:hint="eastAsia" w:ascii="楷体_GB2312" w:eastAsia="楷体_GB2312"/>
          <w:snapToGrid w:val="0"/>
        </w:rPr>
        <w:t>（一）加强民主政治建设</w:t>
      </w:r>
      <w:bookmarkEnd w:id="75"/>
      <w:r>
        <w:rPr>
          <w:rFonts w:hint="eastAsia" w:ascii="楷体_GB2312" w:eastAsia="楷体_GB2312"/>
          <w:snapToGrid w:val="0"/>
        </w:rPr>
        <w:t>。</w:t>
      </w:r>
      <w:bookmarkEnd w:id="76"/>
    </w:p>
    <w:p w14:paraId="4E1D69E9">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完善党领导经济社会发展体制机制，旗帜鲜明地将党领导一切的原则贯穿到经济社会建设全过程，增强“四个意识”、坚定“四个自信”、坚决做到“两个维护”，完善创造性抓贯彻落实的制度机制，确保党中央、国务院和省市县党委政府决策部署高效落地。</w:t>
      </w:r>
    </w:p>
    <w:p w14:paraId="06610C33">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完善基层民主协商制度。健全党对重大工作的领导体制，认真贯彻民主集中制。健全人民当家作主制度，坚持和完善人民代表大会制度以及多党合作和政治协商制度，主动接受人大依法监督和政协民主监督。充分发挥民主党派、工商联和无党派人士作用，广泛凝聚发展共识。健全同党外知识分子、非公有制经济人士、新社会阶层人士的沟通联络机制，健全民族宗教工作体制机制，创新完善新时代侨务工作机制。</w:t>
      </w:r>
    </w:p>
    <w:p w14:paraId="6B12F0B1">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更严要求建设清廉长兴。全面落实落细管党治党政治责任，营造干部清正、政府清廉、政治清明、社会清朗的良好发展氛围。锲而不舍落实中央八项规定精神，持续纠治形式主义、官僚主义，深入推进基层减负。加强权力运行的有效监督，健全党统一领导、全面覆盖、权威高效的监督体系，充分发挥巡察利剑作用，持续深化纪检监察体制改革，强化对公权力运行的科学制约和有效监督。健全人大监督、民主监督、行政监督、司法监督、群众监督、舆论监督制度，构建一体化监督工作机制。始终坚持“严”的主基调，坚决查处重点领域和群众身边腐败问题，重点查处不收敛不收手的违纪违法问题，建立健全问题归集治理机制，营造风清气正的良好政治生态。推进机关、乡村（街居）、学校、医院、企业等清廉单元建设，大力建设清廉文化，加强党员干部针对性教育和清廉文化挖掘宣扬，引导党员发挥先锋模范作用。</w:t>
      </w:r>
    </w:p>
    <w:p w14:paraId="53A4F227">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巩固军政军民团结。强化党管武装工作，扎实推进国防动员和后备力量建设，加强现代人民防空建设，构建大国防教育体系，提高全社会国防意识。统筹经济发展和国防建设，聚焦基础设施、产业发展、科技创新、力量建设、驻军保障社会化等重点领域，落实“军事优先、军为首要”原则，主动为强军兴军服务，深化省级军民融合创新示范区建设，推动形成全要素、多领域、高效益的军民融合深度发展格局。深入开展双拥共建，争创全省双拥模范县“九连冠”、全国双拥模范县“三连冠”。</w:t>
      </w:r>
    </w:p>
    <w:p w14:paraId="4A6C1FF6">
      <w:pPr>
        <w:pStyle w:val="3"/>
        <w:adjustRightInd w:val="0"/>
        <w:snapToGrid w:val="0"/>
        <w:spacing w:before="0" w:after="0" w:line="324" w:lineRule="auto"/>
        <w:ind w:firstLine="630" w:firstLineChars="200"/>
        <w:rPr>
          <w:rFonts w:ascii="楷体_GB2312" w:eastAsia="楷体_GB2312"/>
          <w:snapToGrid w:val="0"/>
        </w:rPr>
      </w:pPr>
      <w:bookmarkStart w:id="77" w:name="_Toc65844535"/>
      <w:bookmarkStart w:id="78" w:name="_Toc67664597"/>
      <w:r>
        <w:rPr>
          <w:rFonts w:hint="eastAsia" w:ascii="楷体_GB2312" w:eastAsia="楷体_GB2312"/>
          <w:snapToGrid w:val="0"/>
        </w:rPr>
        <w:t>（二）全面推进法治长兴建设</w:t>
      </w:r>
      <w:bookmarkEnd w:id="77"/>
      <w:r>
        <w:rPr>
          <w:rFonts w:hint="eastAsia" w:ascii="楷体_GB2312" w:eastAsia="楷体_GB2312"/>
          <w:snapToGrid w:val="0"/>
        </w:rPr>
        <w:t>。</w:t>
      </w:r>
      <w:bookmarkEnd w:id="78"/>
    </w:p>
    <w:p w14:paraId="2449AC29">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充分发挥法治固根本、稳预期、利长远的保障作用，深化行政执法体制改革，加强执法司法制约监督，增强全民法治观念，提高社会法治水平。</w:t>
      </w:r>
    </w:p>
    <w:p w14:paraId="1F1BB801">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深入推进依法行政。落实重大行政决策法定程序，健全“开门决策”机制。推进“大综合一体化”行政执法改革，全面推进基层“一支队伍”管执法和跨部门跨领域综合执法，推动执法职责、执法力量进一步集中和下沉，构建全闭环的行政执法体系。深化惠企“一件事”集成改革，构建以诚信为基础的新型监管机制。加强行政执法监督，深化行政复议体制改革，力争行政争议总量逐年稳步下降。完善法治人才队伍选拔、任用、培养、交流和激励机制。</w:t>
      </w:r>
    </w:p>
    <w:p w14:paraId="7C966D1B">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提高司法公信力。全面深化司法体制综合配套改革，加快构建侦查、检察、审判、执行相互配合、相互制约、高效协同体系，严格落实司法责任制，提高司法质量、效率。全面推广“矛盾纠纷联合巡诊团”工作机制，放大“诉源治理”集成改革功能。建设覆盖城乡的公共法律服务体系，构建12348法网产品集成、延伸覆盖、互联互通体系。推进审判体系和审判能力现代化建设，提升专业化审判水平。优化人民法庭布局，加快人民法庭基础建设，持续健全“联村法官”机制。加强检察机关法律监督，形成体系严密、配合有力、联动高效的检察一体化机制。完善律师、法律工作者、公证员、司法鉴定人员和仲裁员管理制度，发挥行业自律作用。</w:t>
      </w:r>
    </w:p>
    <w:p w14:paraId="101B4638">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推进法治社会建设。深入学习宣传习近平法治思想，充分发挥领导干部带头尊法学法守法用法对全社会的示范带动作用。完善落实“谁执法谁普法”责任制，加强乡村、市集等重点区域普法宣传，提高“八五”普法质效。大力推进法治文化阵地建设，加强居民公约、村规民约、行业规章等社会规范建设。大力实施“法治带头人”“法律明白人”“遵纪守法示范户”培养工程，推进乡村微检察工作，建设法治乡村。健全公众参与重大公共决策机制，保障各类社会主体合法权益。建立健全网络综合治理体系，加强依法管网、依法办网、依法上网，全面推进网络空间法治化。</w:t>
      </w:r>
    </w:p>
    <w:p w14:paraId="0040F642">
      <w:pPr>
        <w:pStyle w:val="3"/>
        <w:adjustRightInd w:val="0"/>
        <w:snapToGrid w:val="0"/>
        <w:spacing w:before="0" w:after="0" w:line="324" w:lineRule="auto"/>
        <w:ind w:firstLine="630" w:firstLineChars="200"/>
        <w:rPr>
          <w:rFonts w:ascii="楷体_GB2312" w:eastAsia="楷体_GB2312"/>
          <w:snapToGrid w:val="0"/>
        </w:rPr>
      </w:pPr>
      <w:bookmarkStart w:id="79" w:name="_Toc65844536"/>
      <w:bookmarkStart w:id="80" w:name="_Toc67664598"/>
      <w:r>
        <w:rPr>
          <w:rFonts w:hint="eastAsia" w:ascii="楷体_GB2312" w:eastAsia="楷体_GB2312"/>
          <w:snapToGrid w:val="0"/>
        </w:rPr>
        <w:t>（三）深入推进数字长兴建设</w:t>
      </w:r>
      <w:bookmarkEnd w:id="79"/>
      <w:r>
        <w:rPr>
          <w:rFonts w:hint="eastAsia" w:ascii="楷体_GB2312" w:eastAsia="楷体_GB2312"/>
          <w:snapToGrid w:val="0"/>
        </w:rPr>
        <w:t>。</w:t>
      </w:r>
      <w:bookmarkEnd w:id="80"/>
    </w:p>
    <w:p w14:paraId="5FDD8FB6">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以数字化改革为牵引，统筹推进党政机关整体智治、数字经济和数字法治建设的同时，广泛推进生活性服务数字化，深入推进公共服务数字化转型和政府数字化转型，全面提升数字社会、数字政府建设水平，建设“掌上办事之城”“掌上办公之城”。</w:t>
      </w:r>
    </w:p>
    <w:p w14:paraId="1CBF2B35">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迭代推进数字社会建设，深入实施数字生活新服务行动，大力发展数字商贸、数字学习、数字出行、数字文旅和数字健康，推进商业网点、文化体育场馆、旅游景点等数字化转型升级，有序开放数字技术应用场景，构建优质、精准、普惠的公共服务数字化应用体系，打造数字生活新服务强县。开展未来社区智慧服务应用，构建未来邻里、教育、健康、创业等数字化创新应用场景。全面推广应用“浙农码”，加快实现乡村服务数字社会在线化。</w:t>
      </w:r>
    </w:p>
    <w:p w14:paraId="7E363EB7">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深入推进数字政府建设。统筹数字技术应用和制度创新，构建整体智治体系。推进政府职能重塑、流程再造、业务协同、数据共享，以数字政府撬动数字经济、数字社会建设。按照数字政府“四横四纵”架构体系，加大政务信息系统统筹整合力度，提升云计算、大数据、物联网、人工智能、区块链等前沿技术在政府治理中的融合应用水平。</w:t>
      </w:r>
    </w:p>
    <w:p w14:paraId="030A6F79">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深化“掌上办事之城”“掌上办公之城”建设。用好“浙里办”一体化政务服务平台和“浙政钉”政务协同办公平台，推进政务服务标准化、规范化、数字化。深化政务服务“一网通办”，探索推广智能审批，加快推进“全域通办”“就近可办”，不断提升群众、企业办事便利度、获得感和满意度。以数字化手段助推“一件事”集成改革，加强多跨协同、数据共享，实现个人和企业“一件事”集成改革提质扩面，更多探索推广“刷脸办”“智能秒办”“无感智办”“集成联办”等便民便企场景建设应用，更高水平建设“掌上办事之县”“掌上办公之县”。</w:t>
      </w:r>
    </w:p>
    <w:p w14:paraId="283B38F8">
      <w:pPr>
        <w:pStyle w:val="3"/>
        <w:adjustRightInd w:val="0"/>
        <w:snapToGrid w:val="0"/>
        <w:spacing w:before="0" w:after="0" w:line="324" w:lineRule="auto"/>
        <w:ind w:firstLine="630" w:firstLineChars="200"/>
        <w:rPr>
          <w:rFonts w:ascii="楷体_GB2312" w:eastAsia="楷体_GB2312"/>
          <w:snapToGrid w:val="0"/>
        </w:rPr>
      </w:pPr>
      <w:bookmarkStart w:id="81" w:name="_Toc65844537"/>
      <w:bookmarkStart w:id="82" w:name="_Toc67664599"/>
      <w:r>
        <w:rPr>
          <w:rFonts w:hint="eastAsia" w:ascii="楷体_GB2312" w:eastAsia="楷体_GB2312"/>
          <w:snapToGrid w:val="0"/>
        </w:rPr>
        <w:t>（四）加强和创新社会治理</w:t>
      </w:r>
      <w:bookmarkEnd w:id="81"/>
      <w:r>
        <w:rPr>
          <w:rFonts w:hint="eastAsia" w:ascii="楷体_GB2312" w:eastAsia="楷体_GB2312"/>
          <w:snapToGrid w:val="0"/>
        </w:rPr>
        <w:t>。</w:t>
      </w:r>
      <w:bookmarkEnd w:id="82"/>
    </w:p>
    <w:p w14:paraId="3A756A24">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巩固和完善社会治理体系，横向构建共治同心圆，纵向打造善治指挥链，增强推进社会治理现代化的向心力和制度执行力，建设人人有责、人人尽责、人人共享的社会治理共同体。</w:t>
      </w:r>
    </w:p>
    <w:p w14:paraId="55479109">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推行“县乡一体、条抓块统”高效协同治理模式。树立数字法治理念，突破地方和部门“各自为政”局面，探索高效集成化的综合指挥体系，推动上下贯通、执行有力、运转顺畅。优化完善县乡权责事项目录清单，强化纵向横向和线上线下协同。固化业务流程和协同关系，运用数字化手段，完善部门间协作配合机制。围绕群众和企业全生命周期“一件事”联办，完善多部门多层级办事事项衔接机制。加强完善县级社会矛盾纠纷调处化解中心与“基层治理四平台”联动体系工作，科学规范属地管理，统筹县乡资源，强化县乡协同，创新拓展实用场景式应用，全面解决基层“看得见、管不住”和职能部门“管得着、看不见”的问题。</w:t>
      </w:r>
    </w:p>
    <w:p w14:paraId="54B8985B">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完善村（社区）治理机制。健全基层党组织领导的、充满活力的基层群众自治机制，建立以基层党组织为领导、村民自治组织和村务监督组织为基础、集体经济组织和农合合作组织为纽带、其他经济社会组织为补充的村级组织体系，构建多方参与、共同治理的村（社区）治理体系。依托村民会议、村民代表会议、村民议事会、村民理事会、村民监事会、红色议事厅等形式，广泛开展村民说事、民情恳谈等基层民主协商活动。制度化开好户主大会，发挥好村规民约、社区公约作用，画好基层社会共治同心圆。强化农村基层党组织领导作用，鼓励发展乡贤理事会、参事会、议事会等乡贤组织。推广“红色物业”建设模式，提升小区基层治理水平。</w:t>
      </w:r>
    </w:p>
    <w:p w14:paraId="15F40FCA">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提高社会参与度。支持鼓励社会组织健康发展，更好发挥自治组织、社会组织、平台企业等在社会治理中的作用。畅通和规范市场主体、新社会阶层、社会工作者和志愿者等参与社会治理的途径，健全企业社会责任评估和激励奖惩机制，加强社会工作人才队伍建设。推行志愿服务规范化、常态化，实现志愿服务站和平安建设志愿服务团队乡镇全覆盖。</w:t>
      </w:r>
    </w:p>
    <w:p w14:paraId="179BC1CA">
      <w:pPr>
        <w:pStyle w:val="3"/>
        <w:adjustRightInd w:val="0"/>
        <w:snapToGrid w:val="0"/>
        <w:spacing w:before="0" w:after="0" w:line="324" w:lineRule="auto"/>
        <w:ind w:firstLine="630" w:firstLineChars="200"/>
        <w:rPr>
          <w:rFonts w:ascii="楷体_GB2312" w:eastAsia="楷体_GB2312"/>
          <w:snapToGrid w:val="0"/>
        </w:rPr>
      </w:pPr>
      <w:bookmarkStart w:id="83" w:name="_Toc65844538"/>
      <w:bookmarkStart w:id="84" w:name="_Toc67664600"/>
      <w:r>
        <w:rPr>
          <w:rFonts w:hint="eastAsia" w:ascii="楷体_GB2312" w:eastAsia="楷体_GB2312"/>
          <w:snapToGrid w:val="0"/>
        </w:rPr>
        <w:t>（五）打造平安中国示范县</w:t>
      </w:r>
      <w:bookmarkEnd w:id="83"/>
      <w:r>
        <w:rPr>
          <w:rFonts w:hint="eastAsia" w:ascii="楷体_GB2312" w:eastAsia="楷体_GB2312"/>
          <w:snapToGrid w:val="0"/>
        </w:rPr>
        <w:t>。</w:t>
      </w:r>
      <w:bookmarkEnd w:id="84"/>
    </w:p>
    <w:p w14:paraId="1BE1786E">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全面落实总体国家安全观，强化“大平安”理念，坚持底线思维，完善平安长兴建设工作体系，高水平打造平安中国示范县。</w:t>
      </w:r>
    </w:p>
    <w:p w14:paraId="34BEA6BB">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1.防范化解各领域风险。坚决捍卫政治安全，严密防范和严厉打击敌对势力渗透、破坏、颠覆、分裂活动。深化反邪教专项斗争。加强国家安全宣传教育，增强全民国家安全意识，巩固国家安全人民防线。全面加强经济安全，强化省市县协同、政银企联动，坚决守住不发生区域性经济金融风险的底线。完善集中财力办大事财政政策体系，加强政府债务管理，强化审计监督，健全完善处置机制，推动政府债务规模、成本持续下降。加强产业链供应链安全保障，落实大宗物资战略储备任务。完善重大决策社会风险评估机制，构建源头防控、排查梳理、纠纷化解、应急处置等社会矛盾综合治理机制。筑牢数据安全防线，加强公共数据安全管理，建立健全公共数据全生命周期安全防护体系。</w:t>
      </w:r>
    </w:p>
    <w:p w14:paraId="7A726698">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2.保障人民生命安全。坚持把保护人民生命安全摆在首位，完善应急管理体制，加快构建“大安全、大应急、大减灾”体系。深化安全生产领域改革，完善和落实安全生产责任制，开展自然灾害和企业生产安全普查，建立公共安全隐患排查和预防控制体系，加强应急管理综合执法，健全遏制重特大安全生产事故机制。加强基层消防设施建设和部局，推进消防救援装备现代化和升级换代。切实加强道路交通安全，进一步构建大交通管理格局，组织实施交通安全治理，提升道路交通安全水平。完善危险化学品安全监管责任体系，健全食品药品监管体制机制。完善自然灾害防治体系，提升自然灾害防御工程标准。推广巨灾保险、火灾公众责任险。建设事故灾害精密智控平台，健全应急物资保障体系，建立县级应急救援中心，培育和发展社会救援力量，增强全民安全素养，全面提升防灾、减灾、抗灾、救灾能力。</w:t>
      </w:r>
    </w:p>
    <w:p w14:paraId="3B5D63B6">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3.维护社会稳定和安全。坚持和发展新时代“枫桥经验”，畅通和规范群众诉求表达、利益协调、权益保障通道，完善信访制度，健全领导干部接访下访制度，创建“无信访积案县”。 深入开展矛盾纠纷、安全隐患“两个排查见底”行动，完善人民调解、行政调解、司法调解联动工作机制，推动矛盾纠纷多元调处化解中心高效运行，推进“掌上矛调”建设。健全社会心理服务体系和危机干预机制。坚持专群结合、群防群治，深化“雪亮工程”建设，推广“智安小区”“智安单位”建设，深化“平安校园”“平安企业”等平安细胞建设，创建枫桥派出所，健全社会治安防控体系，提升社会治安立体化智能化防控水平，构建现代化警务模式。巩固扫黑除恶专项斗争工作成效，持续整治黄赌毒，严密防范和严厉打击暴力恐怖、涉黑涉恶、电信诈骗等各类违法犯罪活动，有效清除本地犯罪主体，净化本地社会治安环境。加强和创新网络综合治理。</w:t>
      </w:r>
    </w:p>
    <w:p w14:paraId="5BED125D">
      <w:pPr>
        <w:pStyle w:val="2"/>
        <w:adjustRightInd w:val="0"/>
        <w:snapToGrid w:val="0"/>
        <w:spacing w:before="0" w:after="0" w:line="324" w:lineRule="auto"/>
        <w:ind w:firstLine="630" w:firstLineChars="200"/>
        <w:rPr>
          <w:rFonts w:ascii="黑体" w:hAnsi="黑体" w:eastAsia="黑体"/>
          <w:b w:val="0"/>
          <w:snapToGrid w:val="0"/>
          <w:sz w:val="32"/>
          <w:szCs w:val="32"/>
        </w:rPr>
      </w:pPr>
      <w:bookmarkStart w:id="85" w:name="_Toc65844539"/>
      <w:bookmarkStart w:id="86" w:name="_Toc67664601"/>
      <w:r>
        <w:rPr>
          <w:rFonts w:hint="eastAsia" w:ascii="黑体" w:hAnsi="黑体" w:eastAsia="黑体"/>
          <w:b w:val="0"/>
          <w:snapToGrid w:val="0"/>
          <w:sz w:val="32"/>
          <w:szCs w:val="32"/>
        </w:rPr>
        <w:t>八、凝聚各方力量，为争创长三角社会主义现代化先行县而努力奋斗</w:t>
      </w:r>
      <w:bookmarkEnd w:id="85"/>
      <w:bookmarkEnd w:id="86"/>
    </w:p>
    <w:p w14:paraId="01F74453">
      <w:pPr>
        <w:pStyle w:val="3"/>
        <w:adjustRightInd w:val="0"/>
        <w:snapToGrid w:val="0"/>
        <w:spacing w:before="0" w:after="0" w:line="324" w:lineRule="auto"/>
        <w:ind w:firstLine="630" w:firstLineChars="200"/>
        <w:rPr>
          <w:rFonts w:ascii="楷体_GB2312" w:eastAsia="楷体_GB2312"/>
          <w:snapToGrid w:val="0"/>
        </w:rPr>
      </w:pPr>
      <w:bookmarkStart w:id="87" w:name="_Toc65844540"/>
      <w:bookmarkStart w:id="88" w:name="_Toc67664602"/>
      <w:r>
        <w:rPr>
          <w:rFonts w:hint="eastAsia" w:ascii="楷体_GB2312" w:eastAsia="楷体_GB2312"/>
          <w:snapToGrid w:val="0"/>
        </w:rPr>
        <w:t>（一）始终坚持党的全面领导</w:t>
      </w:r>
      <w:bookmarkEnd w:id="87"/>
      <w:r>
        <w:rPr>
          <w:rFonts w:hint="eastAsia" w:ascii="楷体_GB2312" w:eastAsia="楷体_GB2312"/>
          <w:snapToGrid w:val="0"/>
        </w:rPr>
        <w:t>。</w:t>
      </w:r>
      <w:bookmarkEnd w:id="88"/>
    </w:p>
    <w:p w14:paraId="33A55AC6">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以党的政治建设为统领，增强“四个意识”、坚定“四个自信”、做到“两个维护”，确保习近平总书记重要指示精神和党中央决策部署高效落地。全面建立党委领导、政府主导、部门协调、各负其责的推进机制，完善党委研究经济社会发展战略、定期分析经济社会形势、研究重大政策举措的工作机制，确保各项事业始终沿着正确方向前进。牢固树立实干担当的鲜明导向，深入实施“一把手战略储备工程”“年轻干部培养选拔工程”“干部专业化能力提升工程”，推进“导师帮带制”，加强干部教育培养特别是年轻干部培养，提高各级领导班子和干部抓改革、促发展、保稳定的水平和专业化能力。强化顶层设计和统筹布局，将党的制度优势转化为治理效能。充分发挥人大、政协的监督作用，调动工会、共青团、妇联等群团和社会组织多方社会力量，发挥民主党派、工商联和无党派人士作用，共同推动“十四五”规划实施。</w:t>
      </w:r>
    </w:p>
    <w:p w14:paraId="571AD79F">
      <w:pPr>
        <w:pStyle w:val="3"/>
        <w:adjustRightInd w:val="0"/>
        <w:snapToGrid w:val="0"/>
        <w:spacing w:before="0" w:after="0" w:line="324" w:lineRule="auto"/>
        <w:ind w:firstLine="630" w:firstLineChars="200"/>
        <w:rPr>
          <w:rFonts w:ascii="楷体_GB2312" w:eastAsia="楷体_GB2312"/>
          <w:snapToGrid w:val="0"/>
        </w:rPr>
      </w:pPr>
      <w:bookmarkStart w:id="89" w:name="_Toc65844541"/>
      <w:bookmarkStart w:id="90" w:name="_Toc67664603"/>
      <w:r>
        <w:rPr>
          <w:rFonts w:hint="eastAsia" w:ascii="楷体_GB2312" w:eastAsia="楷体_GB2312"/>
          <w:snapToGrid w:val="0"/>
        </w:rPr>
        <w:t>（二）推动“四个重大”落地见效</w:t>
      </w:r>
      <w:bookmarkEnd w:id="89"/>
      <w:r>
        <w:rPr>
          <w:rFonts w:hint="eastAsia" w:ascii="楷体_GB2312" w:eastAsia="楷体_GB2312"/>
          <w:snapToGrid w:val="0"/>
        </w:rPr>
        <w:t>。</w:t>
      </w:r>
      <w:bookmarkEnd w:id="90"/>
    </w:p>
    <w:p w14:paraId="61D959E5">
      <w:pPr>
        <w:overflowPunct w:val="0"/>
        <w:adjustRightInd w:val="0"/>
        <w:spacing w:line="324" w:lineRule="auto"/>
        <w:ind w:firstLine="630" w:firstLineChars="200"/>
        <w:rPr>
          <w:rFonts w:ascii="楷体_GB2312" w:eastAsia="楷体_GB2312"/>
          <w:b/>
          <w:snapToGrid w:val="0"/>
        </w:rPr>
      </w:pPr>
      <w:r>
        <w:rPr>
          <w:rFonts w:hint="eastAsia" w:ascii="仿宋_GB2312"/>
          <w:snapToGrid w:val="0"/>
          <w:szCs w:val="32"/>
        </w:rPr>
        <w:t>建立健全“项目跟着规划走、要素跟着项目走”机制，有效保障本规划提出的重大改革、重大政策、重大平台、重大项目推进落实。加强财政预算与规划实施的衔接协调，加大资金整合力度，优化资金配置。强化财政监督管理，最大限度发挥财政资金的使用效益。优化金融要素资源配置结构，引导和鼓励金融机构加强对规划明确的重大产业、薄弱领域的支持。制定与规划相匹配的用地、用水、碳排放、排污权、能源消耗指标等保障方案，保障规划确定的重大项目、重大平台建设所需各类资源要素指</w:t>
      </w:r>
      <w:r>
        <w:rPr>
          <w:rFonts w:hint="eastAsia" w:ascii="楷体_GB2312" w:eastAsia="楷体_GB2312"/>
          <w:b/>
          <w:snapToGrid w:val="0"/>
        </w:rPr>
        <w:t>标。</w:t>
      </w:r>
    </w:p>
    <w:p w14:paraId="616079C5">
      <w:pPr>
        <w:pStyle w:val="3"/>
        <w:adjustRightInd w:val="0"/>
        <w:snapToGrid w:val="0"/>
        <w:spacing w:before="0" w:after="0" w:line="324" w:lineRule="auto"/>
        <w:ind w:firstLine="630" w:firstLineChars="200"/>
        <w:rPr>
          <w:rFonts w:ascii="楷体_GB2312" w:eastAsia="楷体_GB2312"/>
          <w:snapToGrid w:val="0"/>
        </w:rPr>
      </w:pPr>
      <w:bookmarkStart w:id="91" w:name="_Toc65844542"/>
      <w:bookmarkStart w:id="92" w:name="_Toc67664604"/>
      <w:r>
        <w:rPr>
          <w:rFonts w:hint="eastAsia" w:ascii="楷体_GB2312" w:eastAsia="楷体_GB2312"/>
          <w:snapToGrid w:val="0"/>
        </w:rPr>
        <w:t>（三）健全规划制定和实施机制</w:t>
      </w:r>
      <w:bookmarkEnd w:id="91"/>
      <w:r>
        <w:rPr>
          <w:rFonts w:hint="eastAsia" w:ascii="楷体_GB2312" w:eastAsia="楷体_GB2312"/>
          <w:snapToGrid w:val="0"/>
        </w:rPr>
        <w:t>。</w:t>
      </w:r>
      <w:bookmarkEnd w:id="92"/>
    </w:p>
    <w:p w14:paraId="5CB4C580">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加强规划实施年度监测和前中后期评估衔接，分析检查规划实施效果，找出规划实施中存在的问题，提出解决问题的对策措施。规划实施期间由于特殊原因确需调整时，按有关程序报批。完善规划实施绩效评价机制，强化对结构优化、转型发展、民生改善、资源节约、环境保护等目标任务完成情况的综合评价考核，尤其加强对约束性指标进行监测，考核结果作为各级政府领导班子调整和领导干部选拔任用、奖励惩戒的重要依据。定期通报规划执行情况，充分听取县人大、政协的意见和建议。</w:t>
      </w:r>
    </w:p>
    <w:p w14:paraId="4279EE0D">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蓝图已绘就，奋进正当时。全县上下要紧密团结在以习近平同志为核心的党中央周围，大力发扬长兴精神，顺势而为、乘胜前进，实字当头、一干到底，奋力夺取长三角社会主义现代化先行县建设新胜利。</w:t>
      </w:r>
    </w:p>
    <w:p w14:paraId="57D789F6">
      <w:pPr>
        <w:overflowPunct w:val="0"/>
        <w:adjustRightInd w:val="0"/>
        <w:spacing w:line="324" w:lineRule="auto"/>
        <w:ind w:firstLine="630" w:firstLineChars="200"/>
        <w:rPr>
          <w:rFonts w:ascii="仿宋_GB2312"/>
          <w:snapToGrid w:val="0"/>
          <w:szCs w:val="32"/>
        </w:rPr>
      </w:pPr>
    </w:p>
    <w:p w14:paraId="193A1A08">
      <w:pPr>
        <w:overflowPunct w:val="0"/>
        <w:adjustRightInd w:val="0"/>
        <w:spacing w:line="324" w:lineRule="auto"/>
        <w:ind w:firstLine="630" w:firstLineChars="200"/>
        <w:rPr>
          <w:rFonts w:ascii="仿宋_GB2312"/>
          <w:snapToGrid w:val="0"/>
          <w:szCs w:val="32"/>
        </w:rPr>
      </w:pPr>
      <w:r>
        <w:rPr>
          <w:rFonts w:hint="eastAsia" w:ascii="仿宋_GB2312"/>
          <w:snapToGrid w:val="0"/>
          <w:szCs w:val="32"/>
        </w:rPr>
        <w:t>附件：长兴县“十四五”规划“四个重大”事项清单</w:t>
      </w:r>
    </w:p>
    <w:p w14:paraId="5299D0B1">
      <w:pPr>
        <w:overflowPunct w:val="0"/>
        <w:adjustRightInd w:val="0"/>
        <w:spacing w:line="324" w:lineRule="auto"/>
        <w:ind w:firstLine="630" w:firstLineChars="200"/>
        <w:rPr>
          <w:rFonts w:ascii="仿宋_GB2312"/>
          <w:snapToGrid w:val="0"/>
        </w:rPr>
      </w:pPr>
    </w:p>
    <w:p w14:paraId="1196E102">
      <w:pPr>
        <w:overflowPunct w:val="0"/>
        <w:adjustRightInd w:val="0"/>
        <w:spacing w:line="324" w:lineRule="auto"/>
        <w:ind w:firstLine="630" w:firstLineChars="200"/>
        <w:rPr>
          <w:rFonts w:ascii="仿宋_GB2312"/>
          <w:snapToGrid w:val="0"/>
        </w:rPr>
      </w:pPr>
    </w:p>
    <w:p w14:paraId="6530CB01">
      <w:pPr>
        <w:overflowPunct w:val="0"/>
        <w:adjustRightInd w:val="0"/>
        <w:spacing w:line="324" w:lineRule="auto"/>
        <w:ind w:firstLine="630" w:firstLineChars="200"/>
        <w:rPr>
          <w:rFonts w:ascii="仿宋_GB2312"/>
          <w:snapToGrid w:val="0"/>
        </w:rPr>
      </w:pPr>
    </w:p>
    <w:p w14:paraId="5AFFEFBD">
      <w:pPr>
        <w:overflowPunct w:val="0"/>
        <w:adjustRightInd w:val="0"/>
        <w:spacing w:line="324" w:lineRule="auto"/>
        <w:ind w:firstLine="630" w:firstLineChars="200"/>
        <w:rPr>
          <w:rFonts w:ascii="仿宋_GB2312"/>
          <w:snapToGrid w:val="0"/>
        </w:rPr>
      </w:pPr>
    </w:p>
    <w:p w14:paraId="6CD3A7BA">
      <w:pPr>
        <w:overflowPunct w:val="0"/>
        <w:adjustRightInd w:val="0"/>
        <w:spacing w:line="324" w:lineRule="auto"/>
        <w:ind w:firstLine="630" w:firstLineChars="200"/>
        <w:rPr>
          <w:rFonts w:ascii="仿宋_GB2312"/>
          <w:snapToGrid w:val="0"/>
        </w:rPr>
      </w:pPr>
    </w:p>
    <w:p w14:paraId="34058428">
      <w:pPr>
        <w:overflowPunct w:val="0"/>
        <w:adjustRightInd w:val="0"/>
        <w:spacing w:line="324" w:lineRule="auto"/>
        <w:ind w:firstLine="630" w:firstLineChars="200"/>
        <w:rPr>
          <w:rFonts w:ascii="仿宋_GB2312"/>
          <w:snapToGrid w:val="0"/>
        </w:rPr>
      </w:pPr>
    </w:p>
    <w:p w14:paraId="36596BCE">
      <w:pPr>
        <w:overflowPunct w:val="0"/>
        <w:adjustRightInd w:val="0"/>
        <w:spacing w:line="324" w:lineRule="auto"/>
        <w:ind w:firstLine="630" w:firstLineChars="200"/>
        <w:rPr>
          <w:rFonts w:ascii="仿宋_GB2312"/>
          <w:snapToGrid w:val="0"/>
        </w:rPr>
      </w:pPr>
    </w:p>
    <w:p w14:paraId="00A985DA">
      <w:pPr>
        <w:overflowPunct w:val="0"/>
        <w:adjustRightInd w:val="0"/>
        <w:spacing w:line="324" w:lineRule="auto"/>
        <w:ind w:firstLine="630" w:firstLineChars="200"/>
        <w:rPr>
          <w:rFonts w:ascii="仿宋_GB2312"/>
          <w:snapToGrid w:val="0"/>
        </w:rPr>
      </w:pPr>
    </w:p>
    <w:p w14:paraId="3E0AABCE">
      <w:pPr>
        <w:overflowPunct w:val="0"/>
        <w:adjustRightInd w:val="0"/>
        <w:spacing w:line="324" w:lineRule="auto"/>
        <w:ind w:firstLine="630" w:firstLineChars="200"/>
        <w:rPr>
          <w:rFonts w:ascii="仿宋_GB2312"/>
          <w:snapToGrid w:val="0"/>
        </w:rPr>
      </w:pPr>
    </w:p>
    <w:p w14:paraId="63CF05C8">
      <w:pPr>
        <w:overflowPunct w:val="0"/>
        <w:adjustRightInd w:val="0"/>
        <w:spacing w:line="324" w:lineRule="auto"/>
        <w:ind w:firstLine="630" w:firstLineChars="200"/>
        <w:rPr>
          <w:rFonts w:ascii="仿宋_GB2312"/>
          <w:snapToGrid w:val="0"/>
        </w:rPr>
      </w:pPr>
    </w:p>
    <w:p w14:paraId="200A357C">
      <w:pPr>
        <w:overflowPunct w:val="0"/>
        <w:adjustRightInd w:val="0"/>
        <w:spacing w:line="324" w:lineRule="auto"/>
        <w:ind w:firstLine="630" w:firstLineChars="200"/>
        <w:rPr>
          <w:rFonts w:ascii="仿宋_GB2312"/>
          <w:snapToGrid w:val="0"/>
        </w:rPr>
      </w:pPr>
    </w:p>
    <w:p w14:paraId="57A69CD0">
      <w:pPr>
        <w:overflowPunct w:val="0"/>
        <w:adjustRightInd w:val="0"/>
        <w:spacing w:line="324" w:lineRule="auto"/>
        <w:ind w:firstLine="630" w:firstLineChars="200"/>
        <w:rPr>
          <w:rFonts w:ascii="仿宋_GB2312"/>
          <w:snapToGrid w:val="0"/>
        </w:rPr>
      </w:pPr>
    </w:p>
    <w:p w14:paraId="20EE6C71">
      <w:pPr>
        <w:overflowPunct w:val="0"/>
        <w:adjustRightInd w:val="0"/>
        <w:spacing w:line="324" w:lineRule="auto"/>
        <w:ind w:firstLine="870" w:firstLineChars="200"/>
        <w:rPr>
          <w:rFonts w:ascii="方正小标宋简体" w:eastAsia="方正小标宋简体"/>
          <w:bCs/>
          <w:snapToGrid w:val="0"/>
          <w:kern w:val="44"/>
          <w:sz w:val="44"/>
          <w:szCs w:val="44"/>
        </w:rPr>
      </w:pPr>
    </w:p>
    <w:p w14:paraId="12D16B20">
      <w:pPr>
        <w:rPr>
          <w:rFonts w:ascii="方正小标宋简体" w:eastAsia="方正小标宋简体"/>
          <w:bCs/>
          <w:snapToGrid w:val="0"/>
          <w:kern w:val="44"/>
          <w:sz w:val="44"/>
          <w:szCs w:val="44"/>
        </w:rPr>
      </w:pPr>
    </w:p>
    <w:p w14:paraId="18A5380A">
      <w:pPr>
        <w:rPr>
          <w:rFonts w:ascii="黑体" w:hAnsi="黑体" w:eastAsia="黑体"/>
        </w:rPr>
      </w:pPr>
      <w:r>
        <w:rPr>
          <w:rFonts w:hint="eastAsia" w:ascii="黑体" w:hAnsi="黑体" w:eastAsia="黑体"/>
        </w:rPr>
        <w:t>附件</w:t>
      </w:r>
    </w:p>
    <w:p w14:paraId="67997B27">
      <w:pPr>
        <w:adjustRightInd w:val="0"/>
        <w:spacing w:line="288" w:lineRule="auto"/>
        <w:jc w:val="center"/>
        <w:rPr>
          <w:rFonts w:ascii="方正小标宋简体" w:eastAsia="方正小标宋简体"/>
          <w:sz w:val="44"/>
          <w:szCs w:val="44"/>
        </w:rPr>
      </w:pPr>
      <w:r>
        <w:rPr>
          <w:rFonts w:hint="eastAsia" w:ascii="方正小标宋简体" w:eastAsia="方正小标宋简体"/>
          <w:sz w:val="44"/>
          <w:szCs w:val="44"/>
        </w:rPr>
        <w:t>长兴县“十四五”规划“四个重大”事项清单</w:t>
      </w:r>
    </w:p>
    <w:p w14:paraId="4C9072C0">
      <w:pPr>
        <w:adjustRightInd w:val="0"/>
        <w:spacing w:line="240" w:lineRule="auto"/>
        <w:rPr>
          <w:rFonts w:ascii="仿宋_GB2312" w:hAnsi="黑体"/>
          <w:sz w:val="21"/>
          <w:szCs w:val="21"/>
        </w:rPr>
      </w:pPr>
    </w:p>
    <w:p w14:paraId="350F67E2">
      <w:pPr>
        <w:rPr>
          <w:rFonts w:ascii="黑体" w:hAnsi="黑体" w:eastAsia="黑体"/>
        </w:rPr>
      </w:pPr>
      <w:r>
        <w:rPr>
          <w:rFonts w:ascii="黑体" w:hAnsi="黑体" w:eastAsia="黑体"/>
        </w:rPr>
        <w:t>一、重大改革清单</w:t>
      </w:r>
    </w:p>
    <w:tbl>
      <w:tblPr>
        <w:tblStyle w:val="14"/>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147"/>
        <w:gridCol w:w="5811"/>
      </w:tblGrid>
      <w:tr w14:paraId="5346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058" w:type="pct"/>
            <w:vAlign w:val="center"/>
          </w:tcPr>
          <w:p w14:paraId="2B567857">
            <w:pPr>
              <w:adjustRightInd w:val="0"/>
              <w:spacing w:line="240" w:lineRule="auto"/>
              <w:jc w:val="center"/>
              <w:rPr>
                <w:rFonts w:ascii="仿宋_GB2312"/>
                <w:b/>
                <w:snapToGrid w:val="0"/>
                <w:sz w:val="21"/>
                <w:szCs w:val="21"/>
              </w:rPr>
            </w:pPr>
            <w:r>
              <w:rPr>
                <w:rFonts w:hint="eastAsia" w:ascii="仿宋_GB2312"/>
                <w:b/>
                <w:snapToGrid w:val="0"/>
                <w:sz w:val="21"/>
                <w:szCs w:val="21"/>
              </w:rPr>
              <w:t>领域</w:t>
            </w:r>
          </w:p>
        </w:tc>
        <w:tc>
          <w:tcPr>
            <w:tcW w:w="650" w:type="pct"/>
            <w:vAlign w:val="center"/>
          </w:tcPr>
          <w:p w14:paraId="76A2ABCD">
            <w:pPr>
              <w:adjustRightInd w:val="0"/>
              <w:spacing w:line="240" w:lineRule="auto"/>
              <w:jc w:val="center"/>
              <w:rPr>
                <w:rFonts w:ascii="仿宋_GB2312"/>
                <w:b/>
                <w:snapToGrid w:val="0"/>
                <w:sz w:val="21"/>
                <w:szCs w:val="21"/>
              </w:rPr>
            </w:pPr>
            <w:r>
              <w:rPr>
                <w:rFonts w:hint="eastAsia" w:ascii="仿宋_GB2312"/>
                <w:b/>
                <w:snapToGrid w:val="0"/>
                <w:sz w:val="21"/>
                <w:szCs w:val="21"/>
              </w:rPr>
              <w:t>序号</w:t>
            </w:r>
          </w:p>
        </w:tc>
        <w:tc>
          <w:tcPr>
            <w:tcW w:w="3292" w:type="pct"/>
            <w:vAlign w:val="center"/>
          </w:tcPr>
          <w:p w14:paraId="6DB8F5D0">
            <w:pPr>
              <w:adjustRightInd w:val="0"/>
              <w:spacing w:line="240" w:lineRule="auto"/>
              <w:jc w:val="center"/>
              <w:rPr>
                <w:rFonts w:ascii="仿宋_GB2312"/>
                <w:b/>
                <w:snapToGrid w:val="0"/>
                <w:sz w:val="21"/>
                <w:szCs w:val="21"/>
              </w:rPr>
            </w:pPr>
            <w:r>
              <w:rPr>
                <w:rFonts w:hint="eastAsia" w:ascii="仿宋_GB2312"/>
                <w:b/>
                <w:snapToGrid w:val="0"/>
                <w:sz w:val="21"/>
                <w:szCs w:val="21"/>
              </w:rPr>
              <w:t>改革事项</w:t>
            </w:r>
          </w:p>
        </w:tc>
      </w:tr>
      <w:tr w14:paraId="1112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restart"/>
            <w:vAlign w:val="center"/>
          </w:tcPr>
          <w:p w14:paraId="0B215F96">
            <w:pPr>
              <w:adjustRightInd w:val="0"/>
              <w:spacing w:line="240" w:lineRule="auto"/>
              <w:jc w:val="center"/>
              <w:rPr>
                <w:rFonts w:ascii="仿宋_GB2312"/>
                <w:snapToGrid w:val="0"/>
                <w:sz w:val="21"/>
                <w:szCs w:val="21"/>
              </w:rPr>
            </w:pPr>
            <w:r>
              <w:rPr>
                <w:rFonts w:hint="eastAsia" w:ascii="仿宋_GB2312"/>
                <w:snapToGrid w:val="0"/>
                <w:sz w:val="21"/>
                <w:szCs w:val="21"/>
              </w:rPr>
              <w:t>经济发展（11）</w:t>
            </w:r>
          </w:p>
        </w:tc>
        <w:tc>
          <w:tcPr>
            <w:tcW w:w="650" w:type="pct"/>
            <w:vAlign w:val="center"/>
          </w:tcPr>
          <w:p w14:paraId="4D3CDD6C">
            <w:pPr>
              <w:adjustRightInd w:val="0"/>
              <w:spacing w:line="240" w:lineRule="auto"/>
              <w:jc w:val="center"/>
              <w:rPr>
                <w:rFonts w:ascii="仿宋_GB2312"/>
                <w:snapToGrid w:val="0"/>
                <w:sz w:val="21"/>
                <w:szCs w:val="21"/>
              </w:rPr>
            </w:pPr>
            <w:r>
              <w:rPr>
                <w:rFonts w:hint="eastAsia" w:ascii="仿宋_GB2312"/>
                <w:snapToGrid w:val="0"/>
                <w:sz w:val="21"/>
                <w:szCs w:val="21"/>
              </w:rPr>
              <w:t>1</w:t>
            </w:r>
          </w:p>
        </w:tc>
        <w:tc>
          <w:tcPr>
            <w:tcW w:w="3292" w:type="pct"/>
            <w:vAlign w:val="center"/>
          </w:tcPr>
          <w:p w14:paraId="3DB78704">
            <w:pPr>
              <w:adjustRightInd w:val="0"/>
              <w:spacing w:line="240" w:lineRule="auto"/>
              <w:rPr>
                <w:rFonts w:ascii="仿宋_GB2312"/>
                <w:snapToGrid w:val="0"/>
                <w:sz w:val="21"/>
                <w:szCs w:val="21"/>
              </w:rPr>
            </w:pPr>
            <w:r>
              <w:rPr>
                <w:rFonts w:hint="eastAsia" w:ascii="仿宋_GB2312"/>
                <w:snapToGrid w:val="0"/>
                <w:sz w:val="21"/>
                <w:szCs w:val="21"/>
              </w:rPr>
              <w:t>县域经济治理现代化建设改革</w:t>
            </w:r>
          </w:p>
        </w:tc>
      </w:tr>
      <w:tr w14:paraId="4E3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7B1B2E63">
            <w:pPr>
              <w:adjustRightInd w:val="0"/>
              <w:spacing w:line="240" w:lineRule="auto"/>
              <w:jc w:val="center"/>
              <w:rPr>
                <w:rFonts w:ascii="仿宋_GB2312"/>
                <w:snapToGrid w:val="0"/>
                <w:sz w:val="21"/>
                <w:szCs w:val="21"/>
              </w:rPr>
            </w:pPr>
          </w:p>
        </w:tc>
        <w:tc>
          <w:tcPr>
            <w:tcW w:w="650" w:type="pct"/>
            <w:vAlign w:val="center"/>
          </w:tcPr>
          <w:p w14:paraId="20A946B4">
            <w:pPr>
              <w:adjustRightInd w:val="0"/>
              <w:spacing w:line="240" w:lineRule="auto"/>
              <w:jc w:val="center"/>
              <w:rPr>
                <w:rFonts w:ascii="仿宋_GB2312"/>
                <w:snapToGrid w:val="0"/>
                <w:sz w:val="21"/>
                <w:szCs w:val="21"/>
              </w:rPr>
            </w:pPr>
            <w:r>
              <w:rPr>
                <w:rFonts w:hint="eastAsia" w:ascii="仿宋_GB2312"/>
                <w:snapToGrid w:val="0"/>
                <w:sz w:val="21"/>
                <w:szCs w:val="21"/>
              </w:rPr>
              <w:t>2</w:t>
            </w:r>
          </w:p>
        </w:tc>
        <w:tc>
          <w:tcPr>
            <w:tcW w:w="3292" w:type="pct"/>
            <w:vAlign w:val="center"/>
          </w:tcPr>
          <w:p w14:paraId="1EA43FE4">
            <w:pPr>
              <w:adjustRightInd w:val="0"/>
              <w:spacing w:line="240" w:lineRule="auto"/>
              <w:rPr>
                <w:rFonts w:ascii="仿宋_GB2312"/>
                <w:snapToGrid w:val="0"/>
                <w:sz w:val="21"/>
                <w:szCs w:val="21"/>
              </w:rPr>
            </w:pPr>
            <w:r>
              <w:rPr>
                <w:rFonts w:hint="eastAsia" w:ascii="仿宋_GB2312"/>
                <w:snapToGrid w:val="0"/>
                <w:sz w:val="21"/>
                <w:szCs w:val="21"/>
              </w:rPr>
              <w:t>全国县城城镇化补短板强弱项示范县建设</w:t>
            </w:r>
          </w:p>
        </w:tc>
      </w:tr>
      <w:tr w14:paraId="280A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04B39682">
            <w:pPr>
              <w:adjustRightInd w:val="0"/>
              <w:spacing w:line="240" w:lineRule="auto"/>
              <w:jc w:val="center"/>
              <w:rPr>
                <w:rFonts w:ascii="仿宋_GB2312"/>
                <w:snapToGrid w:val="0"/>
                <w:sz w:val="21"/>
                <w:szCs w:val="21"/>
              </w:rPr>
            </w:pPr>
          </w:p>
        </w:tc>
        <w:tc>
          <w:tcPr>
            <w:tcW w:w="650" w:type="pct"/>
            <w:vAlign w:val="center"/>
          </w:tcPr>
          <w:p w14:paraId="07CFAC82">
            <w:pPr>
              <w:adjustRightInd w:val="0"/>
              <w:spacing w:line="240" w:lineRule="auto"/>
              <w:jc w:val="center"/>
              <w:rPr>
                <w:rFonts w:ascii="仿宋_GB2312"/>
                <w:snapToGrid w:val="0"/>
                <w:sz w:val="21"/>
                <w:szCs w:val="21"/>
              </w:rPr>
            </w:pPr>
            <w:r>
              <w:rPr>
                <w:rFonts w:hint="eastAsia" w:ascii="仿宋_GB2312"/>
                <w:snapToGrid w:val="0"/>
                <w:sz w:val="21"/>
                <w:szCs w:val="21"/>
              </w:rPr>
              <w:t>3</w:t>
            </w:r>
          </w:p>
        </w:tc>
        <w:tc>
          <w:tcPr>
            <w:tcW w:w="3292" w:type="pct"/>
            <w:vAlign w:val="center"/>
          </w:tcPr>
          <w:p w14:paraId="26390844">
            <w:pPr>
              <w:adjustRightInd w:val="0"/>
              <w:spacing w:line="240" w:lineRule="auto"/>
              <w:rPr>
                <w:rFonts w:ascii="仿宋_GB2312"/>
                <w:snapToGrid w:val="0"/>
                <w:sz w:val="21"/>
                <w:szCs w:val="21"/>
              </w:rPr>
            </w:pPr>
            <w:r>
              <w:rPr>
                <w:rFonts w:hint="eastAsia" w:ascii="仿宋_GB2312"/>
                <w:snapToGrid w:val="0"/>
                <w:sz w:val="21"/>
                <w:szCs w:val="21"/>
              </w:rPr>
              <w:t>打造“三位一体”深度改革示范区</w:t>
            </w:r>
          </w:p>
        </w:tc>
      </w:tr>
      <w:tr w14:paraId="2CE6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6045DEAA">
            <w:pPr>
              <w:adjustRightInd w:val="0"/>
              <w:spacing w:line="240" w:lineRule="auto"/>
              <w:jc w:val="center"/>
              <w:rPr>
                <w:rFonts w:ascii="仿宋_GB2312"/>
                <w:snapToGrid w:val="0"/>
                <w:sz w:val="21"/>
                <w:szCs w:val="21"/>
              </w:rPr>
            </w:pPr>
          </w:p>
        </w:tc>
        <w:tc>
          <w:tcPr>
            <w:tcW w:w="650" w:type="pct"/>
            <w:vAlign w:val="center"/>
          </w:tcPr>
          <w:p w14:paraId="17EC143B">
            <w:pPr>
              <w:adjustRightInd w:val="0"/>
              <w:spacing w:line="240" w:lineRule="auto"/>
              <w:jc w:val="center"/>
              <w:rPr>
                <w:rFonts w:ascii="仿宋_GB2312"/>
                <w:snapToGrid w:val="0"/>
                <w:sz w:val="21"/>
                <w:szCs w:val="21"/>
              </w:rPr>
            </w:pPr>
            <w:r>
              <w:rPr>
                <w:rFonts w:hint="eastAsia" w:ascii="仿宋_GB2312"/>
                <w:snapToGrid w:val="0"/>
                <w:sz w:val="21"/>
                <w:szCs w:val="21"/>
              </w:rPr>
              <w:t>4</w:t>
            </w:r>
          </w:p>
        </w:tc>
        <w:tc>
          <w:tcPr>
            <w:tcW w:w="3292" w:type="pct"/>
            <w:vAlign w:val="center"/>
          </w:tcPr>
          <w:p w14:paraId="7F1AC7D4">
            <w:pPr>
              <w:adjustRightInd w:val="0"/>
              <w:spacing w:line="240" w:lineRule="auto"/>
              <w:rPr>
                <w:rFonts w:ascii="仿宋_GB2312"/>
                <w:snapToGrid w:val="0"/>
                <w:sz w:val="21"/>
                <w:szCs w:val="21"/>
              </w:rPr>
            </w:pPr>
            <w:r>
              <w:rPr>
                <w:rFonts w:hint="eastAsia" w:ascii="仿宋_GB2312"/>
                <w:snapToGrid w:val="0"/>
                <w:sz w:val="21"/>
                <w:szCs w:val="21"/>
              </w:rPr>
              <w:t>高质量推进国家创新型县建设</w:t>
            </w:r>
          </w:p>
        </w:tc>
      </w:tr>
      <w:tr w14:paraId="69B8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3596BC6A">
            <w:pPr>
              <w:adjustRightInd w:val="0"/>
              <w:spacing w:line="240" w:lineRule="auto"/>
              <w:jc w:val="center"/>
              <w:rPr>
                <w:rFonts w:ascii="仿宋_GB2312"/>
                <w:snapToGrid w:val="0"/>
                <w:sz w:val="21"/>
                <w:szCs w:val="21"/>
              </w:rPr>
            </w:pPr>
          </w:p>
        </w:tc>
        <w:tc>
          <w:tcPr>
            <w:tcW w:w="650" w:type="pct"/>
            <w:vAlign w:val="center"/>
          </w:tcPr>
          <w:p w14:paraId="2FBD697E">
            <w:pPr>
              <w:adjustRightInd w:val="0"/>
              <w:spacing w:line="240" w:lineRule="auto"/>
              <w:jc w:val="center"/>
              <w:rPr>
                <w:rFonts w:ascii="仿宋_GB2312"/>
                <w:snapToGrid w:val="0"/>
                <w:sz w:val="21"/>
                <w:szCs w:val="21"/>
              </w:rPr>
            </w:pPr>
            <w:r>
              <w:rPr>
                <w:rFonts w:hint="eastAsia" w:ascii="仿宋_GB2312"/>
                <w:snapToGrid w:val="0"/>
                <w:sz w:val="21"/>
                <w:szCs w:val="21"/>
              </w:rPr>
              <w:t>5</w:t>
            </w:r>
          </w:p>
        </w:tc>
        <w:tc>
          <w:tcPr>
            <w:tcW w:w="3292" w:type="pct"/>
            <w:vAlign w:val="center"/>
          </w:tcPr>
          <w:p w14:paraId="42846B8A">
            <w:pPr>
              <w:adjustRightInd w:val="0"/>
              <w:spacing w:line="240" w:lineRule="auto"/>
              <w:rPr>
                <w:rFonts w:ascii="仿宋_GB2312"/>
                <w:snapToGrid w:val="0"/>
                <w:sz w:val="21"/>
                <w:szCs w:val="21"/>
              </w:rPr>
            </w:pPr>
            <w:r>
              <w:rPr>
                <w:rFonts w:hint="eastAsia" w:ascii="仿宋_GB2312"/>
                <w:snapToGrid w:val="0"/>
                <w:sz w:val="21"/>
                <w:szCs w:val="21"/>
              </w:rPr>
              <w:t>创新“信用+”治理改革</w:t>
            </w:r>
          </w:p>
        </w:tc>
      </w:tr>
      <w:tr w14:paraId="2BF8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4F048D95">
            <w:pPr>
              <w:adjustRightInd w:val="0"/>
              <w:spacing w:line="240" w:lineRule="auto"/>
              <w:jc w:val="center"/>
              <w:rPr>
                <w:rFonts w:ascii="仿宋_GB2312"/>
                <w:snapToGrid w:val="0"/>
                <w:sz w:val="21"/>
                <w:szCs w:val="21"/>
              </w:rPr>
            </w:pPr>
          </w:p>
        </w:tc>
        <w:tc>
          <w:tcPr>
            <w:tcW w:w="650" w:type="pct"/>
            <w:vAlign w:val="center"/>
          </w:tcPr>
          <w:p w14:paraId="3B88F61A">
            <w:pPr>
              <w:adjustRightInd w:val="0"/>
              <w:spacing w:line="240" w:lineRule="auto"/>
              <w:jc w:val="center"/>
              <w:rPr>
                <w:rFonts w:ascii="仿宋_GB2312"/>
                <w:snapToGrid w:val="0"/>
                <w:sz w:val="21"/>
                <w:szCs w:val="21"/>
              </w:rPr>
            </w:pPr>
            <w:r>
              <w:rPr>
                <w:rFonts w:hint="eastAsia" w:ascii="仿宋_GB2312"/>
                <w:snapToGrid w:val="0"/>
                <w:sz w:val="21"/>
                <w:szCs w:val="21"/>
              </w:rPr>
              <w:t>6</w:t>
            </w:r>
          </w:p>
        </w:tc>
        <w:tc>
          <w:tcPr>
            <w:tcW w:w="3292" w:type="pct"/>
            <w:vAlign w:val="center"/>
          </w:tcPr>
          <w:p w14:paraId="45917C3F">
            <w:pPr>
              <w:adjustRightInd w:val="0"/>
              <w:spacing w:line="240" w:lineRule="auto"/>
              <w:rPr>
                <w:rFonts w:ascii="仿宋_GB2312"/>
                <w:snapToGrid w:val="0"/>
                <w:sz w:val="21"/>
                <w:szCs w:val="21"/>
              </w:rPr>
            </w:pPr>
            <w:r>
              <w:rPr>
                <w:rFonts w:hint="eastAsia" w:ascii="仿宋_GB2312"/>
                <w:snapToGrid w:val="0"/>
                <w:sz w:val="21"/>
                <w:szCs w:val="21"/>
              </w:rPr>
              <w:t>浙江省制造业高质量发展示范县建设</w:t>
            </w:r>
          </w:p>
        </w:tc>
      </w:tr>
      <w:tr w14:paraId="69E1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65E0440D">
            <w:pPr>
              <w:adjustRightInd w:val="0"/>
              <w:spacing w:line="240" w:lineRule="auto"/>
              <w:jc w:val="center"/>
              <w:rPr>
                <w:rFonts w:ascii="仿宋_GB2312"/>
                <w:snapToGrid w:val="0"/>
                <w:sz w:val="21"/>
                <w:szCs w:val="21"/>
              </w:rPr>
            </w:pPr>
          </w:p>
        </w:tc>
        <w:tc>
          <w:tcPr>
            <w:tcW w:w="650" w:type="pct"/>
            <w:vAlign w:val="center"/>
          </w:tcPr>
          <w:p w14:paraId="01CA51CA">
            <w:pPr>
              <w:adjustRightInd w:val="0"/>
              <w:spacing w:line="240" w:lineRule="auto"/>
              <w:jc w:val="center"/>
              <w:rPr>
                <w:rFonts w:ascii="仿宋_GB2312"/>
                <w:snapToGrid w:val="0"/>
                <w:sz w:val="21"/>
                <w:szCs w:val="21"/>
              </w:rPr>
            </w:pPr>
            <w:r>
              <w:rPr>
                <w:rFonts w:hint="eastAsia" w:ascii="仿宋_GB2312"/>
                <w:snapToGrid w:val="0"/>
                <w:sz w:val="21"/>
                <w:szCs w:val="21"/>
              </w:rPr>
              <w:t>7</w:t>
            </w:r>
          </w:p>
        </w:tc>
        <w:tc>
          <w:tcPr>
            <w:tcW w:w="3292" w:type="pct"/>
            <w:vAlign w:val="center"/>
          </w:tcPr>
          <w:p w14:paraId="5E00AAEB">
            <w:pPr>
              <w:adjustRightInd w:val="0"/>
              <w:spacing w:line="240" w:lineRule="auto"/>
              <w:rPr>
                <w:rFonts w:ascii="仿宋_GB2312"/>
                <w:snapToGrid w:val="0"/>
                <w:sz w:val="21"/>
                <w:szCs w:val="21"/>
              </w:rPr>
            </w:pPr>
            <w:r>
              <w:rPr>
                <w:rFonts w:hint="eastAsia" w:ascii="仿宋_GB2312"/>
                <w:snapToGrid w:val="0"/>
                <w:sz w:val="21"/>
                <w:szCs w:val="21"/>
              </w:rPr>
              <w:t>重大制造业落地项目全生命周期管理服务改革</w:t>
            </w:r>
          </w:p>
        </w:tc>
      </w:tr>
      <w:tr w14:paraId="566B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4A45AEC2">
            <w:pPr>
              <w:adjustRightInd w:val="0"/>
              <w:spacing w:line="240" w:lineRule="auto"/>
              <w:jc w:val="center"/>
              <w:rPr>
                <w:rFonts w:ascii="仿宋_GB2312"/>
                <w:snapToGrid w:val="0"/>
                <w:sz w:val="21"/>
                <w:szCs w:val="21"/>
              </w:rPr>
            </w:pPr>
          </w:p>
        </w:tc>
        <w:tc>
          <w:tcPr>
            <w:tcW w:w="650" w:type="pct"/>
            <w:vAlign w:val="center"/>
          </w:tcPr>
          <w:p w14:paraId="3D893F93">
            <w:pPr>
              <w:adjustRightInd w:val="0"/>
              <w:spacing w:line="240" w:lineRule="auto"/>
              <w:jc w:val="center"/>
              <w:rPr>
                <w:rFonts w:ascii="仿宋_GB2312"/>
                <w:snapToGrid w:val="0"/>
                <w:sz w:val="21"/>
                <w:szCs w:val="21"/>
              </w:rPr>
            </w:pPr>
            <w:r>
              <w:rPr>
                <w:rFonts w:hint="eastAsia" w:ascii="仿宋_GB2312"/>
                <w:snapToGrid w:val="0"/>
                <w:sz w:val="21"/>
                <w:szCs w:val="21"/>
              </w:rPr>
              <w:t>8</w:t>
            </w:r>
          </w:p>
        </w:tc>
        <w:tc>
          <w:tcPr>
            <w:tcW w:w="3292" w:type="pct"/>
            <w:vAlign w:val="center"/>
          </w:tcPr>
          <w:p w14:paraId="7FDAFDDC">
            <w:pPr>
              <w:adjustRightInd w:val="0"/>
              <w:spacing w:line="240" w:lineRule="auto"/>
              <w:rPr>
                <w:rFonts w:ascii="仿宋_GB2312"/>
                <w:snapToGrid w:val="0"/>
                <w:sz w:val="21"/>
                <w:szCs w:val="21"/>
              </w:rPr>
            </w:pPr>
            <w:r>
              <w:rPr>
                <w:rFonts w:hint="eastAsia" w:ascii="仿宋_GB2312"/>
                <w:snapToGrid w:val="0"/>
                <w:sz w:val="21"/>
                <w:szCs w:val="21"/>
              </w:rPr>
              <w:t>长三角涉企“一件事一网通办”</w:t>
            </w:r>
          </w:p>
        </w:tc>
      </w:tr>
      <w:tr w14:paraId="7E8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6B1AC080">
            <w:pPr>
              <w:adjustRightInd w:val="0"/>
              <w:spacing w:line="240" w:lineRule="auto"/>
              <w:jc w:val="center"/>
              <w:rPr>
                <w:rFonts w:ascii="仿宋_GB2312"/>
                <w:snapToGrid w:val="0"/>
                <w:sz w:val="21"/>
                <w:szCs w:val="21"/>
              </w:rPr>
            </w:pPr>
          </w:p>
        </w:tc>
        <w:tc>
          <w:tcPr>
            <w:tcW w:w="650" w:type="pct"/>
            <w:vAlign w:val="center"/>
          </w:tcPr>
          <w:p w14:paraId="677AE8A8">
            <w:pPr>
              <w:adjustRightInd w:val="0"/>
              <w:spacing w:line="240" w:lineRule="auto"/>
              <w:jc w:val="center"/>
              <w:rPr>
                <w:rFonts w:ascii="仿宋_GB2312"/>
                <w:snapToGrid w:val="0"/>
                <w:sz w:val="21"/>
                <w:szCs w:val="21"/>
              </w:rPr>
            </w:pPr>
            <w:r>
              <w:rPr>
                <w:rFonts w:hint="eastAsia" w:ascii="仿宋_GB2312"/>
                <w:snapToGrid w:val="0"/>
                <w:sz w:val="21"/>
                <w:szCs w:val="21"/>
              </w:rPr>
              <w:t>9</w:t>
            </w:r>
          </w:p>
        </w:tc>
        <w:tc>
          <w:tcPr>
            <w:tcW w:w="3292" w:type="pct"/>
            <w:vAlign w:val="center"/>
          </w:tcPr>
          <w:p w14:paraId="66C5147D">
            <w:pPr>
              <w:adjustRightInd w:val="0"/>
              <w:spacing w:line="240" w:lineRule="auto"/>
              <w:rPr>
                <w:rFonts w:ascii="仿宋_GB2312"/>
                <w:snapToGrid w:val="0"/>
                <w:sz w:val="21"/>
                <w:szCs w:val="21"/>
              </w:rPr>
            </w:pPr>
            <w:r>
              <w:rPr>
                <w:rFonts w:hint="eastAsia" w:ascii="仿宋_GB2312"/>
                <w:snapToGrid w:val="0"/>
                <w:sz w:val="21"/>
                <w:szCs w:val="21"/>
              </w:rPr>
              <w:t>工程建设全过程图纸数字化管理改革</w:t>
            </w:r>
          </w:p>
        </w:tc>
      </w:tr>
      <w:tr w14:paraId="663D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79FCD731">
            <w:pPr>
              <w:adjustRightInd w:val="0"/>
              <w:spacing w:line="240" w:lineRule="auto"/>
              <w:jc w:val="center"/>
              <w:rPr>
                <w:rFonts w:ascii="仿宋_GB2312"/>
                <w:snapToGrid w:val="0"/>
                <w:sz w:val="21"/>
                <w:szCs w:val="21"/>
              </w:rPr>
            </w:pPr>
          </w:p>
        </w:tc>
        <w:tc>
          <w:tcPr>
            <w:tcW w:w="650" w:type="pct"/>
            <w:vAlign w:val="center"/>
          </w:tcPr>
          <w:p w14:paraId="7DE82EAF">
            <w:pPr>
              <w:adjustRightInd w:val="0"/>
              <w:spacing w:line="240" w:lineRule="auto"/>
              <w:jc w:val="center"/>
              <w:rPr>
                <w:rFonts w:ascii="仿宋_GB2312"/>
                <w:snapToGrid w:val="0"/>
                <w:sz w:val="21"/>
                <w:szCs w:val="21"/>
              </w:rPr>
            </w:pPr>
            <w:r>
              <w:rPr>
                <w:rFonts w:hint="eastAsia" w:ascii="仿宋_GB2312"/>
                <w:snapToGrid w:val="0"/>
                <w:sz w:val="21"/>
                <w:szCs w:val="21"/>
              </w:rPr>
              <w:t>10</w:t>
            </w:r>
          </w:p>
        </w:tc>
        <w:tc>
          <w:tcPr>
            <w:tcW w:w="3292" w:type="pct"/>
            <w:vAlign w:val="center"/>
          </w:tcPr>
          <w:p w14:paraId="7A1643FE">
            <w:pPr>
              <w:adjustRightInd w:val="0"/>
              <w:spacing w:line="240" w:lineRule="auto"/>
              <w:rPr>
                <w:rFonts w:ascii="仿宋_GB2312"/>
                <w:snapToGrid w:val="0"/>
                <w:sz w:val="21"/>
                <w:szCs w:val="21"/>
              </w:rPr>
            </w:pPr>
            <w:r>
              <w:rPr>
                <w:rFonts w:hint="eastAsia" w:ascii="仿宋_GB2312"/>
                <w:snapToGrid w:val="0"/>
                <w:sz w:val="21"/>
                <w:szCs w:val="21"/>
              </w:rPr>
              <w:t>乡村人才综合评价试验示范区</w:t>
            </w:r>
          </w:p>
        </w:tc>
      </w:tr>
      <w:tr w14:paraId="3E93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8" w:type="pct"/>
            <w:vMerge w:val="continue"/>
            <w:vAlign w:val="center"/>
          </w:tcPr>
          <w:p w14:paraId="13AC7308">
            <w:pPr>
              <w:adjustRightInd w:val="0"/>
              <w:spacing w:line="240" w:lineRule="auto"/>
              <w:jc w:val="center"/>
              <w:rPr>
                <w:rFonts w:ascii="仿宋_GB2312"/>
                <w:snapToGrid w:val="0"/>
                <w:sz w:val="21"/>
                <w:szCs w:val="21"/>
              </w:rPr>
            </w:pPr>
          </w:p>
        </w:tc>
        <w:tc>
          <w:tcPr>
            <w:tcW w:w="650" w:type="pct"/>
            <w:vAlign w:val="center"/>
          </w:tcPr>
          <w:p w14:paraId="7C95DBD7">
            <w:pPr>
              <w:adjustRightInd w:val="0"/>
              <w:spacing w:line="240" w:lineRule="auto"/>
              <w:jc w:val="center"/>
              <w:rPr>
                <w:rFonts w:ascii="仿宋_GB2312"/>
                <w:snapToGrid w:val="0"/>
                <w:sz w:val="21"/>
                <w:szCs w:val="21"/>
              </w:rPr>
            </w:pPr>
            <w:r>
              <w:rPr>
                <w:rFonts w:hint="eastAsia" w:ascii="仿宋_GB2312"/>
                <w:snapToGrid w:val="0"/>
                <w:sz w:val="21"/>
                <w:szCs w:val="21"/>
              </w:rPr>
              <w:t>11</w:t>
            </w:r>
          </w:p>
        </w:tc>
        <w:tc>
          <w:tcPr>
            <w:tcW w:w="3292" w:type="pct"/>
            <w:vAlign w:val="center"/>
          </w:tcPr>
          <w:p w14:paraId="6BE05A5D">
            <w:pPr>
              <w:adjustRightInd w:val="0"/>
              <w:spacing w:line="240" w:lineRule="auto"/>
              <w:rPr>
                <w:rFonts w:ascii="仿宋_GB2312"/>
                <w:snapToGrid w:val="0"/>
                <w:sz w:val="21"/>
                <w:szCs w:val="21"/>
              </w:rPr>
            </w:pPr>
            <w:r>
              <w:rPr>
                <w:rFonts w:hint="eastAsia" w:ascii="仿宋_GB2312"/>
                <w:snapToGrid w:val="0"/>
                <w:sz w:val="21"/>
                <w:szCs w:val="21"/>
              </w:rPr>
              <w:t>国资国企改革</w:t>
            </w:r>
          </w:p>
        </w:tc>
      </w:tr>
      <w:tr w14:paraId="5466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restart"/>
            <w:vAlign w:val="center"/>
          </w:tcPr>
          <w:p w14:paraId="13FAC221">
            <w:pPr>
              <w:adjustRightInd w:val="0"/>
              <w:spacing w:line="240" w:lineRule="auto"/>
              <w:jc w:val="center"/>
              <w:rPr>
                <w:rFonts w:ascii="仿宋_GB2312"/>
                <w:snapToGrid w:val="0"/>
                <w:sz w:val="21"/>
                <w:szCs w:val="21"/>
              </w:rPr>
            </w:pPr>
            <w:r>
              <w:rPr>
                <w:rFonts w:hint="eastAsia" w:ascii="仿宋_GB2312"/>
                <w:snapToGrid w:val="0"/>
                <w:sz w:val="21"/>
                <w:szCs w:val="21"/>
              </w:rPr>
              <w:t>公共治理（6）</w:t>
            </w:r>
          </w:p>
        </w:tc>
        <w:tc>
          <w:tcPr>
            <w:tcW w:w="650" w:type="pct"/>
            <w:vAlign w:val="center"/>
          </w:tcPr>
          <w:p w14:paraId="1EECA635">
            <w:pPr>
              <w:adjustRightInd w:val="0"/>
              <w:spacing w:line="240" w:lineRule="auto"/>
              <w:jc w:val="center"/>
              <w:rPr>
                <w:rFonts w:ascii="仿宋_GB2312"/>
                <w:snapToGrid w:val="0"/>
                <w:sz w:val="21"/>
                <w:szCs w:val="21"/>
              </w:rPr>
            </w:pPr>
            <w:r>
              <w:rPr>
                <w:rFonts w:hint="eastAsia" w:ascii="仿宋_GB2312"/>
                <w:snapToGrid w:val="0"/>
                <w:sz w:val="21"/>
                <w:szCs w:val="21"/>
              </w:rPr>
              <w:t>12</w:t>
            </w:r>
          </w:p>
        </w:tc>
        <w:tc>
          <w:tcPr>
            <w:tcW w:w="3292" w:type="pct"/>
            <w:vAlign w:val="center"/>
          </w:tcPr>
          <w:p w14:paraId="61F1A234">
            <w:pPr>
              <w:adjustRightInd w:val="0"/>
              <w:spacing w:line="240" w:lineRule="auto"/>
              <w:rPr>
                <w:rFonts w:ascii="仿宋_GB2312"/>
                <w:snapToGrid w:val="0"/>
                <w:sz w:val="21"/>
                <w:szCs w:val="21"/>
              </w:rPr>
            </w:pPr>
            <w:r>
              <w:rPr>
                <w:rFonts w:hint="eastAsia" w:ascii="仿宋_GB2312"/>
                <w:snapToGrid w:val="0"/>
                <w:sz w:val="21"/>
                <w:szCs w:val="21"/>
              </w:rPr>
              <w:t>深化“县乡一体、条抓块统”改革</w:t>
            </w:r>
          </w:p>
        </w:tc>
      </w:tr>
      <w:tr w14:paraId="18B3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35F634EB">
            <w:pPr>
              <w:adjustRightInd w:val="0"/>
              <w:spacing w:line="240" w:lineRule="auto"/>
              <w:jc w:val="center"/>
              <w:rPr>
                <w:rFonts w:ascii="仿宋_GB2312"/>
                <w:snapToGrid w:val="0"/>
                <w:sz w:val="21"/>
                <w:szCs w:val="21"/>
              </w:rPr>
            </w:pPr>
          </w:p>
        </w:tc>
        <w:tc>
          <w:tcPr>
            <w:tcW w:w="650" w:type="pct"/>
            <w:vAlign w:val="center"/>
          </w:tcPr>
          <w:p w14:paraId="5AF177DF">
            <w:pPr>
              <w:adjustRightInd w:val="0"/>
              <w:spacing w:line="240" w:lineRule="auto"/>
              <w:jc w:val="center"/>
              <w:rPr>
                <w:rFonts w:ascii="仿宋_GB2312"/>
                <w:snapToGrid w:val="0"/>
                <w:sz w:val="21"/>
                <w:szCs w:val="21"/>
              </w:rPr>
            </w:pPr>
            <w:r>
              <w:rPr>
                <w:rFonts w:hint="eastAsia" w:ascii="仿宋_GB2312"/>
                <w:snapToGrid w:val="0"/>
                <w:sz w:val="21"/>
                <w:szCs w:val="21"/>
              </w:rPr>
              <w:t>13</w:t>
            </w:r>
          </w:p>
        </w:tc>
        <w:tc>
          <w:tcPr>
            <w:tcW w:w="3292" w:type="pct"/>
            <w:vAlign w:val="center"/>
          </w:tcPr>
          <w:p w14:paraId="174D02E8">
            <w:pPr>
              <w:adjustRightInd w:val="0"/>
              <w:spacing w:line="240" w:lineRule="auto"/>
              <w:rPr>
                <w:rFonts w:ascii="仿宋_GB2312"/>
                <w:snapToGrid w:val="0"/>
                <w:sz w:val="21"/>
                <w:szCs w:val="21"/>
              </w:rPr>
            </w:pPr>
            <w:r>
              <w:rPr>
                <w:rFonts w:hint="eastAsia" w:ascii="仿宋_GB2312"/>
                <w:snapToGrid w:val="0"/>
                <w:sz w:val="21"/>
                <w:szCs w:val="21"/>
              </w:rPr>
              <w:t>政务服务县乡村一体2.0升级版</w:t>
            </w:r>
          </w:p>
        </w:tc>
      </w:tr>
      <w:tr w14:paraId="778F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493C47BE">
            <w:pPr>
              <w:adjustRightInd w:val="0"/>
              <w:spacing w:line="240" w:lineRule="auto"/>
              <w:jc w:val="center"/>
              <w:rPr>
                <w:rFonts w:ascii="仿宋_GB2312"/>
                <w:snapToGrid w:val="0"/>
                <w:sz w:val="21"/>
                <w:szCs w:val="21"/>
              </w:rPr>
            </w:pPr>
          </w:p>
        </w:tc>
        <w:tc>
          <w:tcPr>
            <w:tcW w:w="650" w:type="pct"/>
            <w:vAlign w:val="center"/>
          </w:tcPr>
          <w:p w14:paraId="0EA04B31">
            <w:pPr>
              <w:adjustRightInd w:val="0"/>
              <w:spacing w:line="240" w:lineRule="auto"/>
              <w:jc w:val="center"/>
              <w:rPr>
                <w:rFonts w:ascii="仿宋_GB2312"/>
                <w:snapToGrid w:val="0"/>
                <w:sz w:val="21"/>
                <w:szCs w:val="21"/>
              </w:rPr>
            </w:pPr>
            <w:r>
              <w:rPr>
                <w:rFonts w:hint="eastAsia" w:ascii="仿宋_GB2312"/>
                <w:snapToGrid w:val="0"/>
                <w:sz w:val="21"/>
                <w:szCs w:val="21"/>
              </w:rPr>
              <w:t>14</w:t>
            </w:r>
          </w:p>
        </w:tc>
        <w:tc>
          <w:tcPr>
            <w:tcW w:w="3292" w:type="pct"/>
            <w:vAlign w:val="center"/>
          </w:tcPr>
          <w:p w14:paraId="3D2B56AD">
            <w:pPr>
              <w:adjustRightInd w:val="0"/>
              <w:spacing w:line="240" w:lineRule="auto"/>
              <w:rPr>
                <w:rFonts w:ascii="仿宋_GB2312"/>
                <w:snapToGrid w:val="0"/>
                <w:sz w:val="21"/>
                <w:szCs w:val="21"/>
              </w:rPr>
            </w:pPr>
            <w:r>
              <w:rPr>
                <w:rFonts w:hint="eastAsia" w:ascii="仿宋_GB2312"/>
                <w:snapToGrid w:val="0"/>
                <w:sz w:val="21"/>
                <w:szCs w:val="21"/>
              </w:rPr>
              <w:t>“大综合一体化”行政执法改革</w:t>
            </w:r>
          </w:p>
        </w:tc>
      </w:tr>
      <w:tr w14:paraId="6951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1A3E14E8">
            <w:pPr>
              <w:adjustRightInd w:val="0"/>
              <w:spacing w:line="240" w:lineRule="auto"/>
              <w:jc w:val="center"/>
              <w:rPr>
                <w:rFonts w:ascii="仿宋_GB2312"/>
                <w:snapToGrid w:val="0"/>
                <w:sz w:val="21"/>
                <w:szCs w:val="21"/>
              </w:rPr>
            </w:pPr>
          </w:p>
        </w:tc>
        <w:tc>
          <w:tcPr>
            <w:tcW w:w="650" w:type="pct"/>
            <w:vAlign w:val="center"/>
          </w:tcPr>
          <w:p w14:paraId="787E1966">
            <w:pPr>
              <w:adjustRightInd w:val="0"/>
              <w:spacing w:line="240" w:lineRule="auto"/>
              <w:jc w:val="center"/>
              <w:rPr>
                <w:rFonts w:ascii="仿宋_GB2312"/>
                <w:snapToGrid w:val="0"/>
                <w:sz w:val="21"/>
                <w:szCs w:val="21"/>
              </w:rPr>
            </w:pPr>
            <w:r>
              <w:rPr>
                <w:rFonts w:hint="eastAsia" w:ascii="仿宋_GB2312"/>
                <w:snapToGrid w:val="0"/>
                <w:sz w:val="21"/>
                <w:szCs w:val="21"/>
              </w:rPr>
              <w:t>15</w:t>
            </w:r>
          </w:p>
        </w:tc>
        <w:tc>
          <w:tcPr>
            <w:tcW w:w="3292" w:type="pct"/>
            <w:vAlign w:val="center"/>
          </w:tcPr>
          <w:p w14:paraId="14368D88">
            <w:pPr>
              <w:adjustRightInd w:val="0"/>
              <w:spacing w:line="240" w:lineRule="auto"/>
              <w:rPr>
                <w:rFonts w:ascii="仿宋_GB2312"/>
                <w:snapToGrid w:val="0"/>
                <w:sz w:val="21"/>
                <w:szCs w:val="21"/>
              </w:rPr>
            </w:pPr>
            <w:r>
              <w:rPr>
                <w:rFonts w:hint="eastAsia" w:ascii="仿宋_GB2312"/>
                <w:snapToGrid w:val="0"/>
                <w:sz w:val="21"/>
                <w:szCs w:val="21"/>
              </w:rPr>
              <w:t>应急管理体系改革</w:t>
            </w:r>
          </w:p>
        </w:tc>
      </w:tr>
      <w:tr w14:paraId="35E0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2AFF4909">
            <w:pPr>
              <w:adjustRightInd w:val="0"/>
              <w:spacing w:line="240" w:lineRule="auto"/>
              <w:jc w:val="center"/>
              <w:rPr>
                <w:rFonts w:ascii="仿宋_GB2312"/>
                <w:snapToGrid w:val="0"/>
                <w:sz w:val="21"/>
                <w:szCs w:val="21"/>
              </w:rPr>
            </w:pPr>
          </w:p>
        </w:tc>
        <w:tc>
          <w:tcPr>
            <w:tcW w:w="650" w:type="pct"/>
            <w:vAlign w:val="center"/>
          </w:tcPr>
          <w:p w14:paraId="1EDA110E">
            <w:pPr>
              <w:adjustRightInd w:val="0"/>
              <w:spacing w:line="240" w:lineRule="auto"/>
              <w:jc w:val="center"/>
              <w:rPr>
                <w:rFonts w:ascii="仿宋_GB2312"/>
                <w:snapToGrid w:val="0"/>
                <w:sz w:val="21"/>
                <w:szCs w:val="21"/>
              </w:rPr>
            </w:pPr>
            <w:r>
              <w:rPr>
                <w:rFonts w:hint="eastAsia" w:ascii="仿宋_GB2312"/>
                <w:snapToGrid w:val="0"/>
                <w:sz w:val="21"/>
                <w:szCs w:val="21"/>
              </w:rPr>
              <w:t>16</w:t>
            </w:r>
          </w:p>
        </w:tc>
        <w:tc>
          <w:tcPr>
            <w:tcW w:w="3292" w:type="pct"/>
            <w:vAlign w:val="center"/>
          </w:tcPr>
          <w:p w14:paraId="00428D0B">
            <w:pPr>
              <w:adjustRightInd w:val="0"/>
              <w:spacing w:line="240" w:lineRule="auto"/>
              <w:rPr>
                <w:rFonts w:ascii="仿宋_GB2312"/>
                <w:snapToGrid w:val="0"/>
                <w:sz w:val="21"/>
                <w:szCs w:val="21"/>
              </w:rPr>
            </w:pPr>
            <w:r>
              <w:rPr>
                <w:rFonts w:hint="eastAsia" w:ascii="仿宋_GB2312"/>
                <w:snapToGrid w:val="0"/>
                <w:sz w:val="21"/>
                <w:szCs w:val="21"/>
              </w:rPr>
              <w:t>“最多扫一码”改革</w:t>
            </w:r>
          </w:p>
        </w:tc>
      </w:tr>
      <w:tr w14:paraId="7DCD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58" w:type="pct"/>
            <w:vMerge w:val="continue"/>
            <w:vAlign w:val="center"/>
          </w:tcPr>
          <w:p w14:paraId="50A46C26">
            <w:pPr>
              <w:adjustRightInd w:val="0"/>
              <w:spacing w:line="240" w:lineRule="auto"/>
              <w:jc w:val="center"/>
              <w:rPr>
                <w:rFonts w:ascii="仿宋_GB2312"/>
                <w:snapToGrid w:val="0"/>
                <w:sz w:val="21"/>
                <w:szCs w:val="21"/>
              </w:rPr>
            </w:pPr>
          </w:p>
        </w:tc>
        <w:tc>
          <w:tcPr>
            <w:tcW w:w="650" w:type="pct"/>
            <w:vAlign w:val="center"/>
          </w:tcPr>
          <w:p w14:paraId="07C28D48">
            <w:pPr>
              <w:adjustRightInd w:val="0"/>
              <w:spacing w:line="240" w:lineRule="auto"/>
              <w:jc w:val="center"/>
              <w:rPr>
                <w:rFonts w:ascii="仿宋_GB2312"/>
                <w:snapToGrid w:val="0"/>
                <w:sz w:val="21"/>
                <w:szCs w:val="21"/>
              </w:rPr>
            </w:pPr>
            <w:r>
              <w:rPr>
                <w:rFonts w:hint="eastAsia" w:ascii="仿宋_GB2312"/>
                <w:snapToGrid w:val="0"/>
                <w:sz w:val="21"/>
                <w:szCs w:val="21"/>
              </w:rPr>
              <w:t>17</w:t>
            </w:r>
          </w:p>
        </w:tc>
        <w:tc>
          <w:tcPr>
            <w:tcW w:w="3292" w:type="pct"/>
            <w:vAlign w:val="center"/>
          </w:tcPr>
          <w:p w14:paraId="6C8D6CF6">
            <w:pPr>
              <w:adjustRightInd w:val="0"/>
              <w:spacing w:line="240" w:lineRule="auto"/>
              <w:rPr>
                <w:rFonts w:ascii="仿宋_GB2312"/>
                <w:snapToGrid w:val="0"/>
                <w:sz w:val="21"/>
                <w:szCs w:val="21"/>
              </w:rPr>
            </w:pPr>
            <w:r>
              <w:rPr>
                <w:rFonts w:hint="eastAsia" w:ascii="仿宋_GB2312"/>
                <w:snapToGrid w:val="0"/>
                <w:sz w:val="21"/>
                <w:szCs w:val="21"/>
              </w:rPr>
              <w:t>深化现代警务模式建设</w:t>
            </w:r>
          </w:p>
        </w:tc>
      </w:tr>
      <w:tr w14:paraId="75C9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58" w:type="pct"/>
            <w:vMerge w:val="restart"/>
            <w:vAlign w:val="center"/>
          </w:tcPr>
          <w:p w14:paraId="56898E77">
            <w:pPr>
              <w:adjustRightInd w:val="0"/>
              <w:spacing w:line="240" w:lineRule="auto"/>
              <w:jc w:val="center"/>
              <w:rPr>
                <w:rFonts w:ascii="仿宋_GB2312"/>
                <w:snapToGrid w:val="0"/>
                <w:sz w:val="21"/>
                <w:szCs w:val="21"/>
              </w:rPr>
            </w:pPr>
            <w:r>
              <w:rPr>
                <w:rFonts w:hint="eastAsia" w:ascii="仿宋_GB2312"/>
                <w:snapToGrid w:val="0"/>
                <w:sz w:val="21"/>
                <w:szCs w:val="21"/>
              </w:rPr>
              <w:t>社会事业（4）</w:t>
            </w:r>
          </w:p>
        </w:tc>
        <w:tc>
          <w:tcPr>
            <w:tcW w:w="650" w:type="pct"/>
            <w:vAlign w:val="center"/>
          </w:tcPr>
          <w:p w14:paraId="0E69B847">
            <w:pPr>
              <w:adjustRightInd w:val="0"/>
              <w:spacing w:line="240" w:lineRule="auto"/>
              <w:jc w:val="center"/>
              <w:rPr>
                <w:rFonts w:ascii="仿宋_GB2312"/>
                <w:snapToGrid w:val="0"/>
                <w:sz w:val="21"/>
                <w:szCs w:val="21"/>
              </w:rPr>
            </w:pPr>
            <w:r>
              <w:rPr>
                <w:rFonts w:hint="eastAsia" w:ascii="仿宋_GB2312"/>
                <w:snapToGrid w:val="0"/>
                <w:sz w:val="21"/>
                <w:szCs w:val="21"/>
              </w:rPr>
              <w:t>18</w:t>
            </w:r>
          </w:p>
        </w:tc>
        <w:tc>
          <w:tcPr>
            <w:tcW w:w="3292" w:type="pct"/>
            <w:vAlign w:val="center"/>
          </w:tcPr>
          <w:p w14:paraId="029BC626">
            <w:pPr>
              <w:adjustRightInd w:val="0"/>
              <w:spacing w:line="240" w:lineRule="auto"/>
              <w:rPr>
                <w:rFonts w:ascii="仿宋_GB2312"/>
                <w:snapToGrid w:val="0"/>
                <w:sz w:val="21"/>
                <w:szCs w:val="21"/>
              </w:rPr>
            </w:pPr>
            <w:r>
              <w:rPr>
                <w:rFonts w:hint="eastAsia" w:ascii="仿宋_GB2312"/>
                <w:snapToGrid w:val="0"/>
                <w:sz w:val="21"/>
                <w:szCs w:val="21"/>
              </w:rPr>
              <w:t>深化全国综合医改示范县建设</w:t>
            </w:r>
          </w:p>
        </w:tc>
      </w:tr>
      <w:tr w14:paraId="336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2818B9AB">
            <w:pPr>
              <w:adjustRightInd w:val="0"/>
              <w:spacing w:line="240" w:lineRule="auto"/>
              <w:jc w:val="center"/>
              <w:rPr>
                <w:rFonts w:ascii="仿宋_GB2312"/>
                <w:snapToGrid w:val="0"/>
                <w:sz w:val="21"/>
                <w:szCs w:val="21"/>
              </w:rPr>
            </w:pPr>
          </w:p>
        </w:tc>
        <w:tc>
          <w:tcPr>
            <w:tcW w:w="650" w:type="pct"/>
            <w:vAlign w:val="center"/>
          </w:tcPr>
          <w:p w14:paraId="151BA946">
            <w:pPr>
              <w:adjustRightInd w:val="0"/>
              <w:spacing w:line="240" w:lineRule="auto"/>
              <w:jc w:val="center"/>
              <w:rPr>
                <w:rFonts w:ascii="仿宋_GB2312"/>
                <w:snapToGrid w:val="0"/>
                <w:sz w:val="21"/>
                <w:szCs w:val="21"/>
              </w:rPr>
            </w:pPr>
            <w:r>
              <w:rPr>
                <w:rFonts w:hint="eastAsia" w:ascii="仿宋_GB2312"/>
                <w:snapToGrid w:val="0"/>
                <w:sz w:val="21"/>
                <w:szCs w:val="21"/>
              </w:rPr>
              <w:t>19</w:t>
            </w:r>
          </w:p>
        </w:tc>
        <w:tc>
          <w:tcPr>
            <w:tcW w:w="3292" w:type="pct"/>
            <w:vAlign w:val="center"/>
          </w:tcPr>
          <w:p w14:paraId="2B892E5D">
            <w:pPr>
              <w:adjustRightInd w:val="0"/>
              <w:spacing w:line="240" w:lineRule="auto"/>
              <w:rPr>
                <w:rFonts w:ascii="仿宋_GB2312"/>
                <w:snapToGrid w:val="0"/>
                <w:sz w:val="21"/>
                <w:szCs w:val="21"/>
              </w:rPr>
            </w:pPr>
            <w:r>
              <w:rPr>
                <w:rFonts w:hint="eastAsia" w:ascii="仿宋_GB2312"/>
                <w:snapToGrid w:val="0"/>
                <w:sz w:val="21"/>
                <w:szCs w:val="21"/>
              </w:rPr>
              <w:t>新时代工匠试点</w:t>
            </w:r>
          </w:p>
        </w:tc>
      </w:tr>
      <w:tr w14:paraId="52CD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58775666">
            <w:pPr>
              <w:adjustRightInd w:val="0"/>
              <w:spacing w:line="240" w:lineRule="auto"/>
              <w:jc w:val="center"/>
              <w:rPr>
                <w:rFonts w:ascii="仿宋_GB2312"/>
                <w:snapToGrid w:val="0"/>
                <w:sz w:val="21"/>
                <w:szCs w:val="21"/>
              </w:rPr>
            </w:pPr>
          </w:p>
        </w:tc>
        <w:tc>
          <w:tcPr>
            <w:tcW w:w="650" w:type="pct"/>
            <w:vAlign w:val="center"/>
          </w:tcPr>
          <w:p w14:paraId="6E3F85D7">
            <w:pPr>
              <w:adjustRightInd w:val="0"/>
              <w:spacing w:line="240" w:lineRule="auto"/>
              <w:jc w:val="center"/>
              <w:rPr>
                <w:rFonts w:ascii="仿宋_GB2312"/>
                <w:snapToGrid w:val="0"/>
                <w:sz w:val="21"/>
                <w:szCs w:val="21"/>
              </w:rPr>
            </w:pPr>
            <w:r>
              <w:rPr>
                <w:rFonts w:hint="eastAsia" w:ascii="仿宋_GB2312"/>
                <w:snapToGrid w:val="0"/>
                <w:sz w:val="21"/>
                <w:szCs w:val="21"/>
              </w:rPr>
              <w:t>20</w:t>
            </w:r>
          </w:p>
        </w:tc>
        <w:tc>
          <w:tcPr>
            <w:tcW w:w="3292" w:type="pct"/>
            <w:vAlign w:val="center"/>
          </w:tcPr>
          <w:p w14:paraId="44B71AAF">
            <w:pPr>
              <w:adjustRightInd w:val="0"/>
              <w:spacing w:line="240" w:lineRule="auto"/>
              <w:rPr>
                <w:rFonts w:ascii="仿宋_GB2312"/>
                <w:snapToGrid w:val="0"/>
                <w:sz w:val="21"/>
                <w:szCs w:val="21"/>
              </w:rPr>
            </w:pPr>
            <w:r>
              <w:rPr>
                <w:rFonts w:hint="eastAsia" w:ascii="仿宋_GB2312"/>
                <w:snapToGrid w:val="0"/>
                <w:sz w:val="21"/>
                <w:szCs w:val="21"/>
              </w:rPr>
              <w:t>婚俗改革实验县</w:t>
            </w:r>
          </w:p>
        </w:tc>
      </w:tr>
      <w:tr w14:paraId="268B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5FDD421F">
            <w:pPr>
              <w:adjustRightInd w:val="0"/>
              <w:spacing w:line="240" w:lineRule="auto"/>
              <w:jc w:val="center"/>
              <w:rPr>
                <w:rFonts w:ascii="仿宋_GB2312"/>
                <w:snapToGrid w:val="0"/>
                <w:sz w:val="21"/>
                <w:szCs w:val="21"/>
              </w:rPr>
            </w:pPr>
          </w:p>
        </w:tc>
        <w:tc>
          <w:tcPr>
            <w:tcW w:w="650" w:type="pct"/>
            <w:vAlign w:val="center"/>
          </w:tcPr>
          <w:p w14:paraId="2ED186F5">
            <w:pPr>
              <w:adjustRightInd w:val="0"/>
              <w:spacing w:line="240" w:lineRule="auto"/>
              <w:jc w:val="center"/>
              <w:rPr>
                <w:rFonts w:ascii="仿宋_GB2312"/>
                <w:snapToGrid w:val="0"/>
                <w:sz w:val="21"/>
                <w:szCs w:val="21"/>
              </w:rPr>
            </w:pPr>
            <w:r>
              <w:rPr>
                <w:rFonts w:hint="eastAsia" w:ascii="仿宋_GB2312"/>
                <w:snapToGrid w:val="0"/>
                <w:sz w:val="21"/>
                <w:szCs w:val="21"/>
              </w:rPr>
              <w:t>22</w:t>
            </w:r>
          </w:p>
        </w:tc>
        <w:tc>
          <w:tcPr>
            <w:tcW w:w="3292" w:type="pct"/>
            <w:vAlign w:val="center"/>
          </w:tcPr>
          <w:p w14:paraId="6EA4F24E">
            <w:pPr>
              <w:adjustRightInd w:val="0"/>
              <w:spacing w:line="240" w:lineRule="auto"/>
              <w:rPr>
                <w:rFonts w:ascii="仿宋_GB2312"/>
                <w:snapToGrid w:val="0"/>
                <w:sz w:val="21"/>
                <w:szCs w:val="21"/>
              </w:rPr>
            </w:pPr>
            <w:r>
              <w:rPr>
                <w:rFonts w:hint="eastAsia" w:ascii="仿宋_GB2312"/>
                <w:snapToGrid w:val="0"/>
                <w:sz w:val="21"/>
                <w:szCs w:val="21"/>
              </w:rPr>
              <w:t>健全完善平战结合的公共卫生应急体系</w:t>
            </w:r>
          </w:p>
        </w:tc>
      </w:tr>
      <w:tr w14:paraId="4807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restart"/>
            <w:vAlign w:val="center"/>
          </w:tcPr>
          <w:p w14:paraId="4B8FDFA9">
            <w:pPr>
              <w:adjustRightInd w:val="0"/>
              <w:spacing w:line="240" w:lineRule="auto"/>
              <w:jc w:val="center"/>
              <w:rPr>
                <w:rFonts w:ascii="仿宋_GB2312"/>
                <w:snapToGrid w:val="0"/>
                <w:sz w:val="21"/>
                <w:szCs w:val="21"/>
              </w:rPr>
            </w:pPr>
            <w:r>
              <w:rPr>
                <w:rFonts w:hint="eastAsia" w:ascii="仿宋_GB2312"/>
                <w:snapToGrid w:val="0"/>
                <w:sz w:val="21"/>
                <w:szCs w:val="21"/>
              </w:rPr>
              <w:t>生态文明（4）</w:t>
            </w:r>
          </w:p>
        </w:tc>
        <w:tc>
          <w:tcPr>
            <w:tcW w:w="650" w:type="pct"/>
            <w:vAlign w:val="center"/>
          </w:tcPr>
          <w:p w14:paraId="579553F7">
            <w:pPr>
              <w:adjustRightInd w:val="0"/>
              <w:spacing w:line="240" w:lineRule="auto"/>
              <w:jc w:val="center"/>
              <w:rPr>
                <w:rFonts w:ascii="仿宋_GB2312"/>
                <w:snapToGrid w:val="0"/>
                <w:sz w:val="21"/>
                <w:szCs w:val="21"/>
              </w:rPr>
            </w:pPr>
            <w:r>
              <w:rPr>
                <w:rFonts w:hint="eastAsia" w:ascii="仿宋_GB2312"/>
                <w:snapToGrid w:val="0"/>
                <w:sz w:val="21"/>
                <w:szCs w:val="21"/>
              </w:rPr>
              <w:t>23</w:t>
            </w:r>
          </w:p>
        </w:tc>
        <w:tc>
          <w:tcPr>
            <w:tcW w:w="3292" w:type="pct"/>
            <w:vAlign w:val="center"/>
          </w:tcPr>
          <w:p w14:paraId="0997158F">
            <w:pPr>
              <w:adjustRightInd w:val="0"/>
              <w:spacing w:line="240" w:lineRule="auto"/>
              <w:rPr>
                <w:rFonts w:ascii="仿宋_GB2312"/>
                <w:snapToGrid w:val="0"/>
                <w:sz w:val="21"/>
                <w:szCs w:val="21"/>
              </w:rPr>
            </w:pPr>
            <w:r>
              <w:rPr>
                <w:rFonts w:hint="eastAsia" w:ascii="仿宋_GB2312"/>
                <w:snapToGrid w:val="0"/>
                <w:sz w:val="21"/>
                <w:szCs w:val="21"/>
              </w:rPr>
              <w:t>建立美丽乡村精品村创建资格竞争性评议机制</w:t>
            </w:r>
          </w:p>
        </w:tc>
      </w:tr>
      <w:tr w14:paraId="532F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47CC80D1">
            <w:pPr>
              <w:adjustRightInd w:val="0"/>
              <w:spacing w:line="240" w:lineRule="auto"/>
              <w:jc w:val="center"/>
              <w:rPr>
                <w:rFonts w:ascii="仿宋_GB2312"/>
                <w:snapToGrid w:val="0"/>
                <w:sz w:val="21"/>
                <w:szCs w:val="21"/>
              </w:rPr>
            </w:pPr>
          </w:p>
        </w:tc>
        <w:tc>
          <w:tcPr>
            <w:tcW w:w="650" w:type="pct"/>
            <w:vAlign w:val="center"/>
          </w:tcPr>
          <w:p w14:paraId="1F70086F">
            <w:pPr>
              <w:adjustRightInd w:val="0"/>
              <w:spacing w:line="240" w:lineRule="auto"/>
              <w:jc w:val="center"/>
              <w:rPr>
                <w:rFonts w:ascii="仿宋_GB2312"/>
                <w:snapToGrid w:val="0"/>
                <w:sz w:val="21"/>
                <w:szCs w:val="21"/>
              </w:rPr>
            </w:pPr>
            <w:r>
              <w:rPr>
                <w:rFonts w:hint="eastAsia" w:ascii="仿宋_GB2312"/>
                <w:snapToGrid w:val="0"/>
                <w:sz w:val="21"/>
                <w:szCs w:val="21"/>
              </w:rPr>
              <w:t>24</w:t>
            </w:r>
          </w:p>
        </w:tc>
        <w:tc>
          <w:tcPr>
            <w:tcW w:w="3292" w:type="pct"/>
            <w:vAlign w:val="center"/>
          </w:tcPr>
          <w:p w14:paraId="60DD2DDA">
            <w:pPr>
              <w:adjustRightInd w:val="0"/>
              <w:spacing w:line="240" w:lineRule="auto"/>
              <w:rPr>
                <w:rFonts w:ascii="仿宋_GB2312"/>
                <w:snapToGrid w:val="0"/>
                <w:sz w:val="21"/>
                <w:szCs w:val="21"/>
              </w:rPr>
            </w:pPr>
            <w:r>
              <w:rPr>
                <w:rFonts w:hint="eastAsia" w:ascii="仿宋_GB2312"/>
                <w:snapToGrid w:val="0"/>
                <w:sz w:val="21"/>
                <w:szCs w:val="21"/>
              </w:rPr>
              <w:t>“资源码”试点</w:t>
            </w:r>
          </w:p>
        </w:tc>
      </w:tr>
      <w:tr w14:paraId="1E06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12D46C0F">
            <w:pPr>
              <w:adjustRightInd w:val="0"/>
              <w:spacing w:line="240" w:lineRule="auto"/>
              <w:jc w:val="center"/>
              <w:rPr>
                <w:rFonts w:ascii="仿宋_GB2312"/>
                <w:snapToGrid w:val="0"/>
                <w:sz w:val="21"/>
                <w:szCs w:val="21"/>
              </w:rPr>
            </w:pPr>
          </w:p>
        </w:tc>
        <w:tc>
          <w:tcPr>
            <w:tcW w:w="650" w:type="pct"/>
            <w:vAlign w:val="center"/>
          </w:tcPr>
          <w:p w14:paraId="11A4DCAB">
            <w:pPr>
              <w:adjustRightInd w:val="0"/>
              <w:spacing w:line="240" w:lineRule="auto"/>
              <w:jc w:val="center"/>
              <w:rPr>
                <w:rFonts w:ascii="仿宋_GB2312"/>
                <w:snapToGrid w:val="0"/>
                <w:sz w:val="21"/>
                <w:szCs w:val="21"/>
              </w:rPr>
            </w:pPr>
            <w:r>
              <w:rPr>
                <w:rFonts w:hint="eastAsia" w:ascii="仿宋_GB2312"/>
                <w:snapToGrid w:val="0"/>
                <w:sz w:val="21"/>
                <w:szCs w:val="21"/>
              </w:rPr>
              <w:t>25</w:t>
            </w:r>
          </w:p>
        </w:tc>
        <w:tc>
          <w:tcPr>
            <w:tcW w:w="3292" w:type="pct"/>
            <w:vAlign w:val="center"/>
          </w:tcPr>
          <w:p w14:paraId="45E2233C">
            <w:pPr>
              <w:adjustRightInd w:val="0"/>
              <w:spacing w:line="240" w:lineRule="auto"/>
              <w:rPr>
                <w:rFonts w:ascii="仿宋_GB2312"/>
                <w:snapToGrid w:val="0"/>
                <w:sz w:val="21"/>
                <w:szCs w:val="21"/>
              </w:rPr>
            </w:pPr>
            <w:r>
              <w:rPr>
                <w:rFonts w:hint="eastAsia" w:ascii="仿宋_GB2312"/>
                <w:snapToGrid w:val="0"/>
                <w:sz w:val="21"/>
                <w:szCs w:val="21"/>
              </w:rPr>
              <w:t>“无废城市”试点</w:t>
            </w:r>
          </w:p>
        </w:tc>
      </w:tr>
      <w:tr w14:paraId="0824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8" w:type="pct"/>
            <w:vMerge w:val="continue"/>
            <w:vAlign w:val="center"/>
          </w:tcPr>
          <w:p w14:paraId="2F6E4D77">
            <w:pPr>
              <w:adjustRightInd w:val="0"/>
              <w:spacing w:line="240" w:lineRule="auto"/>
              <w:jc w:val="center"/>
              <w:rPr>
                <w:rFonts w:ascii="仿宋_GB2312"/>
                <w:snapToGrid w:val="0"/>
                <w:sz w:val="21"/>
                <w:szCs w:val="21"/>
              </w:rPr>
            </w:pPr>
          </w:p>
        </w:tc>
        <w:tc>
          <w:tcPr>
            <w:tcW w:w="650" w:type="pct"/>
            <w:vAlign w:val="center"/>
          </w:tcPr>
          <w:p w14:paraId="35DB22EB">
            <w:pPr>
              <w:adjustRightInd w:val="0"/>
              <w:spacing w:line="240" w:lineRule="auto"/>
              <w:jc w:val="center"/>
              <w:rPr>
                <w:rFonts w:ascii="仿宋_GB2312"/>
                <w:snapToGrid w:val="0"/>
                <w:sz w:val="21"/>
                <w:szCs w:val="21"/>
              </w:rPr>
            </w:pPr>
            <w:r>
              <w:rPr>
                <w:rFonts w:hint="eastAsia" w:ascii="仿宋_GB2312"/>
                <w:snapToGrid w:val="0"/>
                <w:sz w:val="21"/>
                <w:szCs w:val="21"/>
              </w:rPr>
              <w:t>26</w:t>
            </w:r>
          </w:p>
        </w:tc>
        <w:tc>
          <w:tcPr>
            <w:tcW w:w="3292" w:type="pct"/>
            <w:vAlign w:val="center"/>
          </w:tcPr>
          <w:p w14:paraId="33147D96">
            <w:pPr>
              <w:adjustRightInd w:val="0"/>
              <w:spacing w:line="240" w:lineRule="auto"/>
              <w:rPr>
                <w:rFonts w:ascii="仿宋_GB2312"/>
                <w:snapToGrid w:val="0"/>
                <w:sz w:val="21"/>
                <w:szCs w:val="21"/>
              </w:rPr>
            </w:pPr>
            <w:r>
              <w:rPr>
                <w:rFonts w:hint="eastAsia" w:ascii="仿宋_GB2312"/>
                <w:snapToGrid w:val="0"/>
                <w:sz w:val="21"/>
                <w:szCs w:val="21"/>
              </w:rPr>
              <w:t>生态文明试点示范</w:t>
            </w:r>
          </w:p>
        </w:tc>
      </w:tr>
    </w:tbl>
    <w:p w14:paraId="13BC689A">
      <w:pPr>
        <w:rPr>
          <w:rFonts w:ascii="黑体" w:hAnsi="黑体" w:eastAsia="黑体"/>
        </w:rPr>
      </w:pPr>
      <w:r>
        <w:rPr>
          <w:rFonts w:ascii="黑体" w:hAnsi="黑体" w:eastAsia="黑体"/>
        </w:rPr>
        <w:t>二、重大政策清单</w:t>
      </w:r>
    </w:p>
    <w:tbl>
      <w:tblPr>
        <w:tblStyle w:val="14"/>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1134"/>
        <w:gridCol w:w="5808"/>
      </w:tblGrid>
      <w:tr w14:paraId="1451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57" w:type="pct"/>
            <w:vAlign w:val="center"/>
          </w:tcPr>
          <w:p w14:paraId="7526C540">
            <w:pPr>
              <w:adjustRightInd w:val="0"/>
              <w:spacing w:line="240" w:lineRule="auto"/>
              <w:jc w:val="center"/>
              <w:rPr>
                <w:rFonts w:ascii="仿宋_GB2312"/>
                <w:b/>
                <w:snapToGrid w:val="0"/>
                <w:sz w:val="21"/>
                <w:szCs w:val="21"/>
              </w:rPr>
            </w:pPr>
            <w:r>
              <w:rPr>
                <w:rFonts w:ascii="仿宋_GB2312"/>
                <w:b/>
                <w:snapToGrid w:val="0"/>
                <w:sz w:val="21"/>
                <w:szCs w:val="21"/>
              </w:rPr>
              <w:t>类别</w:t>
            </w:r>
          </w:p>
        </w:tc>
        <w:tc>
          <w:tcPr>
            <w:tcW w:w="644" w:type="pct"/>
            <w:vAlign w:val="center"/>
          </w:tcPr>
          <w:p w14:paraId="02627897">
            <w:pPr>
              <w:adjustRightInd w:val="0"/>
              <w:spacing w:line="240" w:lineRule="auto"/>
              <w:jc w:val="center"/>
              <w:rPr>
                <w:rFonts w:ascii="仿宋_GB2312"/>
                <w:b/>
                <w:snapToGrid w:val="0"/>
                <w:sz w:val="21"/>
                <w:szCs w:val="21"/>
              </w:rPr>
            </w:pPr>
            <w:r>
              <w:rPr>
                <w:rFonts w:ascii="仿宋_GB2312"/>
                <w:b/>
                <w:snapToGrid w:val="0"/>
                <w:sz w:val="21"/>
                <w:szCs w:val="21"/>
              </w:rPr>
              <w:t>序号</w:t>
            </w:r>
          </w:p>
        </w:tc>
        <w:tc>
          <w:tcPr>
            <w:tcW w:w="3299" w:type="pct"/>
            <w:vAlign w:val="center"/>
          </w:tcPr>
          <w:p w14:paraId="126D5F56">
            <w:pPr>
              <w:adjustRightInd w:val="0"/>
              <w:spacing w:line="240" w:lineRule="auto"/>
              <w:jc w:val="center"/>
              <w:rPr>
                <w:rFonts w:ascii="仿宋_GB2312"/>
                <w:b/>
                <w:snapToGrid w:val="0"/>
                <w:sz w:val="21"/>
                <w:szCs w:val="21"/>
              </w:rPr>
            </w:pPr>
            <w:r>
              <w:rPr>
                <w:rFonts w:ascii="仿宋_GB2312"/>
                <w:b/>
                <w:snapToGrid w:val="0"/>
                <w:sz w:val="21"/>
                <w:szCs w:val="21"/>
              </w:rPr>
              <w:t>政策名称</w:t>
            </w:r>
          </w:p>
        </w:tc>
      </w:tr>
      <w:tr w14:paraId="1A09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restart"/>
            <w:vAlign w:val="center"/>
          </w:tcPr>
          <w:p w14:paraId="0A3590EB">
            <w:pPr>
              <w:adjustRightInd w:val="0"/>
              <w:spacing w:line="240" w:lineRule="auto"/>
              <w:jc w:val="center"/>
              <w:rPr>
                <w:rFonts w:ascii="仿宋_GB2312"/>
                <w:snapToGrid w:val="0"/>
                <w:sz w:val="21"/>
                <w:szCs w:val="21"/>
              </w:rPr>
            </w:pPr>
            <w:r>
              <w:rPr>
                <w:rFonts w:ascii="仿宋_GB2312"/>
                <w:snapToGrid w:val="0"/>
                <w:sz w:val="21"/>
                <w:szCs w:val="21"/>
              </w:rPr>
              <w:t>产业培育（3）</w:t>
            </w:r>
          </w:p>
        </w:tc>
        <w:tc>
          <w:tcPr>
            <w:tcW w:w="644" w:type="pct"/>
            <w:vAlign w:val="center"/>
          </w:tcPr>
          <w:p w14:paraId="55E9E62E">
            <w:pPr>
              <w:adjustRightInd w:val="0"/>
              <w:spacing w:line="240" w:lineRule="auto"/>
              <w:jc w:val="center"/>
              <w:rPr>
                <w:rFonts w:ascii="仿宋_GB2312"/>
                <w:snapToGrid w:val="0"/>
                <w:sz w:val="21"/>
                <w:szCs w:val="21"/>
              </w:rPr>
            </w:pPr>
            <w:r>
              <w:rPr>
                <w:rFonts w:ascii="仿宋_GB2312"/>
                <w:snapToGrid w:val="0"/>
                <w:sz w:val="21"/>
                <w:szCs w:val="21"/>
              </w:rPr>
              <w:t>1</w:t>
            </w:r>
          </w:p>
        </w:tc>
        <w:tc>
          <w:tcPr>
            <w:tcW w:w="3299" w:type="pct"/>
            <w:vAlign w:val="center"/>
          </w:tcPr>
          <w:p w14:paraId="7DA97C9E">
            <w:pPr>
              <w:adjustRightInd w:val="0"/>
              <w:spacing w:line="240" w:lineRule="auto"/>
              <w:rPr>
                <w:rFonts w:ascii="仿宋_GB2312"/>
                <w:snapToGrid w:val="0"/>
                <w:sz w:val="21"/>
                <w:szCs w:val="21"/>
              </w:rPr>
            </w:pPr>
            <w:r>
              <w:rPr>
                <w:rFonts w:ascii="仿宋_GB2312"/>
                <w:snapToGrid w:val="0"/>
                <w:sz w:val="21"/>
                <w:szCs w:val="21"/>
              </w:rPr>
              <w:t>加快推进工业经济高质量发展</w:t>
            </w:r>
          </w:p>
        </w:tc>
      </w:tr>
      <w:tr w14:paraId="4A69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6C8EC0E0">
            <w:pPr>
              <w:adjustRightInd w:val="0"/>
              <w:spacing w:line="240" w:lineRule="auto"/>
              <w:jc w:val="center"/>
              <w:rPr>
                <w:rFonts w:ascii="仿宋_GB2312"/>
                <w:snapToGrid w:val="0"/>
                <w:sz w:val="21"/>
                <w:szCs w:val="21"/>
              </w:rPr>
            </w:pPr>
          </w:p>
        </w:tc>
        <w:tc>
          <w:tcPr>
            <w:tcW w:w="644" w:type="pct"/>
            <w:vAlign w:val="center"/>
          </w:tcPr>
          <w:p w14:paraId="041D1950">
            <w:pPr>
              <w:adjustRightInd w:val="0"/>
              <w:spacing w:line="240" w:lineRule="auto"/>
              <w:jc w:val="center"/>
              <w:rPr>
                <w:rFonts w:ascii="仿宋_GB2312"/>
                <w:snapToGrid w:val="0"/>
                <w:sz w:val="21"/>
                <w:szCs w:val="21"/>
              </w:rPr>
            </w:pPr>
            <w:r>
              <w:rPr>
                <w:rFonts w:ascii="仿宋_GB2312"/>
                <w:snapToGrid w:val="0"/>
                <w:sz w:val="21"/>
                <w:szCs w:val="21"/>
              </w:rPr>
              <w:t>2</w:t>
            </w:r>
          </w:p>
        </w:tc>
        <w:tc>
          <w:tcPr>
            <w:tcW w:w="3299" w:type="pct"/>
            <w:vAlign w:val="center"/>
          </w:tcPr>
          <w:p w14:paraId="6875AEB3">
            <w:pPr>
              <w:adjustRightInd w:val="0"/>
              <w:spacing w:line="240" w:lineRule="auto"/>
              <w:rPr>
                <w:rFonts w:ascii="仿宋_GB2312"/>
                <w:snapToGrid w:val="0"/>
                <w:sz w:val="21"/>
                <w:szCs w:val="21"/>
              </w:rPr>
            </w:pPr>
            <w:r>
              <w:rPr>
                <w:rFonts w:ascii="仿宋_GB2312"/>
                <w:snapToGrid w:val="0"/>
                <w:sz w:val="21"/>
                <w:szCs w:val="21"/>
              </w:rPr>
              <w:t>加快推进质量强县建设</w:t>
            </w:r>
          </w:p>
        </w:tc>
      </w:tr>
      <w:tr w14:paraId="2585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59795C74">
            <w:pPr>
              <w:adjustRightInd w:val="0"/>
              <w:spacing w:line="240" w:lineRule="auto"/>
              <w:jc w:val="center"/>
              <w:rPr>
                <w:rFonts w:ascii="仿宋_GB2312"/>
                <w:snapToGrid w:val="0"/>
                <w:sz w:val="21"/>
                <w:szCs w:val="21"/>
              </w:rPr>
            </w:pPr>
          </w:p>
        </w:tc>
        <w:tc>
          <w:tcPr>
            <w:tcW w:w="644" w:type="pct"/>
            <w:vAlign w:val="center"/>
          </w:tcPr>
          <w:p w14:paraId="2F7E2525">
            <w:pPr>
              <w:adjustRightInd w:val="0"/>
              <w:spacing w:line="240" w:lineRule="auto"/>
              <w:jc w:val="center"/>
              <w:rPr>
                <w:rFonts w:ascii="仿宋_GB2312"/>
                <w:snapToGrid w:val="0"/>
                <w:sz w:val="21"/>
                <w:szCs w:val="21"/>
              </w:rPr>
            </w:pPr>
            <w:r>
              <w:rPr>
                <w:rFonts w:ascii="仿宋_GB2312"/>
                <w:snapToGrid w:val="0"/>
                <w:sz w:val="21"/>
                <w:szCs w:val="21"/>
              </w:rPr>
              <w:t>3</w:t>
            </w:r>
          </w:p>
        </w:tc>
        <w:tc>
          <w:tcPr>
            <w:tcW w:w="3299" w:type="pct"/>
            <w:vAlign w:val="center"/>
          </w:tcPr>
          <w:p w14:paraId="1F2DC950">
            <w:pPr>
              <w:adjustRightInd w:val="0"/>
              <w:spacing w:line="240" w:lineRule="auto"/>
              <w:rPr>
                <w:rFonts w:ascii="仿宋_GB2312"/>
                <w:snapToGrid w:val="0"/>
                <w:sz w:val="21"/>
                <w:szCs w:val="21"/>
              </w:rPr>
            </w:pPr>
            <w:r>
              <w:rPr>
                <w:rFonts w:ascii="仿宋_GB2312"/>
                <w:snapToGrid w:val="0"/>
                <w:sz w:val="21"/>
                <w:szCs w:val="21"/>
              </w:rPr>
              <w:t>发展壮大村级集体经济</w:t>
            </w:r>
          </w:p>
        </w:tc>
      </w:tr>
      <w:tr w14:paraId="4847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restart"/>
            <w:vAlign w:val="center"/>
          </w:tcPr>
          <w:p w14:paraId="4589EE6A">
            <w:pPr>
              <w:adjustRightInd w:val="0"/>
              <w:spacing w:line="240" w:lineRule="auto"/>
              <w:jc w:val="center"/>
              <w:rPr>
                <w:rFonts w:ascii="仿宋_GB2312"/>
                <w:snapToGrid w:val="0"/>
                <w:sz w:val="21"/>
                <w:szCs w:val="21"/>
              </w:rPr>
            </w:pPr>
            <w:r>
              <w:rPr>
                <w:rFonts w:ascii="仿宋_GB2312"/>
                <w:snapToGrid w:val="0"/>
                <w:sz w:val="21"/>
                <w:szCs w:val="21"/>
              </w:rPr>
              <w:t>创业创新（2）</w:t>
            </w:r>
          </w:p>
        </w:tc>
        <w:tc>
          <w:tcPr>
            <w:tcW w:w="644" w:type="pct"/>
            <w:vAlign w:val="center"/>
          </w:tcPr>
          <w:p w14:paraId="7183ABBB">
            <w:pPr>
              <w:adjustRightInd w:val="0"/>
              <w:spacing w:line="240" w:lineRule="auto"/>
              <w:jc w:val="center"/>
              <w:rPr>
                <w:rFonts w:ascii="仿宋_GB2312"/>
                <w:snapToGrid w:val="0"/>
                <w:sz w:val="21"/>
                <w:szCs w:val="21"/>
              </w:rPr>
            </w:pPr>
            <w:r>
              <w:rPr>
                <w:rFonts w:ascii="仿宋_GB2312"/>
                <w:snapToGrid w:val="0"/>
                <w:sz w:val="21"/>
                <w:szCs w:val="21"/>
              </w:rPr>
              <w:t>4</w:t>
            </w:r>
          </w:p>
        </w:tc>
        <w:tc>
          <w:tcPr>
            <w:tcW w:w="3299" w:type="pct"/>
            <w:vAlign w:val="center"/>
          </w:tcPr>
          <w:p w14:paraId="5548CD8D">
            <w:pPr>
              <w:adjustRightInd w:val="0"/>
              <w:spacing w:line="240" w:lineRule="auto"/>
              <w:rPr>
                <w:rFonts w:ascii="仿宋_GB2312"/>
                <w:snapToGrid w:val="0"/>
                <w:sz w:val="21"/>
                <w:szCs w:val="21"/>
              </w:rPr>
            </w:pPr>
            <w:r>
              <w:rPr>
                <w:rFonts w:ascii="仿宋_GB2312"/>
                <w:snapToGrid w:val="0"/>
                <w:sz w:val="21"/>
                <w:szCs w:val="21"/>
              </w:rPr>
              <w:t>实施新时代人才强县战略</w:t>
            </w:r>
          </w:p>
        </w:tc>
      </w:tr>
      <w:tr w14:paraId="33B6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3A0D5800">
            <w:pPr>
              <w:adjustRightInd w:val="0"/>
              <w:spacing w:line="240" w:lineRule="auto"/>
              <w:jc w:val="center"/>
              <w:rPr>
                <w:rFonts w:ascii="仿宋_GB2312"/>
                <w:snapToGrid w:val="0"/>
                <w:sz w:val="21"/>
                <w:szCs w:val="21"/>
              </w:rPr>
            </w:pPr>
          </w:p>
        </w:tc>
        <w:tc>
          <w:tcPr>
            <w:tcW w:w="644" w:type="pct"/>
            <w:vAlign w:val="center"/>
          </w:tcPr>
          <w:p w14:paraId="44F560FD">
            <w:pPr>
              <w:adjustRightInd w:val="0"/>
              <w:spacing w:line="240" w:lineRule="auto"/>
              <w:jc w:val="center"/>
              <w:rPr>
                <w:rFonts w:ascii="仿宋_GB2312"/>
                <w:snapToGrid w:val="0"/>
                <w:sz w:val="21"/>
                <w:szCs w:val="21"/>
              </w:rPr>
            </w:pPr>
            <w:r>
              <w:rPr>
                <w:rFonts w:ascii="仿宋_GB2312"/>
                <w:snapToGrid w:val="0"/>
                <w:sz w:val="21"/>
                <w:szCs w:val="21"/>
              </w:rPr>
              <w:t>5</w:t>
            </w:r>
          </w:p>
        </w:tc>
        <w:tc>
          <w:tcPr>
            <w:tcW w:w="3299" w:type="pct"/>
            <w:vAlign w:val="center"/>
          </w:tcPr>
          <w:p w14:paraId="727F083A">
            <w:pPr>
              <w:adjustRightInd w:val="0"/>
              <w:spacing w:line="240" w:lineRule="auto"/>
              <w:rPr>
                <w:rFonts w:ascii="仿宋_GB2312"/>
                <w:snapToGrid w:val="0"/>
                <w:sz w:val="21"/>
                <w:szCs w:val="21"/>
              </w:rPr>
            </w:pPr>
            <w:r>
              <w:rPr>
                <w:rFonts w:ascii="仿宋_GB2312"/>
                <w:snapToGrid w:val="0"/>
                <w:sz w:val="21"/>
                <w:szCs w:val="21"/>
              </w:rPr>
              <w:t>知识产权扶持企业发展专项政策</w:t>
            </w:r>
          </w:p>
        </w:tc>
      </w:tr>
      <w:tr w14:paraId="7874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Align w:val="center"/>
          </w:tcPr>
          <w:p w14:paraId="444DF29A">
            <w:pPr>
              <w:adjustRightInd w:val="0"/>
              <w:spacing w:line="240" w:lineRule="auto"/>
              <w:jc w:val="center"/>
              <w:rPr>
                <w:rFonts w:ascii="仿宋_GB2312"/>
                <w:snapToGrid w:val="0"/>
                <w:sz w:val="21"/>
                <w:szCs w:val="21"/>
              </w:rPr>
            </w:pPr>
            <w:r>
              <w:rPr>
                <w:rFonts w:ascii="仿宋_GB2312"/>
                <w:snapToGrid w:val="0"/>
                <w:sz w:val="21"/>
                <w:szCs w:val="21"/>
              </w:rPr>
              <w:t>开放合作（1）</w:t>
            </w:r>
          </w:p>
        </w:tc>
        <w:tc>
          <w:tcPr>
            <w:tcW w:w="644" w:type="pct"/>
            <w:vAlign w:val="center"/>
          </w:tcPr>
          <w:p w14:paraId="1A6D3CFC">
            <w:pPr>
              <w:adjustRightInd w:val="0"/>
              <w:spacing w:line="240" w:lineRule="auto"/>
              <w:jc w:val="center"/>
              <w:rPr>
                <w:rFonts w:ascii="仿宋_GB2312"/>
                <w:snapToGrid w:val="0"/>
                <w:sz w:val="21"/>
                <w:szCs w:val="21"/>
              </w:rPr>
            </w:pPr>
            <w:r>
              <w:rPr>
                <w:rFonts w:ascii="仿宋_GB2312"/>
                <w:snapToGrid w:val="0"/>
                <w:sz w:val="21"/>
                <w:szCs w:val="21"/>
              </w:rPr>
              <w:t>6</w:t>
            </w:r>
          </w:p>
        </w:tc>
        <w:tc>
          <w:tcPr>
            <w:tcW w:w="3299" w:type="pct"/>
            <w:vAlign w:val="center"/>
          </w:tcPr>
          <w:p w14:paraId="257FB551">
            <w:pPr>
              <w:adjustRightInd w:val="0"/>
              <w:spacing w:line="240" w:lineRule="auto"/>
              <w:rPr>
                <w:rFonts w:ascii="仿宋_GB2312"/>
                <w:snapToGrid w:val="0"/>
                <w:sz w:val="21"/>
                <w:szCs w:val="21"/>
              </w:rPr>
            </w:pPr>
            <w:r>
              <w:rPr>
                <w:rFonts w:ascii="仿宋_GB2312"/>
                <w:snapToGrid w:val="0"/>
                <w:sz w:val="21"/>
                <w:szCs w:val="21"/>
              </w:rPr>
              <w:t>长三角产业合作区</w:t>
            </w:r>
          </w:p>
        </w:tc>
      </w:tr>
      <w:tr w14:paraId="7B63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restart"/>
            <w:vAlign w:val="center"/>
          </w:tcPr>
          <w:p w14:paraId="103A7BDA">
            <w:pPr>
              <w:adjustRightInd w:val="0"/>
              <w:spacing w:line="240" w:lineRule="auto"/>
              <w:jc w:val="center"/>
              <w:rPr>
                <w:rFonts w:ascii="仿宋_GB2312"/>
                <w:snapToGrid w:val="0"/>
                <w:sz w:val="21"/>
                <w:szCs w:val="21"/>
              </w:rPr>
            </w:pPr>
            <w:r>
              <w:rPr>
                <w:rFonts w:ascii="仿宋_GB2312"/>
                <w:snapToGrid w:val="0"/>
                <w:sz w:val="21"/>
                <w:szCs w:val="21"/>
              </w:rPr>
              <w:t>社会民生（4）</w:t>
            </w:r>
          </w:p>
        </w:tc>
        <w:tc>
          <w:tcPr>
            <w:tcW w:w="644" w:type="pct"/>
            <w:vAlign w:val="center"/>
          </w:tcPr>
          <w:p w14:paraId="4ADB2A7D">
            <w:pPr>
              <w:adjustRightInd w:val="0"/>
              <w:spacing w:line="240" w:lineRule="auto"/>
              <w:jc w:val="center"/>
              <w:rPr>
                <w:rFonts w:ascii="仿宋_GB2312"/>
                <w:snapToGrid w:val="0"/>
                <w:sz w:val="21"/>
                <w:szCs w:val="21"/>
              </w:rPr>
            </w:pPr>
            <w:r>
              <w:rPr>
                <w:rFonts w:ascii="仿宋_GB2312"/>
                <w:snapToGrid w:val="0"/>
                <w:sz w:val="21"/>
                <w:szCs w:val="21"/>
              </w:rPr>
              <w:t>7</w:t>
            </w:r>
          </w:p>
        </w:tc>
        <w:tc>
          <w:tcPr>
            <w:tcW w:w="3299" w:type="pct"/>
            <w:vAlign w:val="center"/>
          </w:tcPr>
          <w:p w14:paraId="79B93A02">
            <w:pPr>
              <w:adjustRightInd w:val="0"/>
              <w:spacing w:line="240" w:lineRule="auto"/>
              <w:rPr>
                <w:rFonts w:ascii="仿宋_GB2312"/>
                <w:snapToGrid w:val="0"/>
                <w:sz w:val="21"/>
                <w:szCs w:val="21"/>
              </w:rPr>
            </w:pPr>
            <w:r>
              <w:rPr>
                <w:rFonts w:ascii="仿宋_GB2312"/>
                <w:snapToGrid w:val="0"/>
                <w:sz w:val="21"/>
                <w:szCs w:val="21"/>
              </w:rPr>
              <w:t>人才安居工程</w:t>
            </w:r>
          </w:p>
        </w:tc>
      </w:tr>
      <w:tr w14:paraId="4A81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480203BA">
            <w:pPr>
              <w:adjustRightInd w:val="0"/>
              <w:spacing w:line="240" w:lineRule="auto"/>
              <w:jc w:val="center"/>
              <w:rPr>
                <w:rFonts w:ascii="仿宋_GB2312"/>
                <w:snapToGrid w:val="0"/>
                <w:sz w:val="21"/>
                <w:szCs w:val="21"/>
              </w:rPr>
            </w:pPr>
          </w:p>
        </w:tc>
        <w:tc>
          <w:tcPr>
            <w:tcW w:w="644" w:type="pct"/>
            <w:vAlign w:val="center"/>
          </w:tcPr>
          <w:p w14:paraId="39F5AEEF">
            <w:pPr>
              <w:adjustRightInd w:val="0"/>
              <w:spacing w:line="240" w:lineRule="auto"/>
              <w:jc w:val="center"/>
              <w:rPr>
                <w:rFonts w:ascii="仿宋_GB2312"/>
                <w:snapToGrid w:val="0"/>
                <w:sz w:val="21"/>
                <w:szCs w:val="21"/>
              </w:rPr>
            </w:pPr>
            <w:r>
              <w:rPr>
                <w:rFonts w:ascii="仿宋_GB2312"/>
                <w:snapToGrid w:val="0"/>
                <w:sz w:val="21"/>
                <w:szCs w:val="21"/>
              </w:rPr>
              <w:t>8</w:t>
            </w:r>
          </w:p>
        </w:tc>
        <w:tc>
          <w:tcPr>
            <w:tcW w:w="3299" w:type="pct"/>
            <w:vAlign w:val="center"/>
          </w:tcPr>
          <w:p w14:paraId="0B250BF6">
            <w:pPr>
              <w:adjustRightInd w:val="0"/>
              <w:spacing w:line="240" w:lineRule="auto"/>
              <w:rPr>
                <w:rFonts w:ascii="仿宋_GB2312"/>
                <w:snapToGrid w:val="0"/>
                <w:sz w:val="21"/>
                <w:szCs w:val="21"/>
              </w:rPr>
            </w:pPr>
            <w:r>
              <w:rPr>
                <w:rFonts w:ascii="仿宋_GB2312"/>
                <w:snapToGrid w:val="0"/>
                <w:sz w:val="21"/>
                <w:szCs w:val="21"/>
              </w:rPr>
              <w:t>完善康养体系推进养老服务发展</w:t>
            </w:r>
          </w:p>
        </w:tc>
      </w:tr>
      <w:tr w14:paraId="7C6E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7B488EEA">
            <w:pPr>
              <w:adjustRightInd w:val="0"/>
              <w:spacing w:line="240" w:lineRule="auto"/>
              <w:jc w:val="center"/>
              <w:rPr>
                <w:rFonts w:ascii="仿宋_GB2312"/>
                <w:snapToGrid w:val="0"/>
                <w:sz w:val="21"/>
                <w:szCs w:val="21"/>
              </w:rPr>
            </w:pPr>
          </w:p>
        </w:tc>
        <w:tc>
          <w:tcPr>
            <w:tcW w:w="644" w:type="pct"/>
            <w:vAlign w:val="center"/>
          </w:tcPr>
          <w:p w14:paraId="5862555B">
            <w:pPr>
              <w:adjustRightInd w:val="0"/>
              <w:spacing w:line="240" w:lineRule="auto"/>
              <w:jc w:val="center"/>
              <w:rPr>
                <w:rFonts w:ascii="仿宋_GB2312"/>
                <w:snapToGrid w:val="0"/>
                <w:sz w:val="21"/>
                <w:szCs w:val="21"/>
              </w:rPr>
            </w:pPr>
            <w:r>
              <w:rPr>
                <w:rFonts w:ascii="仿宋_GB2312"/>
                <w:snapToGrid w:val="0"/>
                <w:sz w:val="21"/>
                <w:szCs w:val="21"/>
              </w:rPr>
              <w:t>9</w:t>
            </w:r>
          </w:p>
        </w:tc>
        <w:tc>
          <w:tcPr>
            <w:tcW w:w="3299" w:type="pct"/>
            <w:vAlign w:val="center"/>
          </w:tcPr>
          <w:p w14:paraId="006FFF80">
            <w:pPr>
              <w:adjustRightInd w:val="0"/>
              <w:spacing w:line="240" w:lineRule="auto"/>
              <w:rPr>
                <w:rFonts w:ascii="仿宋_GB2312"/>
                <w:snapToGrid w:val="0"/>
                <w:sz w:val="21"/>
                <w:szCs w:val="21"/>
              </w:rPr>
            </w:pPr>
            <w:r>
              <w:rPr>
                <w:rFonts w:ascii="仿宋_GB2312"/>
                <w:snapToGrid w:val="0"/>
                <w:sz w:val="21"/>
                <w:szCs w:val="21"/>
              </w:rPr>
              <w:t>3岁以下婴幼儿照护服务</w:t>
            </w:r>
          </w:p>
        </w:tc>
      </w:tr>
      <w:tr w14:paraId="380F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7" w:type="pct"/>
            <w:vMerge w:val="continue"/>
            <w:vAlign w:val="center"/>
          </w:tcPr>
          <w:p w14:paraId="5B32A21E">
            <w:pPr>
              <w:adjustRightInd w:val="0"/>
              <w:spacing w:line="240" w:lineRule="auto"/>
              <w:jc w:val="center"/>
              <w:rPr>
                <w:rFonts w:ascii="仿宋_GB2312"/>
                <w:snapToGrid w:val="0"/>
                <w:sz w:val="21"/>
                <w:szCs w:val="21"/>
              </w:rPr>
            </w:pPr>
          </w:p>
        </w:tc>
        <w:tc>
          <w:tcPr>
            <w:tcW w:w="644" w:type="pct"/>
            <w:vAlign w:val="center"/>
          </w:tcPr>
          <w:p w14:paraId="7EB5BBD0">
            <w:pPr>
              <w:adjustRightInd w:val="0"/>
              <w:spacing w:line="240" w:lineRule="auto"/>
              <w:jc w:val="center"/>
              <w:rPr>
                <w:rFonts w:ascii="仿宋_GB2312"/>
                <w:snapToGrid w:val="0"/>
                <w:sz w:val="21"/>
                <w:szCs w:val="21"/>
              </w:rPr>
            </w:pPr>
            <w:r>
              <w:rPr>
                <w:rFonts w:ascii="仿宋_GB2312"/>
                <w:snapToGrid w:val="0"/>
                <w:sz w:val="21"/>
                <w:szCs w:val="21"/>
              </w:rPr>
              <w:t>10</w:t>
            </w:r>
          </w:p>
        </w:tc>
        <w:tc>
          <w:tcPr>
            <w:tcW w:w="3299" w:type="pct"/>
            <w:vAlign w:val="center"/>
          </w:tcPr>
          <w:p w14:paraId="0214E040">
            <w:pPr>
              <w:adjustRightInd w:val="0"/>
              <w:spacing w:line="240" w:lineRule="auto"/>
              <w:rPr>
                <w:rFonts w:ascii="仿宋_GB2312"/>
                <w:snapToGrid w:val="0"/>
                <w:sz w:val="21"/>
                <w:szCs w:val="21"/>
              </w:rPr>
            </w:pPr>
            <w:r>
              <w:rPr>
                <w:rFonts w:ascii="仿宋_GB2312"/>
                <w:snapToGrid w:val="0"/>
                <w:sz w:val="21"/>
                <w:szCs w:val="21"/>
              </w:rPr>
              <w:t>构建现代环境治理体系</w:t>
            </w:r>
          </w:p>
        </w:tc>
      </w:tr>
    </w:tbl>
    <w:p w14:paraId="6DFDA085">
      <w:pPr>
        <w:pStyle w:val="32"/>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三、重大平台清单</w:t>
      </w:r>
    </w:p>
    <w:tbl>
      <w:tblPr>
        <w:tblStyle w:val="14"/>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199"/>
        <w:gridCol w:w="5834"/>
      </w:tblGrid>
      <w:tr w14:paraId="0C22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Align w:val="center"/>
          </w:tcPr>
          <w:p w14:paraId="29C24EA9">
            <w:pPr>
              <w:adjustRightInd w:val="0"/>
              <w:spacing w:line="240" w:lineRule="auto"/>
              <w:jc w:val="center"/>
              <w:rPr>
                <w:rFonts w:ascii="仿宋_GB2312"/>
                <w:b/>
                <w:snapToGrid w:val="0"/>
                <w:sz w:val="21"/>
                <w:szCs w:val="21"/>
              </w:rPr>
            </w:pPr>
            <w:r>
              <w:rPr>
                <w:rFonts w:ascii="仿宋_GB2312"/>
                <w:b/>
                <w:snapToGrid w:val="0"/>
                <w:sz w:val="21"/>
                <w:szCs w:val="21"/>
              </w:rPr>
              <w:t>类别</w:t>
            </w:r>
          </w:p>
        </w:tc>
        <w:tc>
          <w:tcPr>
            <w:tcW w:w="678" w:type="pct"/>
            <w:vAlign w:val="center"/>
          </w:tcPr>
          <w:p w14:paraId="5B11AD63">
            <w:pPr>
              <w:adjustRightInd w:val="0"/>
              <w:spacing w:line="240" w:lineRule="auto"/>
              <w:jc w:val="center"/>
              <w:rPr>
                <w:rFonts w:ascii="仿宋_GB2312"/>
                <w:b/>
                <w:snapToGrid w:val="0"/>
                <w:sz w:val="21"/>
                <w:szCs w:val="21"/>
              </w:rPr>
            </w:pPr>
            <w:r>
              <w:rPr>
                <w:rFonts w:ascii="仿宋_GB2312"/>
                <w:b/>
                <w:snapToGrid w:val="0"/>
                <w:sz w:val="21"/>
                <w:szCs w:val="21"/>
              </w:rPr>
              <w:t>序号</w:t>
            </w:r>
          </w:p>
        </w:tc>
        <w:tc>
          <w:tcPr>
            <w:tcW w:w="3298" w:type="pct"/>
            <w:vAlign w:val="center"/>
          </w:tcPr>
          <w:p w14:paraId="56006817">
            <w:pPr>
              <w:adjustRightInd w:val="0"/>
              <w:spacing w:line="240" w:lineRule="auto"/>
              <w:jc w:val="center"/>
              <w:rPr>
                <w:rFonts w:ascii="仿宋_GB2312"/>
                <w:b/>
                <w:snapToGrid w:val="0"/>
                <w:sz w:val="21"/>
                <w:szCs w:val="21"/>
              </w:rPr>
            </w:pPr>
            <w:r>
              <w:rPr>
                <w:rFonts w:ascii="仿宋_GB2312"/>
                <w:b/>
                <w:snapToGrid w:val="0"/>
                <w:sz w:val="21"/>
                <w:szCs w:val="21"/>
              </w:rPr>
              <w:t>平台名称</w:t>
            </w:r>
          </w:p>
        </w:tc>
      </w:tr>
      <w:tr w14:paraId="3D17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restart"/>
            <w:vAlign w:val="center"/>
          </w:tcPr>
          <w:p w14:paraId="152A6215">
            <w:pPr>
              <w:adjustRightInd w:val="0"/>
              <w:spacing w:line="240" w:lineRule="auto"/>
              <w:jc w:val="center"/>
              <w:rPr>
                <w:rFonts w:ascii="仿宋_GB2312"/>
                <w:snapToGrid w:val="0"/>
                <w:sz w:val="21"/>
                <w:szCs w:val="21"/>
              </w:rPr>
            </w:pPr>
            <w:r>
              <w:rPr>
                <w:rFonts w:ascii="仿宋_GB2312"/>
                <w:snapToGrid w:val="0"/>
                <w:sz w:val="21"/>
                <w:szCs w:val="21"/>
              </w:rPr>
              <w:t>产业类（2）</w:t>
            </w:r>
          </w:p>
        </w:tc>
        <w:tc>
          <w:tcPr>
            <w:tcW w:w="678" w:type="pct"/>
            <w:vAlign w:val="center"/>
          </w:tcPr>
          <w:p w14:paraId="04C4A0BE">
            <w:pPr>
              <w:adjustRightInd w:val="0"/>
              <w:spacing w:line="240" w:lineRule="auto"/>
              <w:jc w:val="center"/>
              <w:rPr>
                <w:rFonts w:ascii="仿宋_GB2312"/>
                <w:snapToGrid w:val="0"/>
                <w:sz w:val="21"/>
                <w:szCs w:val="21"/>
              </w:rPr>
            </w:pPr>
            <w:r>
              <w:rPr>
                <w:rFonts w:ascii="仿宋_GB2312"/>
                <w:snapToGrid w:val="0"/>
                <w:sz w:val="21"/>
                <w:szCs w:val="21"/>
              </w:rPr>
              <w:t>1</w:t>
            </w:r>
          </w:p>
        </w:tc>
        <w:tc>
          <w:tcPr>
            <w:tcW w:w="3298" w:type="pct"/>
            <w:vAlign w:val="center"/>
          </w:tcPr>
          <w:p w14:paraId="0DE789D7">
            <w:pPr>
              <w:adjustRightInd w:val="0"/>
              <w:spacing w:line="240" w:lineRule="auto"/>
              <w:rPr>
                <w:rFonts w:ascii="仿宋_GB2312"/>
                <w:snapToGrid w:val="0"/>
                <w:sz w:val="21"/>
                <w:szCs w:val="21"/>
              </w:rPr>
            </w:pPr>
            <w:r>
              <w:rPr>
                <w:rFonts w:ascii="仿宋_GB2312"/>
                <w:snapToGrid w:val="0"/>
                <w:sz w:val="21"/>
                <w:szCs w:val="21"/>
              </w:rPr>
              <w:t>国家级长兴经济技术开发区</w:t>
            </w:r>
          </w:p>
        </w:tc>
      </w:tr>
      <w:tr w14:paraId="252C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continue"/>
            <w:vAlign w:val="center"/>
          </w:tcPr>
          <w:p w14:paraId="6B546769">
            <w:pPr>
              <w:adjustRightInd w:val="0"/>
              <w:spacing w:line="240" w:lineRule="auto"/>
              <w:jc w:val="center"/>
              <w:rPr>
                <w:rFonts w:ascii="仿宋_GB2312"/>
                <w:snapToGrid w:val="0"/>
                <w:sz w:val="21"/>
                <w:szCs w:val="21"/>
              </w:rPr>
            </w:pPr>
          </w:p>
        </w:tc>
        <w:tc>
          <w:tcPr>
            <w:tcW w:w="678" w:type="pct"/>
            <w:vAlign w:val="center"/>
          </w:tcPr>
          <w:p w14:paraId="448FA8CF">
            <w:pPr>
              <w:adjustRightInd w:val="0"/>
              <w:spacing w:line="240" w:lineRule="auto"/>
              <w:jc w:val="center"/>
              <w:rPr>
                <w:rFonts w:ascii="仿宋_GB2312"/>
                <w:snapToGrid w:val="0"/>
                <w:sz w:val="21"/>
                <w:szCs w:val="21"/>
              </w:rPr>
            </w:pPr>
            <w:r>
              <w:rPr>
                <w:rFonts w:ascii="仿宋_GB2312"/>
                <w:snapToGrid w:val="0"/>
                <w:sz w:val="21"/>
                <w:szCs w:val="21"/>
              </w:rPr>
              <w:t>2</w:t>
            </w:r>
          </w:p>
        </w:tc>
        <w:tc>
          <w:tcPr>
            <w:tcW w:w="3298" w:type="pct"/>
            <w:vAlign w:val="center"/>
          </w:tcPr>
          <w:p w14:paraId="6F2F4109">
            <w:pPr>
              <w:adjustRightInd w:val="0"/>
              <w:spacing w:line="240" w:lineRule="auto"/>
              <w:rPr>
                <w:rFonts w:ascii="仿宋_GB2312"/>
                <w:snapToGrid w:val="0"/>
                <w:sz w:val="21"/>
                <w:szCs w:val="21"/>
              </w:rPr>
            </w:pPr>
            <w:r>
              <w:rPr>
                <w:rFonts w:ascii="仿宋_GB2312"/>
                <w:snapToGrid w:val="0"/>
                <w:sz w:val="21"/>
                <w:szCs w:val="21"/>
              </w:rPr>
              <w:t>长三角产业合作区湖州片区长兴区块</w:t>
            </w:r>
          </w:p>
        </w:tc>
      </w:tr>
      <w:tr w14:paraId="7D83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restart"/>
            <w:vAlign w:val="center"/>
          </w:tcPr>
          <w:p w14:paraId="6CF2F2CC">
            <w:pPr>
              <w:adjustRightInd w:val="0"/>
              <w:spacing w:line="240" w:lineRule="auto"/>
              <w:jc w:val="center"/>
              <w:rPr>
                <w:rFonts w:ascii="仿宋_GB2312"/>
                <w:snapToGrid w:val="0"/>
                <w:sz w:val="21"/>
                <w:szCs w:val="21"/>
              </w:rPr>
            </w:pPr>
            <w:r>
              <w:rPr>
                <w:rFonts w:ascii="仿宋_GB2312"/>
                <w:snapToGrid w:val="0"/>
                <w:sz w:val="21"/>
                <w:szCs w:val="21"/>
              </w:rPr>
              <w:t>科创类（2）</w:t>
            </w:r>
          </w:p>
        </w:tc>
        <w:tc>
          <w:tcPr>
            <w:tcW w:w="678" w:type="pct"/>
            <w:vAlign w:val="center"/>
          </w:tcPr>
          <w:p w14:paraId="78E681B6">
            <w:pPr>
              <w:adjustRightInd w:val="0"/>
              <w:spacing w:line="240" w:lineRule="auto"/>
              <w:jc w:val="center"/>
              <w:rPr>
                <w:rFonts w:ascii="仿宋_GB2312"/>
                <w:snapToGrid w:val="0"/>
                <w:sz w:val="21"/>
                <w:szCs w:val="21"/>
              </w:rPr>
            </w:pPr>
            <w:r>
              <w:rPr>
                <w:rFonts w:ascii="仿宋_GB2312"/>
                <w:snapToGrid w:val="0"/>
                <w:sz w:val="21"/>
                <w:szCs w:val="21"/>
              </w:rPr>
              <w:t>3</w:t>
            </w:r>
          </w:p>
        </w:tc>
        <w:tc>
          <w:tcPr>
            <w:tcW w:w="3298" w:type="pct"/>
            <w:vAlign w:val="center"/>
          </w:tcPr>
          <w:p w14:paraId="4F8A2809">
            <w:pPr>
              <w:adjustRightInd w:val="0"/>
              <w:spacing w:line="240" w:lineRule="auto"/>
              <w:rPr>
                <w:rFonts w:ascii="仿宋_GB2312"/>
                <w:snapToGrid w:val="0"/>
                <w:sz w:val="21"/>
                <w:szCs w:val="21"/>
              </w:rPr>
            </w:pPr>
            <w:r>
              <w:rPr>
                <w:rFonts w:ascii="仿宋_GB2312"/>
                <w:snapToGrid w:val="0"/>
                <w:sz w:val="21"/>
                <w:szCs w:val="21"/>
              </w:rPr>
              <w:t>长兴新能源装备高新技术产业园</w:t>
            </w:r>
          </w:p>
        </w:tc>
      </w:tr>
      <w:tr w14:paraId="3A1C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continue"/>
            <w:vAlign w:val="center"/>
          </w:tcPr>
          <w:p w14:paraId="06786A66">
            <w:pPr>
              <w:adjustRightInd w:val="0"/>
              <w:spacing w:line="240" w:lineRule="auto"/>
              <w:jc w:val="center"/>
              <w:rPr>
                <w:rFonts w:ascii="仿宋_GB2312"/>
                <w:snapToGrid w:val="0"/>
                <w:sz w:val="21"/>
                <w:szCs w:val="21"/>
              </w:rPr>
            </w:pPr>
          </w:p>
        </w:tc>
        <w:tc>
          <w:tcPr>
            <w:tcW w:w="678" w:type="pct"/>
            <w:vAlign w:val="center"/>
          </w:tcPr>
          <w:p w14:paraId="40FB1ACB">
            <w:pPr>
              <w:adjustRightInd w:val="0"/>
              <w:spacing w:line="240" w:lineRule="auto"/>
              <w:jc w:val="center"/>
              <w:rPr>
                <w:rFonts w:ascii="仿宋_GB2312"/>
                <w:snapToGrid w:val="0"/>
                <w:sz w:val="21"/>
                <w:szCs w:val="21"/>
              </w:rPr>
            </w:pPr>
            <w:r>
              <w:rPr>
                <w:rFonts w:ascii="仿宋_GB2312"/>
                <w:snapToGrid w:val="0"/>
                <w:sz w:val="21"/>
                <w:szCs w:val="21"/>
              </w:rPr>
              <w:t>4</w:t>
            </w:r>
          </w:p>
        </w:tc>
        <w:tc>
          <w:tcPr>
            <w:tcW w:w="3298" w:type="pct"/>
            <w:vAlign w:val="center"/>
          </w:tcPr>
          <w:p w14:paraId="73FCF70F">
            <w:pPr>
              <w:adjustRightInd w:val="0"/>
              <w:spacing w:line="240" w:lineRule="auto"/>
              <w:rPr>
                <w:rFonts w:ascii="仿宋_GB2312"/>
                <w:snapToGrid w:val="0"/>
                <w:sz w:val="21"/>
                <w:szCs w:val="21"/>
              </w:rPr>
            </w:pPr>
            <w:r>
              <w:rPr>
                <w:rFonts w:ascii="仿宋_GB2312"/>
                <w:snapToGrid w:val="0"/>
                <w:sz w:val="21"/>
                <w:szCs w:val="21"/>
              </w:rPr>
              <w:t>长兴国家大学科技园</w:t>
            </w:r>
          </w:p>
        </w:tc>
      </w:tr>
      <w:tr w14:paraId="07A7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restart"/>
            <w:vAlign w:val="center"/>
          </w:tcPr>
          <w:p w14:paraId="36021BC1">
            <w:pPr>
              <w:adjustRightInd w:val="0"/>
              <w:spacing w:line="240" w:lineRule="auto"/>
              <w:jc w:val="center"/>
              <w:rPr>
                <w:rFonts w:ascii="仿宋_GB2312"/>
                <w:snapToGrid w:val="0"/>
                <w:sz w:val="21"/>
                <w:szCs w:val="21"/>
              </w:rPr>
            </w:pPr>
            <w:r>
              <w:rPr>
                <w:rFonts w:ascii="仿宋_GB2312"/>
                <w:snapToGrid w:val="0"/>
                <w:sz w:val="21"/>
                <w:szCs w:val="21"/>
              </w:rPr>
              <w:t>融合类（2）</w:t>
            </w:r>
          </w:p>
        </w:tc>
        <w:tc>
          <w:tcPr>
            <w:tcW w:w="678" w:type="pct"/>
            <w:vAlign w:val="center"/>
          </w:tcPr>
          <w:p w14:paraId="69E52F3B">
            <w:pPr>
              <w:adjustRightInd w:val="0"/>
              <w:spacing w:line="240" w:lineRule="auto"/>
              <w:jc w:val="center"/>
              <w:rPr>
                <w:rFonts w:ascii="仿宋_GB2312"/>
                <w:snapToGrid w:val="0"/>
                <w:sz w:val="21"/>
                <w:szCs w:val="21"/>
              </w:rPr>
            </w:pPr>
            <w:r>
              <w:rPr>
                <w:rFonts w:ascii="仿宋_GB2312"/>
                <w:snapToGrid w:val="0"/>
                <w:sz w:val="21"/>
                <w:szCs w:val="21"/>
              </w:rPr>
              <w:t>5</w:t>
            </w:r>
          </w:p>
        </w:tc>
        <w:tc>
          <w:tcPr>
            <w:tcW w:w="3298" w:type="pct"/>
            <w:vAlign w:val="center"/>
          </w:tcPr>
          <w:p w14:paraId="77646134">
            <w:pPr>
              <w:adjustRightInd w:val="0"/>
              <w:spacing w:line="240" w:lineRule="auto"/>
              <w:rPr>
                <w:rFonts w:ascii="仿宋_GB2312"/>
                <w:snapToGrid w:val="0"/>
                <w:sz w:val="21"/>
                <w:szCs w:val="21"/>
              </w:rPr>
            </w:pPr>
            <w:r>
              <w:rPr>
                <w:rFonts w:ascii="仿宋_GB2312"/>
                <w:snapToGrid w:val="0"/>
                <w:sz w:val="21"/>
                <w:szCs w:val="21"/>
              </w:rPr>
              <w:t>长兴太湖图影旅游度假区</w:t>
            </w:r>
          </w:p>
        </w:tc>
      </w:tr>
      <w:tr w14:paraId="45D3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4" w:type="pct"/>
            <w:vMerge w:val="continue"/>
            <w:vAlign w:val="center"/>
          </w:tcPr>
          <w:p w14:paraId="1C6CA6B0">
            <w:pPr>
              <w:adjustRightInd w:val="0"/>
              <w:spacing w:line="240" w:lineRule="auto"/>
              <w:jc w:val="center"/>
              <w:rPr>
                <w:rFonts w:ascii="仿宋_GB2312"/>
                <w:snapToGrid w:val="0"/>
                <w:sz w:val="21"/>
                <w:szCs w:val="21"/>
              </w:rPr>
            </w:pPr>
          </w:p>
        </w:tc>
        <w:tc>
          <w:tcPr>
            <w:tcW w:w="678" w:type="pct"/>
            <w:vAlign w:val="center"/>
          </w:tcPr>
          <w:p w14:paraId="0CB9C87A">
            <w:pPr>
              <w:adjustRightInd w:val="0"/>
              <w:spacing w:line="240" w:lineRule="auto"/>
              <w:jc w:val="center"/>
              <w:rPr>
                <w:rFonts w:ascii="仿宋_GB2312"/>
                <w:snapToGrid w:val="0"/>
                <w:sz w:val="21"/>
                <w:szCs w:val="21"/>
              </w:rPr>
            </w:pPr>
            <w:r>
              <w:rPr>
                <w:rFonts w:ascii="仿宋_GB2312"/>
                <w:snapToGrid w:val="0"/>
                <w:sz w:val="21"/>
                <w:szCs w:val="21"/>
              </w:rPr>
              <w:t>6</w:t>
            </w:r>
          </w:p>
        </w:tc>
        <w:tc>
          <w:tcPr>
            <w:tcW w:w="3298" w:type="pct"/>
            <w:vAlign w:val="center"/>
          </w:tcPr>
          <w:p w14:paraId="29FFD9EF">
            <w:pPr>
              <w:adjustRightInd w:val="0"/>
              <w:spacing w:line="240" w:lineRule="auto"/>
              <w:rPr>
                <w:rFonts w:ascii="仿宋_GB2312"/>
                <w:snapToGrid w:val="0"/>
                <w:sz w:val="21"/>
                <w:szCs w:val="21"/>
              </w:rPr>
            </w:pPr>
            <w:r>
              <w:rPr>
                <w:rFonts w:ascii="仿宋_GB2312"/>
                <w:snapToGrid w:val="0"/>
                <w:sz w:val="21"/>
                <w:szCs w:val="21"/>
              </w:rPr>
              <w:t>水口乡村旅游产业集聚区</w:t>
            </w:r>
          </w:p>
        </w:tc>
      </w:tr>
    </w:tbl>
    <w:p w14:paraId="6CE67A5C">
      <w:pPr>
        <w:overflowPunct w:val="0"/>
        <w:adjustRightInd w:val="0"/>
        <w:spacing w:line="324" w:lineRule="auto"/>
        <w:ind w:firstLine="870" w:firstLineChars="200"/>
        <w:rPr>
          <w:rFonts w:ascii="方正小标宋简体" w:eastAsia="方正小标宋简体"/>
          <w:bCs/>
          <w:snapToGrid w:val="0"/>
          <w:kern w:val="44"/>
          <w:sz w:val="44"/>
          <w:szCs w:val="44"/>
        </w:rPr>
      </w:pPr>
    </w:p>
    <w:p w14:paraId="7041A36A">
      <w:pPr>
        <w:overflowPunct w:val="0"/>
        <w:adjustRightInd w:val="0"/>
        <w:spacing w:line="324" w:lineRule="auto"/>
        <w:ind w:firstLine="870" w:firstLineChars="200"/>
        <w:rPr>
          <w:rFonts w:ascii="方正小标宋简体" w:eastAsia="方正小标宋简体"/>
          <w:bCs/>
          <w:snapToGrid w:val="0"/>
          <w:kern w:val="44"/>
          <w:sz w:val="44"/>
          <w:szCs w:val="44"/>
        </w:rPr>
      </w:pPr>
    </w:p>
    <w:p w14:paraId="3B121988">
      <w:pPr>
        <w:overflowPunct w:val="0"/>
        <w:adjustRightInd w:val="0"/>
        <w:spacing w:line="324" w:lineRule="auto"/>
        <w:ind w:firstLine="870" w:firstLineChars="200"/>
        <w:rPr>
          <w:rFonts w:ascii="方正小标宋简体" w:eastAsia="方正小标宋简体"/>
          <w:bCs/>
          <w:snapToGrid w:val="0"/>
          <w:kern w:val="44"/>
          <w:sz w:val="44"/>
          <w:szCs w:val="44"/>
        </w:rPr>
        <w:sectPr>
          <w:footnotePr>
            <w:numFmt w:val="decimalEnclosedCircleChinese"/>
          </w:footnotePr>
          <w:pgSz w:w="11906" w:h="16838"/>
          <w:pgMar w:top="2098" w:right="1531" w:bottom="2098" w:left="1531" w:header="851" w:footer="1304" w:gutter="0"/>
          <w:cols w:space="720" w:num="1"/>
          <w:docGrid w:type="linesAndChars" w:linePitch="632" w:charSpace="-1065"/>
        </w:sectPr>
      </w:pPr>
    </w:p>
    <w:p w14:paraId="0C9B4ED6">
      <w:pPr>
        <w:pStyle w:val="32"/>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四、重大项目清单</w:t>
      </w:r>
    </w:p>
    <w:tbl>
      <w:tblPr>
        <w:tblStyle w:val="14"/>
        <w:tblW w:w="52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021"/>
        <w:gridCol w:w="3974"/>
        <w:gridCol w:w="1018"/>
        <w:gridCol w:w="932"/>
        <w:gridCol w:w="1346"/>
        <w:gridCol w:w="2044"/>
        <w:gridCol w:w="1135"/>
        <w:gridCol w:w="1255"/>
      </w:tblGrid>
      <w:tr w14:paraId="2D21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6" w:type="pct"/>
            <w:shd w:val="clear" w:color="auto" w:fill="auto"/>
            <w:vAlign w:val="center"/>
          </w:tcPr>
          <w:p w14:paraId="3A5072A5">
            <w:pPr>
              <w:adjustRightInd w:val="0"/>
              <w:spacing w:line="240" w:lineRule="auto"/>
              <w:jc w:val="center"/>
              <w:rPr>
                <w:rFonts w:ascii="仿宋_GB2312"/>
                <w:b/>
                <w:sz w:val="21"/>
                <w:szCs w:val="21"/>
              </w:rPr>
            </w:pPr>
            <w:r>
              <w:rPr>
                <w:rFonts w:hint="eastAsia" w:ascii="仿宋_GB2312"/>
                <w:b/>
                <w:sz w:val="21"/>
                <w:szCs w:val="21"/>
              </w:rPr>
              <w:t>序号</w:t>
            </w:r>
          </w:p>
        </w:tc>
        <w:tc>
          <w:tcPr>
            <w:tcW w:w="709" w:type="pct"/>
            <w:shd w:val="clear" w:color="auto" w:fill="auto"/>
            <w:vAlign w:val="center"/>
          </w:tcPr>
          <w:p w14:paraId="0360DD56">
            <w:pPr>
              <w:adjustRightInd w:val="0"/>
              <w:spacing w:line="240" w:lineRule="auto"/>
              <w:jc w:val="center"/>
              <w:rPr>
                <w:rFonts w:ascii="仿宋_GB2312"/>
                <w:b/>
                <w:sz w:val="21"/>
                <w:szCs w:val="21"/>
              </w:rPr>
            </w:pPr>
            <w:r>
              <w:rPr>
                <w:rFonts w:hint="eastAsia" w:ascii="仿宋_GB2312"/>
                <w:b/>
                <w:sz w:val="21"/>
                <w:szCs w:val="21"/>
              </w:rPr>
              <w:t>名称</w:t>
            </w:r>
          </w:p>
        </w:tc>
        <w:tc>
          <w:tcPr>
            <w:tcW w:w="1394" w:type="pct"/>
            <w:shd w:val="clear" w:color="auto" w:fill="auto"/>
            <w:vAlign w:val="center"/>
          </w:tcPr>
          <w:p w14:paraId="437D08CA">
            <w:pPr>
              <w:adjustRightInd w:val="0"/>
              <w:spacing w:line="240" w:lineRule="auto"/>
              <w:jc w:val="center"/>
              <w:rPr>
                <w:rFonts w:ascii="仿宋_GB2312"/>
                <w:b/>
                <w:sz w:val="21"/>
                <w:szCs w:val="21"/>
              </w:rPr>
            </w:pPr>
            <w:r>
              <w:rPr>
                <w:rFonts w:hint="eastAsia" w:ascii="仿宋_GB2312"/>
                <w:b/>
                <w:sz w:val="21"/>
                <w:szCs w:val="21"/>
              </w:rPr>
              <w:t>建设规模和内容</w:t>
            </w:r>
          </w:p>
        </w:tc>
        <w:tc>
          <w:tcPr>
            <w:tcW w:w="357" w:type="pct"/>
            <w:shd w:val="clear" w:color="auto" w:fill="auto"/>
            <w:vAlign w:val="center"/>
          </w:tcPr>
          <w:p w14:paraId="6A42DDA0">
            <w:pPr>
              <w:adjustRightInd w:val="0"/>
              <w:spacing w:line="240" w:lineRule="auto"/>
              <w:jc w:val="center"/>
              <w:rPr>
                <w:rFonts w:ascii="仿宋_GB2312"/>
                <w:b/>
                <w:snapToGrid w:val="0"/>
                <w:spacing w:val="-4"/>
                <w:sz w:val="21"/>
                <w:szCs w:val="21"/>
              </w:rPr>
            </w:pPr>
            <w:r>
              <w:rPr>
                <w:rFonts w:hint="eastAsia" w:ascii="仿宋_GB2312"/>
                <w:b/>
                <w:snapToGrid w:val="0"/>
                <w:spacing w:val="-6"/>
                <w:sz w:val="21"/>
                <w:szCs w:val="21"/>
              </w:rPr>
              <w:t>起止年限</w:t>
            </w:r>
          </w:p>
        </w:tc>
        <w:tc>
          <w:tcPr>
            <w:tcW w:w="327" w:type="pct"/>
            <w:shd w:val="clear" w:color="auto" w:fill="auto"/>
            <w:vAlign w:val="center"/>
          </w:tcPr>
          <w:p w14:paraId="6AA42995">
            <w:pPr>
              <w:adjustRightInd w:val="0"/>
              <w:spacing w:line="240" w:lineRule="auto"/>
              <w:jc w:val="center"/>
              <w:rPr>
                <w:rFonts w:ascii="仿宋_GB2312"/>
                <w:b/>
                <w:snapToGrid w:val="0"/>
                <w:spacing w:val="-6"/>
                <w:sz w:val="21"/>
                <w:szCs w:val="21"/>
              </w:rPr>
            </w:pPr>
            <w:r>
              <w:rPr>
                <w:rFonts w:hint="eastAsia" w:ascii="仿宋_GB2312"/>
                <w:b/>
                <w:snapToGrid w:val="0"/>
                <w:spacing w:val="-6"/>
                <w:sz w:val="21"/>
                <w:szCs w:val="21"/>
              </w:rPr>
              <w:t>总投资（亿元）</w:t>
            </w:r>
          </w:p>
        </w:tc>
        <w:tc>
          <w:tcPr>
            <w:tcW w:w="472" w:type="pct"/>
            <w:shd w:val="clear" w:color="auto" w:fill="auto"/>
            <w:vAlign w:val="center"/>
          </w:tcPr>
          <w:p w14:paraId="07ECF26E">
            <w:pPr>
              <w:adjustRightInd w:val="0"/>
              <w:spacing w:line="240" w:lineRule="auto"/>
              <w:jc w:val="center"/>
              <w:rPr>
                <w:rFonts w:ascii="仿宋_GB2312"/>
                <w:b/>
                <w:snapToGrid w:val="0"/>
                <w:spacing w:val="-6"/>
                <w:sz w:val="21"/>
                <w:szCs w:val="21"/>
              </w:rPr>
            </w:pPr>
            <w:r>
              <w:rPr>
                <w:rFonts w:hint="eastAsia" w:ascii="仿宋_GB2312"/>
                <w:b/>
                <w:snapToGrid w:val="0"/>
                <w:spacing w:val="-6"/>
                <w:sz w:val="21"/>
                <w:szCs w:val="21"/>
              </w:rPr>
              <w:t>2021-2025年计划投资</w:t>
            </w:r>
          </w:p>
        </w:tc>
        <w:tc>
          <w:tcPr>
            <w:tcW w:w="717" w:type="pct"/>
            <w:tcBorders>
              <w:top w:val="single" w:color="auto" w:sz="4" w:space="0"/>
              <w:left w:val="nil"/>
              <w:bottom w:val="single" w:color="auto" w:sz="4" w:space="0"/>
              <w:right w:val="single" w:color="auto" w:sz="4" w:space="0"/>
            </w:tcBorders>
            <w:shd w:val="clear" w:color="auto" w:fill="auto"/>
            <w:vAlign w:val="center"/>
          </w:tcPr>
          <w:p w14:paraId="5D5CF1F3">
            <w:pPr>
              <w:adjustRightInd w:val="0"/>
              <w:spacing w:line="240" w:lineRule="auto"/>
              <w:jc w:val="center"/>
              <w:rPr>
                <w:rFonts w:ascii="仿宋_GB2312"/>
                <w:b/>
                <w:sz w:val="21"/>
                <w:szCs w:val="21"/>
              </w:rPr>
            </w:pPr>
            <w:r>
              <w:rPr>
                <w:rFonts w:hint="eastAsia" w:ascii="仿宋_GB2312"/>
                <w:b/>
                <w:sz w:val="21"/>
                <w:szCs w:val="21"/>
              </w:rPr>
              <w:t>责任单位</w:t>
            </w:r>
          </w:p>
        </w:tc>
        <w:tc>
          <w:tcPr>
            <w:tcW w:w="398" w:type="pct"/>
            <w:tcBorders>
              <w:top w:val="single" w:color="auto" w:sz="4" w:space="0"/>
              <w:left w:val="nil"/>
              <w:bottom w:val="single" w:color="auto" w:sz="4" w:space="0"/>
              <w:right w:val="single" w:color="auto" w:sz="4" w:space="0"/>
            </w:tcBorders>
            <w:shd w:val="clear" w:color="auto" w:fill="auto"/>
            <w:vAlign w:val="center"/>
          </w:tcPr>
          <w:p w14:paraId="5F96BC21">
            <w:pPr>
              <w:adjustRightInd w:val="0"/>
              <w:spacing w:line="240" w:lineRule="auto"/>
              <w:jc w:val="center"/>
              <w:rPr>
                <w:rFonts w:ascii="仿宋_GB2312"/>
                <w:b/>
                <w:snapToGrid w:val="0"/>
                <w:spacing w:val="-6"/>
                <w:sz w:val="21"/>
                <w:szCs w:val="21"/>
              </w:rPr>
            </w:pPr>
            <w:r>
              <w:rPr>
                <w:rFonts w:hint="eastAsia" w:ascii="仿宋_GB2312"/>
                <w:b/>
                <w:snapToGrid w:val="0"/>
                <w:spacing w:val="-6"/>
                <w:sz w:val="21"/>
                <w:szCs w:val="21"/>
              </w:rPr>
              <w:t>项目类别</w:t>
            </w:r>
          </w:p>
          <w:p w14:paraId="3277FDBC">
            <w:pPr>
              <w:adjustRightInd w:val="0"/>
              <w:spacing w:line="240" w:lineRule="auto"/>
              <w:jc w:val="center"/>
              <w:rPr>
                <w:rFonts w:ascii="仿宋_GB2312"/>
                <w:b/>
                <w:snapToGrid w:val="0"/>
                <w:spacing w:val="-7"/>
                <w:sz w:val="21"/>
                <w:szCs w:val="21"/>
              </w:rPr>
            </w:pPr>
            <w:r>
              <w:rPr>
                <w:rFonts w:hint="eastAsia" w:ascii="仿宋_GB2312"/>
                <w:b/>
                <w:snapToGrid w:val="0"/>
                <w:spacing w:val="-7"/>
                <w:sz w:val="21"/>
                <w:szCs w:val="21"/>
              </w:rPr>
              <w:t>（谋划类/实施类）</w:t>
            </w:r>
          </w:p>
        </w:tc>
        <w:tc>
          <w:tcPr>
            <w:tcW w:w="440" w:type="pct"/>
            <w:tcBorders>
              <w:top w:val="single" w:color="auto" w:sz="4" w:space="0"/>
              <w:left w:val="nil"/>
              <w:bottom w:val="single" w:color="auto" w:sz="4" w:space="0"/>
              <w:right w:val="single" w:color="auto" w:sz="4" w:space="0"/>
            </w:tcBorders>
            <w:shd w:val="clear" w:color="auto" w:fill="auto"/>
            <w:vAlign w:val="center"/>
          </w:tcPr>
          <w:p w14:paraId="704862F3">
            <w:pPr>
              <w:adjustRightInd w:val="0"/>
              <w:spacing w:line="240" w:lineRule="auto"/>
              <w:jc w:val="center"/>
              <w:rPr>
                <w:rFonts w:ascii="仿宋_GB2312"/>
                <w:b/>
                <w:snapToGrid w:val="0"/>
                <w:spacing w:val="-6"/>
                <w:sz w:val="21"/>
                <w:szCs w:val="21"/>
              </w:rPr>
            </w:pPr>
            <w:r>
              <w:rPr>
                <w:rFonts w:hint="eastAsia" w:ascii="仿宋_GB2312"/>
                <w:b/>
                <w:sz w:val="21"/>
                <w:szCs w:val="21"/>
              </w:rPr>
              <w:t>建设性质</w:t>
            </w:r>
          </w:p>
          <w:p w14:paraId="4B35E450">
            <w:pPr>
              <w:adjustRightInd w:val="0"/>
              <w:spacing w:line="240" w:lineRule="auto"/>
              <w:jc w:val="center"/>
              <w:rPr>
                <w:rFonts w:ascii="仿宋_GB2312"/>
                <w:b/>
                <w:snapToGrid w:val="0"/>
                <w:spacing w:val="-6"/>
                <w:sz w:val="21"/>
                <w:szCs w:val="21"/>
              </w:rPr>
            </w:pPr>
            <w:r>
              <w:rPr>
                <w:rFonts w:hint="eastAsia" w:ascii="仿宋_GB2312"/>
                <w:b/>
                <w:snapToGrid w:val="0"/>
                <w:spacing w:val="-6"/>
                <w:sz w:val="21"/>
                <w:szCs w:val="21"/>
              </w:rPr>
              <w:t>（新建/</w:t>
            </w:r>
          </w:p>
          <w:p w14:paraId="76E2FED6">
            <w:pPr>
              <w:adjustRightInd w:val="0"/>
              <w:spacing w:line="240" w:lineRule="auto"/>
              <w:jc w:val="center"/>
              <w:rPr>
                <w:rFonts w:ascii="仿宋_GB2312"/>
                <w:b/>
                <w:sz w:val="21"/>
                <w:szCs w:val="21"/>
              </w:rPr>
            </w:pPr>
            <w:r>
              <w:rPr>
                <w:rFonts w:hint="eastAsia" w:ascii="仿宋_GB2312"/>
                <w:b/>
                <w:snapToGrid w:val="0"/>
                <w:spacing w:val="-6"/>
                <w:sz w:val="21"/>
                <w:szCs w:val="21"/>
              </w:rPr>
              <w:t>续建）</w:t>
            </w:r>
          </w:p>
        </w:tc>
      </w:tr>
      <w:tr w14:paraId="52E7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199F403">
            <w:pPr>
              <w:adjustRightInd w:val="0"/>
              <w:spacing w:line="240" w:lineRule="auto"/>
              <w:jc w:val="center"/>
              <w:rPr>
                <w:rFonts w:ascii="仿宋_GB2312"/>
                <w:sz w:val="21"/>
                <w:szCs w:val="21"/>
              </w:rPr>
            </w:pPr>
            <w:r>
              <w:rPr>
                <w:rFonts w:hint="eastAsia" w:ascii="仿宋_GB2312"/>
                <w:sz w:val="21"/>
                <w:szCs w:val="21"/>
              </w:rPr>
              <w:t>1</w:t>
            </w:r>
          </w:p>
        </w:tc>
        <w:tc>
          <w:tcPr>
            <w:tcW w:w="709" w:type="pct"/>
            <w:shd w:val="clear" w:color="auto" w:fill="auto"/>
            <w:vAlign w:val="center"/>
          </w:tcPr>
          <w:p w14:paraId="610086F5">
            <w:pPr>
              <w:adjustRightInd w:val="0"/>
              <w:spacing w:line="240" w:lineRule="auto"/>
              <w:jc w:val="center"/>
              <w:rPr>
                <w:rFonts w:ascii="仿宋_GB2312"/>
                <w:sz w:val="21"/>
                <w:szCs w:val="21"/>
              </w:rPr>
            </w:pPr>
            <w:r>
              <w:rPr>
                <w:rFonts w:hint="eastAsia" w:ascii="仿宋_GB2312"/>
                <w:sz w:val="21"/>
                <w:szCs w:val="21"/>
              </w:rPr>
              <w:t>中南高科（长兴）</w:t>
            </w:r>
          </w:p>
          <w:p w14:paraId="788A4082">
            <w:pPr>
              <w:adjustRightInd w:val="0"/>
              <w:spacing w:line="240" w:lineRule="auto"/>
              <w:jc w:val="center"/>
              <w:rPr>
                <w:rFonts w:ascii="仿宋_GB2312"/>
                <w:sz w:val="21"/>
                <w:szCs w:val="21"/>
              </w:rPr>
            </w:pPr>
            <w:r>
              <w:rPr>
                <w:rFonts w:hint="eastAsia" w:ascii="仿宋_GB2312"/>
                <w:sz w:val="21"/>
                <w:szCs w:val="21"/>
              </w:rPr>
              <w:t>绿色智造产业园</w:t>
            </w:r>
          </w:p>
        </w:tc>
        <w:tc>
          <w:tcPr>
            <w:tcW w:w="1394" w:type="pct"/>
            <w:shd w:val="clear" w:color="auto" w:fill="auto"/>
            <w:vAlign w:val="center"/>
          </w:tcPr>
          <w:p w14:paraId="2AA4069E">
            <w:pPr>
              <w:adjustRightInd w:val="0"/>
              <w:spacing w:line="240" w:lineRule="auto"/>
              <w:rPr>
                <w:rFonts w:ascii="仿宋_GB2312"/>
                <w:sz w:val="21"/>
                <w:szCs w:val="21"/>
              </w:rPr>
            </w:pPr>
            <w:r>
              <w:rPr>
                <w:rFonts w:hint="eastAsia" w:ascii="仿宋_GB2312"/>
                <w:sz w:val="21"/>
                <w:szCs w:val="21"/>
              </w:rPr>
              <w:t>单层、多层厂房、企业中心、配套。</w:t>
            </w:r>
          </w:p>
        </w:tc>
        <w:tc>
          <w:tcPr>
            <w:tcW w:w="357" w:type="pct"/>
            <w:shd w:val="clear" w:color="auto" w:fill="auto"/>
            <w:vAlign w:val="center"/>
          </w:tcPr>
          <w:p w14:paraId="530AED0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2019-2023</w:t>
            </w:r>
          </w:p>
        </w:tc>
        <w:tc>
          <w:tcPr>
            <w:tcW w:w="327" w:type="pct"/>
            <w:shd w:val="clear" w:color="auto" w:fill="auto"/>
            <w:vAlign w:val="center"/>
          </w:tcPr>
          <w:p w14:paraId="512F7D60">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40</w:t>
            </w:r>
          </w:p>
        </w:tc>
        <w:tc>
          <w:tcPr>
            <w:tcW w:w="472" w:type="pct"/>
            <w:shd w:val="clear" w:color="auto" w:fill="auto"/>
            <w:vAlign w:val="center"/>
          </w:tcPr>
          <w:p w14:paraId="23AA429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27</w:t>
            </w:r>
          </w:p>
        </w:tc>
        <w:tc>
          <w:tcPr>
            <w:tcW w:w="717" w:type="pct"/>
            <w:shd w:val="clear" w:color="auto" w:fill="auto"/>
            <w:vAlign w:val="center"/>
          </w:tcPr>
          <w:p w14:paraId="53AF5EAA">
            <w:pPr>
              <w:adjustRightInd w:val="0"/>
              <w:spacing w:line="240" w:lineRule="auto"/>
              <w:jc w:val="center"/>
              <w:rPr>
                <w:rFonts w:ascii="仿宋_GB2312"/>
                <w:sz w:val="21"/>
                <w:szCs w:val="21"/>
              </w:rPr>
            </w:pPr>
            <w:r>
              <w:rPr>
                <w:rFonts w:hint="eastAsia" w:ascii="仿宋_GB2312"/>
                <w:sz w:val="21"/>
                <w:szCs w:val="21"/>
              </w:rPr>
              <w:t>长兴中南高科锦荣</w:t>
            </w:r>
            <w:r>
              <w:rPr>
                <w:rFonts w:hint="eastAsia" w:ascii="仿宋_GB2312"/>
                <w:snapToGrid w:val="0"/>
                <w:spacing w:val="-6"/>
                <w:sz w:val="21"/>
                <w:szCs w:val="21"/>
              </w:rPr>
              <w:t>产业园开发有限公司</w:t>
            </w:r>
          </w:p>
        </w:tc>
        <w:tc>
          <w:tcPr>
            <w:tcW w:w="398" w:type="pct"/>
            <w:shd w:val="clear" w:color="auto" w:fill="auto"/>
            <w:vAlign w:val="center"/>
          </w:tcPr>
          <w:p w14:paraId="1C21245E">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EE6345A">
            <w:pPr>
              <w:adjustRightInd w:val="0"/>
              <w:spacing w:line="240" w:lineRule="auto"/>
              <w:jc w:val="center"/>
              <w:rPr>
                <w:rFonts w:ascii="仿宋_GB2312"/>
                <w:sz w:val="21"/>
                <w:szCs w:val="21"/>
              </w:rPr>
            </w:pPr>
            <w:r>
              <w:rPr>
                <w:rFonts w:hint="eastAsia" w:ascii="仿宋_GB2312"/>
                <w:sz w:val="21"/>
                <w:szCs w:val="21"/>
              </w:rPr>
              <w:t>续建</w:t>
            </w:r>
          </w:p>
        </w:tc>
      </w:tr>
      <w:tr w14:paraId="2D07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D96D214">
            <w:pPr>
              <w:adjustRightInd w:val="0"/>
              <w:spacing w:line="240" w:lineRule="auto"/>
              <w:jc w:val="center"/>
              <w:rPr>
                <w:rFonts w:ascii="仿宋_GB2312"/>
                <w:sz w:val="21"/>
                <w:szCs w:val="21"/>
              </w:rPr>
            </w:pPr>
            <w:r>
              <w:rPr>
                <w:rFonts w:hint="eastAsia" w:ascii="仿宋_GB2312"/>
                <w:sz w:val="21"/>
                <w:szCs w:val="21"/>
              </w:rPr>
              <w:t>2</w:t>
            </w:r>
          </w:p>
        </w:tc>
        <w:tc>
          <w:tcPr>
            <w:tcW w:w="709" w:type="pct"/>
            <w:shd w:val="clear" w:color="auto" w:fill="auto"/>
            <w:vAlign w:val="center"/>
          </w:tcPr>
          <w:p w14:paraId="03E9E170">
            <w:pPr>
              <w:adjustRightInd w:val="0"/>
              <w:spacing w:line="240" w:lineRule="auto"/>
              <w:jc w:val="center"/>
              <w:rPr>
                <w:rFonts w:ascii="仿宋_GB2312"/>
                <w:sz w:val="21"/>
                <w:szCs w:val="21"/>
              </w:rPr>
            </w:pPr>
            <w:r>
              <w:rPr>
                <w:rFonts w:hint="eastAsia" w:ascii="仿宋_GB2312"/>
                <w:sz w:val="21"/>
                <w:szCs w:val="21"/>
              </w:rPr>
              <w:t>联东U谷·中国长兴南太湖国际</w:t>
            </w:r>
          </w:p>
          <w:p w14:paraId="504BEC84">
            <w:pPr>
              <w:adjustRightInd w:val="0"/>
              <w:spacing w:line="240" w:lineRule="auto"/>
              <w:jc w:val="center"/>
              <w:rPr>
                <w:rFonts w:ascii="仿宋_GB2312"/>
                <w:sz w:val="21"/>
                <w:szCs w:val="21"/>
              </w:rPr>
            </w:pPr>
            <w:r>
              <w:rPr>
                <w:rFonts w:hint="eastAsia" w:ascii="仿宋_GB2312"/>
                <w:sz w:val="21"/>
                <w:szCs w:val="21"/>
              </w:rPr>
              <w:t>企业港项目</w:t>
            </w:r>
          </w:p>
        </w:tc>
        <w:tc>
          <w:tcPr>
            <w:tcW w:w="1394" w:type="pct"/>
            <w:shd w:val="clear" w:color="auto" w:fill="auto"/>
            <w:vAlign w:val="center"/>
          </w:tcPr>
          <w:p w14:paraId="014A60B2">
            <w:pPr>
              <w:adjustRightInd w:val="0"/>
              <w:spacing w:line="240" w:lineRule="auto"/>
              <w:rPr>
                <w:rFonts w:ascii="仿宋_GB2312"/>
                <w:sz w:val="21"/>
                <w:szCs w:val="21"/>
              </w:rPr>
            </w:pPr>
            <w:r>
              <w:rPr>
                <w:rFonts w:hint="eastAsia" w:ascii="仿宋_GB2312"/>
                <w:sz w:val="21"/>
                <w:szCs w:val="21"/>
              </w:rPr>
              <w:t>总投资12亿元，新征南太湖产业聚集区长兴分区内工业用地300亩，配套建造办公楼、研发设计、生产企业总部等生产及辅助用房300000平方米。</w:t>
            </w:r>
          </w:p>
        </w:tc>
        <w:tc>
          <w:tcPr>
            <w:tcW w:w="357" w:type="pct"/>
            <w:shd w:val="clear" w:color="auto" w:fill="auto"/>
            <w:vAlign w:val="center"/>
          </w:tcPr>
          <w:p w14:paraId="78F40AD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2019-2022</w:t>
            </w:r>
          </w:p>
        </w:tc>
        <w:tc>
          <w:tcPr>
            <w:tcW w:w="327" w:type="pct"/>
            <w:shd w:val="clear" w:color="auto" w:fill="auto"/>
            <w:vAlign w:val="center"/>
          </w:tcPr>
          <w:p w14:paraId="32643D0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12</w:t>
            </w:r>
          </w:p>
        </w:tc>
        <w:tc>
          <w:tcPr>
            <w:tcW w:w="472" w:type="pct"/>
            <w:shd w:val="clear" w:color="auto" w:fill="auto"/>
            <w:vAlign w:val="center"/>
          </w:tcPr>
          <w:p w14:paraId="5436AA0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w:t>
            </w:r>
          </w:p>
        </w:tc>
        <w:tc>
          <w:tcPr>
            <w:tcW w:w="717" w:type="pct"/>
            <w:shd w:val="clear" w:color="auto" w:fill="auto"/>
            <w:vAlign w:val="center"/>
          </w:tcPr>
          <w:p w14:paraId="7F2CCE39">
            <w:pPr>
              <w:adjustRightInd w:val="0"/>
              <w:spacing w:line="240" w:lineRule="auto"/>
              <w:jc w:val="center"/>
              <w:rPr>
                <w:rFonts w:ascii="仿宋_GB2312"/>
                <w:sz w:val="21"/>
                <w:szCs w:val="21"/>
              </w:rPr>
            </w:pPr>
            <w:r>
              <w:rPr>
                <w:rFonts w:hint="eastAsia" w:ascii="仿宋_GB2312"/>
                <w:sz w:val="21"/>
                <w:szCs w:val="21"/>
              </w:rPr>
              <w:t>长兴联东金谱</w:t>
            </w:r>
          </w:p>
          <w:p w14:paraId="641593E5">
            <w:pPr>
              <w:adjustRightInd w:val="0"/>
              <w:spacing w:line="240" w:lineRule="auto"/>
              <w:jc w:val="center"/>
              <w:rPr>
                <w:rFonts w:ascii="仿宋_GB2312"/>
                <w:sz w:val="21"/>
                <w:szCs w:val="21"/>
              </w:rPr>
            </w:pPr>
            <w:r>
              <w:rPr>
                <w:rFonts w:hint="eastAsia" w:ascii="仿宋_GB2312"/>
                <w:sz w:val="21"/>
                <w:szCs w:val="21"/>
              </w:rPr>
              <w:t>实业有限公司</w:t>
            </w:r>
          </w:p>
        </w:tc>
        <w:tc>
          <w:tcPr>
            <w:tcW w:w="398" w:type="pct"/>
            <w:shd w:val="clear" w:color="auto" w:fill="auto"/>
            <w:vAlign w:val="center"/>
          </w:tcPr>
          <w:p w14:paraId="5700AE69">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54B4EE8">
            <w:pPr>
              <w:adjustRightInd w:val="0"/>
              <w:spacing w:line="240" w:lineRule="auto"/>
              <w:jc w:val="center"/>
              <w:rPr>
                <w:rFonts w:ascii="仿宋_GB2312"/>
                <w:sz w:val="21"/>
                <w:szCs w:val="21"/>
              </w:rPr>
            </w:pPr>
            <w:r>
              <w:rPr>
                <w:rFonts w:hint="eastAsia" w:ascii="仿宋_GB2312"/>
                <w:sz w:val="21"/>
                <w:szCs w:val="21"/>
              </w:rPr>
              <w:t>续建</w:t>
            </w:r>
          </w:p>
        </w:tc>
      </w:tr>
      <w:tr w14:paraId="7D7E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EC1F8D7">
            <w:pPr>
              <w:adjustRightInd w:val="0"/>
              <w:spacing w:line="240" w:lineRule="auto"/>
              <w:jc w:val="center"/>
              <w:rPr>
                <w:rFonts w:ascii="仿宋_GB2312"/>
                <w:sz w:val="21"/>
                <w:szCs w:val="21"/>
              </w:rPr>
            </w:pPr>
            <w:r>
              <w:rPr>
                <w:rFonts w:hint="eastAsia" w:ascii="仿宋_GB2312"/>
                <w:sz w:val="21"/>
                <w:szCs w:val="21"/>
              </w:rPr>
              <w:t>3</w:t>
            </w:r>
          </w:p>
        </w:tc>
        <w:tc>
          <w:tcPr>
            <w:tcW w:w="709" w:type="pct"/>
            <w:shd w:val="clear" w:color="auto" w:fill="auto"/>
            <w:vAlign w:val="center"/>
          </w:tcPr>
          <w:p w14:paraId="3418CE07">
            <w:pPr>
              <w:adjustRightInd w:val="0"/>
              <w:spacing w:line="240" w:lineRule="auto"/>
              <w:jc w:val="center"/>
              <w:rPr>
                <w:rFonts w:ascii="仿宋_GB2312"/>
                <w:sz w:val="21"/>
                <w:szCs w:val="21"/>
              </w:rPr>
            </w:pPr>
            <w:r>
              <w:rPr>
                <w:rFonts w:hint="eastAsia" w:ascii="仿宋_GB2312"/>
                <w:sz w:val="21"/>
                <w:szCs w:val="21"/>
              </w:rPr>
              <w:t>吉利汽车生态</w:t>
            </w:r>
          </w:p>
          <w:p w14:paraId="76D79B5B">
            <w:pPr>
              <w:adjustRightInd w:val="0"/>
              <w:spacing w:line="240" w:lineRule="auto"/>
              <w:jc w:val="center"/>
              <w:rPr>
                <w:rFonts w:ascii="仿宋_GB2312"/>
                <w:sz w:val="21"/>
                <w:szCs w:val="21"/>
              </w:rPr>
            </w:pPr>
            <w:r>
              <w:rPr>
                <w:rFonts w:hint="eastAsia" w:ascii="仿宋_GB2312"/>
                <w:sz w:val="21"/>
                <w:szCs w:val="21"/>
              </w:rPr>
              <w:t>数据产业园</w:t>
            </w:r>
          </w:p>
        </w:tc>
        <w:tc>
          <w:tcPr>
            <w:tcW w:w="1394" w:type="pct"/>
            <w:shd w:val="clear" w:color="auto" w:fill="auto"/>
            <w:vAlign w:val="center"/>
          </w:tcPr>
          <w:p w14:paraId="1C2743E7">
            <w:pPr>
              <w:adjustRightInd w:val="0"/>
              <w:spacing w:line="240" w:lineRule="auto"/>
              <w:rPr>
                <w:rFonts w:ascii="仿宋_GB2312"/>
                <w:sz w:val="21"/>
                <w:szCs w:val="21"/>
              </w:rPr>
            </w:pPr>
            <w:r>
              <w:rPr>
                <w:rFonts w:hint="eastAsia" w:ascii="仿宋_GB2312"/>
                <w:sz w:val="21"/>
                <w:szCs w:val="21"/>
              </w:rPr>
              <w:t>项目占地52.12亩，数据园遵循模块化数据中心设计理念，使其成为国内领先、国际一流、低能耗的绿色数据中心。本项目建成投产后，具备2500个机柜的运行能力，实现年销售收入2.3亿元，税收2000万元。</w:t>
            </w:r>
          </w:p>
        </w:tc>
        <w:tc>
          <w:tcPr>
            <w:tcW w:w="357" w:type="pct"/>
            <w:shd w:val="clear" w:color="auto" w:fill="auto"/>
            <w:vAlign w:val="center"/>
          </w:tcPr>
          <w:p w14:paraId="7BFBFDD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2019-2022</w:t>
            </w:r>
          </w:p>
        </w:tc>
        <w:tc>
          <w:tcPr>
            <w:tcW w:w="327" w:type="pct"/>
            <w:shd w:val="clear" w:color="auto" w:fill="auto"/>
            <w:vAlign w:val="center"/>
          </w:tcPr>
          <w:p w14:paraId="2542ED85">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w:t>
            </w:r>
          </w:p>
        </w:tc>
        <w:tc>
          <w:tcPr>
            <w:tcW w:w="472" w:type="pct"/>
            <w:shd w:val="clear" w:color="auto" w:fill="auto"/>
            <w:vAlign w:val="center"/>
          </w:tcPr>
          <w:p w14:paraId="5A9E6356">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w:t>
            </w:r>
          </w:p>
        </w:tc>
        <w:tc>
          <w:tcPr>
            <w:tcW w:w="717" w:type="pct"/>
            <w:shd w:val="clear" w:color="auto" w:fill="auto"/>
            <w:vAlign w:val="center"/>
          </w:tcPr>
          <w:p w14:paraId="309B28F5">
            <w:pPr>
              <w:adjustRightInd w:val="0"/>
              <w:spacing w:line="240" w:lineRule="auto"/>
              <w:jc w:val="center"/>
              <w:rPr>
                <w:rFonts w:ascii="仿宋_GB2312"/>
                <w:sz w:val="21"/>
                <w:szCs w:val="21"/>
              </w:rPr>
            </w:pPr>
            <w:r>
              <w:rPr>
                <w:rFonts w:hint="eastAsia" w:ascii="仿宋_GB2312"/>
                <w:sz w:val="21"/>
                <w:szCs w:val="21"/>
              </w:rPr>
              <w:t>长兴吉数</w:t>
            </w:r>
          </w:p>
          <w:p w14:paraId="2562783C">
            <w:pPr>
              <w:adjustRightInd w:val="0"/>
              <w:spacing w:line="240" w:lineRule="auto"/>
              <w:jc w:val="center"/>
              <w:rPr>
                <w:rFonts w:ascii="仿宋_GB2312"/>
                <w:sz w:val="21"/>
                <w:szCs w:val="21"/>
              </w:rPr>
            </w:pPr>
            <w:r>
              <w:rPr>
                <w:rFonts w:hint="eastAsia" w:ascii="仿宋_GB2312"/>
                <w:sz w:val="21"/>
                <w:szCs w:val="21"/>
              </w:rPr>
              <w:t>科技有限公司</w:t>
            </w:r>
          </w:p>
        </w:tc>
        <w:tc>
          <w:tcPr>
            <w:tcW w:w="398" w:type="pct"/>
            <w:shd w:val="clear" w:color="auto" w:fill="auto"/>
            <w:vAlign w:val="center"/>
          </w:tcPr>
          <w:p w14:paraId="545F3D14">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1B5CC109">
            <w:pPr>
              <w:adjustRightInd w:val="0"/>
              <w:spacing w:line="240" w:lineRule="auto"/>
              <w:jc w:val="center"/>
              <w:rPr>
                <w:rFonts w:ascii="仿宋_GB2312"/>
                <w:sz w:val="21"/>
                <w:szCs w:val="21"/>
              </w:rPr>
            </w:pPr>
            <w:r>
              <w:rPr>
                <w:rFonts w:hint="eastAsia" w:ascii="仿宋_GB2312"/>
                <w:sz w:val="21"/>
                <w:szCs w:val="21"/>
              </w:rPr>
              <w:t>续建</w:t>
            </w:r>
          </w:p>
        </w:tc>
      </w:tr>
      <w:tr w14:paraId="42C2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7BD761F">
            <w:pPr>
              <w:adjustRightInd w:val="0"/>
              <w:spacing w:line="240" w:lineRule="auto"/>
              <w:jc w:val="center"/>
              <w:rPr>
                <w:rFonts w:ascii="仿宋_GB2312"/>
                <w:sz w:val="21"/>
                <w:szCs w:val="21"/>
              </w:rPr>
            </w:pPr>
            <w:r>
              <w:rPr>
                <w:rFonts w:hint="eastAsia" w:ascii="仿宋_GB2312"/>
                <w:sz w:val="21"/>
                <w:szCs w:val="21"/>
              </w:rPr>
              <w:t>4</w:t>
            </w:r>
          </w:p>
        </w:tc>
        <w:tc>
          <w:tcPr>
            <w:tcW w:w="709" w:type="pct"/>
            <w:shd w:val="clear" w:color="auto" w:fill="auto"/>
            <w:vAlign w:val="center"/>
          </w:tcPr>
          <w:p w14:paraId="53DEC42D">
            <w:pPr>
              <w:adjustRightInd w:val="0"/>
              <w:spacing w:line="240" w:lineRule="auto"/>
              <w:jc w:val="center"/>
              <w:rPr>
                <w:rFonts w:ascii="仿宋_GB2312"/>
                <w:sz w:val="21"/>
                <w:szCs w:val="21"/>
              </w:rPr>
            </w:pPr>
            <w:r>
              <w:rPr>
                <w:rFonts w:hint="eastAsia" w:ascii="仿宋_GB2312"/>
                <w:sz w:val="21"/>
                <w:szCs w:val="21"/>
              </w:rPr>
              <w:t>浙江吉利汽车</w:t>
            </w:r>
          </w:p>
          <w:p w14:paraId="7552E658">
            <w:pPr>
              <w:adjustRightInd w:val="0"/>
              <w:spacing w:line="240" w:lineRule="auto"/>
              <w:jc w:val="center"/>
              <w:rPr>
                <w:rFonts w:ascii="仿宋_GB2312"/>
                <w:sz w:val="21"/>
                <w:szCs w:val="21"/>
              </w:rPr>
            </w:pPr>
            <w:r>
              <w:rPr>
                <w:rFonts w:hint="eastAsia" w:ascii="仿宋_GB2312"/>
                <w:sz w:val="21"/>
                <w:szCs w:val="21"/>
              </w:rPr>
              <w:t>有限公司年产</w:t>
            </w:r>
          </w:p>
          <w:p w14:paraId="5A7CB3FC">
            <w:pPr>
              <w:adjustRightInd w:val="0"/>
              <w:spacing w:line="240" w:lineRule="auto"/>
              <w:jc w:val="center"/>
              <w:rPr>
                <w:rFonts w:ascii="仿宋_GB2312"/>
                <w:sz w:val="21"/>
                <w:szCs w:val="21"/>
              </w:rPr>
            </w:pPr>
            <w:r>
              <w:rPr>
                <w:rFonts w:hint="eastAsia" w:ascii="仿宋_GB2312"/>
                <w:sz w:val="21"/>
                <w:szCs w:val="21"/>
              </w:rPr>
              <w:t>15万辆乘用车</w:t>
            </w:r>
          </w:p>
        </w:tc>
        <w:tc>
          <w:tcPr>
            <w:tcW w:w="1394" w:type="pct"/>
            <w:shd w:val="clear" w:color="auto" w:fill="auto"/>
            <w:vAlign w:val="center"/>
          </w:tcPr>
          <w:p w14:paraId="4A35F0A9">
            <w:pPr>
              <w:adjustRightInd w:val="0"/>
              <w:spacing w:line="240" w:lineRule="auto"/>
              <w:rPr>
                <w:rFonts w:ascii="仿宋_GB2312"/>
                <w:sz w:val="21"/>
                <w:szCs w:val="21"/>
              </w:rPr>
            </w:pPr>
            <w:r>
              <w:rPr>
                <w:rFonts w:hint="eastAsia" w:ascii="仿宋_GB2312"/>
                <w:sz w:val="21"/>
                <w:szCs w:val="21"/>
              </w:rPr>
              <w:t>一期项目总投资70亿元，项目用地1108亩，新建综合站房等54.9万平方米，购置实验设备、生产设备共2119台套，形成年产15万辆乘用车项目。</w:t>
            </w:r>
          </w:p>
        </w:tc>
        <w:tc>
          <w:tcPr>
            <w:tcW w:w="357" w:type="pct"/>
            <w:shd w:val="clear" w:color="auto" w:fill="auto"/>
            <w:vAlign w:val="center"/>
          </w:tcPr>
          <w:p w14:paraId="4274B14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2018-2022</w:t>
            </w:r>
          </w:p>
        </w:tc>
        <w:tc>
          <w:tcPr>
            <w:tcW w:w="327" w:type="pct"/>
            <w:shd w:val="clear" w:color="auto" w:fill="auto"/>
            <w:vAlign w:val="center"/>
          </w:tcPr>
          <w:p w14:paraId="024F1D00">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70</w:t>
            </w:r>
          </w:p>
        </w:tc>
        <w:tc>
          <w:tcPr>
            <w:tcW w:w="472" w:type="pct"/>
            <w:shd w:val="clear" w:color="auto" w:fill="auto"/>
            <w:vAlign w:val="center"/>
          </w:tcPr>
          <w:p w14:paraId="3F2744A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8</w:t>
            </w:r>
          </w:p>
        </w:tc>
        <w:tc>
          <w:tcPr>
            <w:tcW w:w="717" w:type="pct"/>
            <w:shd w:val="clear" w:color="auto" w:fill="auto"/>
            <w:vAlign w:val="center"/>
          </w:tcPr>
          <w:p w14:paraId="150F7303">
            <w:pPr>
              <w:adjustRightInd w:val="0"/>
              <w:spacing w:line="240" w:lineRule="auto"/>
              <w:jc w:val="center"/>
              <w:rPr>
                <w:rFonts w:ascii="仿宋_GB2312"/>
                <w:sz w:val="21"/>
                <w:szCs w:val="21"/>
              </w:rPr>
            </w:pPr>
            <w:r>
              <w:rPr>
                <w:rFonts w:hint="eastAsia" w:ascii="仿宋_GB2312"/>
                <w:sz w:val="21"/>
                <w:szCs w:val="21"/>
              </w:rPr>
              <w:t>吉利长兴新能源</w:t>
            </w:r>
          </w:p>
          <w:p w14:paraId="3621E3FF">
            <w:pPr>
              <w:adjustRightInd w:val="0"/>
              <w:spacing w:line="240" w:lineRule="auto"/>
              <w:jc w:val="center"/>
              <w:rPr>
                <w:rFonts w:ascii="仿宋_GB2312"/>
                <w:sz w:val="21"/>
                <w:szCs w:val="21"/>
              </w:rPr>
            </w:pPr>
            <w:r>
              <w:rPr>
                <w:rFonts w:hint="eastAsia" w:ascii="仿宋_GB2312"/>
                <w:sz w:val="21"/>
                <w:szCs w:val="21"/>
              </w:rPr>
              <w:t>汽车有限公司</w:t>
            </w:r>
          </w:p>
        </w:tc>
        <w:tc>
          <w:tcPr>
            <w:tcW w:w="398" w:type="pct"/>
            <w:shd w:val="clear" w:color="auto" w:fill="auto"/>
            <w:vAlign w:val="center"/>
          </w:tcPr>
          <w:p w14:paraId="0256E438">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5A4921AC">
            <w:pPr>
              <w:adjustRightInd w:val="0"/>
              <w:spacing w:line="240" w:lineRule="auto"/>
              <w:jc w:val="center"/>
              <w:rPr>
                <w:rFonts w:ascii="仿宋_GB2312"/>
                <w:sz w:val="21"/>
                <w:szCs w:val="21"/>
              </w:rPr>
            </w:pPr>
            <w:r>
              <w:rPr>
                <w:rFonts w:hint="eastAsia" w:ascii="仿宋_GB2312"/>
                <w:sz w:val="21"/>
                <w:szCs w:val="21"/>
              </w:rPr>
              <w:t>续建</w:t>
            </w:r>
          </w:p>
        </w:tc>
      </w:tr>
      <w:tr w14:paraId="7EB1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377D693">
            <w:pPr>
              <w:adjustRightInd w:val="0"/>
              <w:spacing w:line="240" w:lineRule="auto"/>
              <w:jc w:val="center"/>
              <w:rPr>
                <w:rFonts w:ascii="仿宋_GB2312"/>
                <w:sz w:val="21"/>
                <w:szCs w:val="21"/>
              </w:rPr>
            </w:pPr>
            <w:r>
              <w:rPr>
                <w:rFonts w:hint="eastAsia" w:ascii="仿宋_GB2312"/>
                <w:sz w:val="21"/>
                <w:szCs w:val="21"/>
              </w:rPr>
              <w:t>5</w:t>
            </w:r>
          </w:p>
        </w:tc>
        <w:tc>
          <w:tcPr>
            <w:tcW w:w="709" w:type="pct"/>
            <w:shd w:val="clear" w:color="auto" w:fill="auto"/>
            <w:vAlign w:val="center"/>
          </w:tcPr>
          <w:p w14:paraId="74522C41">
            <w:pPr>
              <w:adjustRightInd w:val="0"/>
              <w:spacing w:line="240" w:lineRule="auto"/>
              <w:jc w:val="center"/>
              <w:rPr>
                <w:rFonts w:ascii="仿宋_GB2312"/>
                <w:sz w:val="21"/>
                <w:szCs w:val="21"/>
              </w:rPr>
            </w:pPr>
            <w:r>
              <w:rPr>
                <w:rFonts w:hint="eastAsia" w:ascii="仿宋_GB2312"/>
                <w:sz w:val="21"/>
                <w:szCs w:val="21"/>
              </w:rPr>
              <w:t>年产15万辆乘用车生产基地研发、智能制造实验室及技能培训产业化项目</w:t>
            </w:r>
          </w:p>
        </w:tc>
        <w:tc>
          <w:tcPr>
            <w:tcW w:w="1394" w:type="pct"/>
            <w:shd w:val="clear" w:color="auto" w:fill="auto"/>
            <w:vAlign w:val="center"/>
          </w:tcPr>
          <w:p w14:paraId="48BAB7D6">
            <w:pPr>
              <w:adjustRightInd w:val="0"/>
              <w:spacing w:line="252" w:lineRule="auto"/>
              <w:rPr>
                <w:rFonts w:ascii="仿宋_GB2312"/>
                <w:sz w:val="21"/>
                <w:szCs w:val="21"/>
              </w:rPr>
            </w:pPr>
            <w:r>
              <w:rPr>
                <w:rFonts w:hint="eastAsia" w:ascii="仿宋_GB2312"/>
                <w:sz w:val="21"/>
                <w:szCs w:val="21"/>
              </w:rPr>
              <w:t>项目拟收购都市中央广场，新增纯电动汽车车身电器联动实训台、新能源汽车电动转向助力EPS联动实训台、新能源汽车驱动电机系统联动实训台、AR模拟焊机、IGBT控制交直流TIG焊机、举升机、信息发布管理系统、冲压车间模拟仿真课程系统等设备，建设年产15万辆乘用车生产基地研发、智能制造实验室及技能培训产业化项目。</w:t>
            </w:r>
          </w:p>
        </w:tc>
        <w:tc>
          <w:tcPr>
            <w:tcW w:w="357" w:type="pct"/>
            <w:shd w:val="clear" w:color="auto" w:fill="auto"/>
            <w:vAlign w:val="center"/>
          </w:tcPr>
          <w:p w14:paraId="0AB7889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2020-2022</w:t>
            </w:r>
          </w:p>
        </w:tc>
        <w:tc>
          <w:tcPr>
            <w:tcW w:w="327" w:type="pct"/>
            <w:shd w:val="clear" w:color="auto" w:fill="auto"/>
            <w:vAlign w:val="center"/>
          </w:tcPr>
          <w:p w14:paraId="23556B9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20.5</w:t>
            </w:r>
          </w:p>
        </w:tc>
        <w:tc>
          <w:tcPr>
            <w:tcW w:w="472" w:type="pct"/>
            <w:shd w:val="clear" w:color="auto" w:fill="auto"/>
            <w:vAlign w:val="center"/>
          </w:tcPr>
          <w:p w14:paraId="20AAF82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w:t>
            </w:r>
          </w:p>
        </w:tc>
        <w:tc>
          <w:tcPr>
            <w:tcW w:w="717" w:type="pct"/>
            <w:shd w:val="clear" w:color="auto" w:fill="auto"/>
            <w:vAlign w:val="center"/>
          </w:tcPr>
          <w:p w14:paraId="3124BC22">
            <w:pPr>
              <w:adjustRightInd w:val="0"/>
              <w:spacing w:line="240" w:lineRule="auto"/>
              <w:jc w:val="center"/>
              <w:rPr>
                <w:rFonts w:ascii="仿宋_GB2312"/>
                <w:sz w:val="21"/>
                <w:szCs w:val="21"/>
              </w:rPr>
            </w:pPr>
            <w:r>
              <w:rPr>
                <w:rFonts w:hint="eastAsia" w:ascii="仿宋_GB2312"/>
                <w:sz w:val="21"/>
                <w:szCs w:val="21"/>
              </w:rPr>
              <w:t>浙江吉利控股</w:t>
            </w:r>
          </w:p>
          <w:p w14:paraId="5C038B56">
            <w:pPr>
              <w:adjustRightInd w:val="0"/>
              <w:spacing w:line="240" w:lineRule="auto"/>
              <w:jc w:val="center"/>
              <w:rPr>
                <w:rFonts w:ascii="仿宋_GB2312"/>
                <w:sz w:val="21"/>
                <w:szCs w:val="21"/>
              </w:rPr>
            </w:pPr>
            <w:r>
              <w:rPr>
                <w:rFonts w:hint="eastAsia" w:ascii="仿宋_GB2312"/>
                <w:sz w:val="21"/>
                <w:szCs w:val="21"/>
              </w:rPr>
              <w:t>集团有限公司</w:t>
            </w:r>
          </w:p>
        </w:tc>
        <w:tc>
          <w:tcPr>
            <w:tcW w:w="398" w:type="pct"/>
            <w:shd w:val="clear" w:color="auto" w:fill="auto"/>
            <w:vAlign w:val="center"/>
          </w:tcPr>
          <w:p w14:paraId="0CD60E33">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A45C95B">
            <w:pPr>
              <w:adjustRightInd w:val="0"/>
              <w:spacing w:line="240" w:lineRule="auto"/>
              <w:jc w:val="center"/>
              <w:rPr>
                <w:rFonts w:ascii="仿宋_GB2312"/>
                <w:sz w:val="21"/>
                <w:szCs w:val="21"/>
              </w:rPr>
            </w:pPr>
            <w:r>
              <w:rPr>
                <w:rFonts w:hint="eastAsia" w:ascii="仿宋_GB2312"/>
                <w:sz w:val="21"/>
                <w:szCs w:val="21"/>
              </w:rPr>
              <w:t>续建</w:t>
            </w:r>
          </w:p>
        </w:tc>
      </w:tr>
      <w:tr w14:paraId="2023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A2CA6DE">
            <w:pPr>
              <w:adjustRightInd w:val="0"/>
              <w:spacing w:line="264" w:lineRule="auto"/>
              <w:jc w:val="center"/>
              <w:rPr>
                <w:rFonts w:ascii="仿宋_GB2312"/>
                <w:sz w:val="21"/>
                <w:szCs w:val="21"/>
              </w:rPr>
            </w:pPr>
            <w:r>
              <w:rPr>
                <w:rFonts w:hint="eastAsia" w:ascii="仿宋_GB2312"/>
                <w:sz w:val="21"/>
                <w:szCs w:val="21"/>
              </w:rPr>
              <w:t>6</w:t>
            </w:r>
          </w:p>
        </w:tc>
        <w:tc>
          <w:tcPr>
            <w:tcW w:w="709" w:type="pct"/>
            <w:shd w:val="clear" w:color="auto" w:fill="auto"/>
            <w:vAlign w:val="center"/>
          </w:tcPr>
          <w:p w14:paraId="5A54B8F9">
            <w:pPr>
              <w:adjustRightInd w:val="0"/>
              <w:spacing w:line="264" w:lineRule="auto"/>
              <w:jc w:val="center"/>
              <w:rPr>
                <w:rFonts w:ascii="仿宋_GB2312"/>
                <w:sz w:val="21"/>
                <w:szCs w:val="21"/>
              </w:rPr>
            </w:pPr>
            <w:r>
              <w:rPr>
                <w:rFonts w:hint="eastAsia" w:ascii="仿宋_GB2312"/>
                <w:sz w:val="21"/>
                <w:szCs w:val="21"/>
              </w:rPr>
              <w:t>浙江万马智慧传输配套产业基地项目</w:t>
            </w:r>
          </w:p>
        </w:tc>
        <w:tc>
          <w:tcPr>
            <w:tcW w:w="1394" w:type="pct"/>
            <w:shd w:val="clear" w:color="auto" w:fill="auto"/>
            <w:vAlign w:val="center"/>
          </w:tcPr>
          <w:p w14:paraId="0ACEE751">
            <w:pPr>
              <w:adjustRightInd w:val="0"/>
              <w:spacing w:line="264" w:lineRule="auto"/>
              <w:rPr>
                <w:rFonts w:ascii="仿宋_GB2312"/>
                <w:sz w:val="21"/>
                <w:szCs w:val="21"/>
              </w:rPr>
            </w:pPr>
            <w:r>
              <w:rPr>
                <w:rFonts w:hint="eastAsia" w:ascii="仿宋_GB2312"/>
                <w:sz w:val="21"/>
                <w:szCs w:val="21"/>
              </w:rPr>
              <w:t>智慧传输配套产业基地项目</w:t>
            </w:r>
          </w:p>
        </w:tc>
        <w:tc>
          <w:tcPr>
            <w:tcW w:w="357" w:type="pct"/>
            <w:shd w:val="clear" w:color="auto" w:fill="auto"/>
            <w:vAlign w:val="center"/>
          </w:tcPr>
          <w:p w14:paraId="443833C1">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2021-2022</w:t>
            </w:r>
          </w:p>
        </w:tc>
        <w:tc>
          <w:tcPr>
            <w:tcW w:w="327" w:type="pct"/>
            <w:shd w:val="clear" w:color="auto" w:fill="auto"/>
            <w:vAlign w:val="center"/>
          </w:tcPr>
          <w:p w14:paraId="146DDC0E">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6</w:t>
            </w:r>
          </w:p>
        </w:tc>
        <w:tc>
          <w:tcPr>
            <w:tcW w:w="472" w:type="pct"/>
            <w:shd w:val="clear" w:color="auto" w:fill="auto"/>
            <w:vAlign w:val="center"/>
          </w:tcPr>
          <w:p w14:paraId="4C3BE14C">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6</w:t>
            </w:r>
          </w:p>
        </w:tc>
        <w:tc>
          <w:tcPr>
            <w:tcW w:w="717" w:type="pct"/>
            <w:shd w:val="clear" w:color="auto" w:fill="auto"/>
            <w:vAlign w:val="center"/>
          </w:tcPr>
          <w:p w14:paraId="268126CB">
            <w:pPr>
              <w:adjustRightInd w:val="0"/>
              <w:spacing w:line="264" w:lineRule="auto"/>
              <w:jc w:val="center"/>
              <w:rPr>
                <w:rFonts w:ascii="仿宋_GB2312"/>
                <w:sz w:val="21"/>
                <w:szCs w:val="21"/>
              </w:rPr>
            </w:pPr>
            <w:r>
              <w:rPr>
                <w:rFonts w:hint="eastAsia" w:ascii="仿宋_GB2312"/>
                <w:sz w:val="21"/>
                <w:szCs w:val="21"/>
              </w:rPr>
              <w:t>浙江万马海振光电科技有限公司</w:t>
            </w:r>
          </w:p>
        </w:tc>
        <w:tc>
          <w:tcPr>
            <w:tcW w:w="398" w:type="pct"/>
            <w:shd w:val="clear" w:color="auto" w:fill="auto"/>
            <w:vAlign w:val="center"/>
          </w:tcPr>
          <w:p w14:paraId="596EF616">
            <w:pPr>
              <w:adjustRightInd w:val="0"/>
              <w:spacing w:line="264"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7A580C5B">
            <w:pPr>
              <w:adjustRightInd w:val="0"/>
              <w:spacing w:line="264" w:lineRule="auto"/>
              <w:jc w:val="center"/>
              <w:rPr>
                <w:rFonts w:ascii="仿宋_GB2312"/>
                <w:sz w:val="21"/>
                <w:szCs w:val="21"/>
              </w:rPr>
            </w:pPr>
            <w:r>
              <w:rPr>
                <w:rFonts w:hint="eastAsia" w:ascii="仿宋_GB2312"/>
                <w:sz w:val="21"/>
                <w:szCs w:val="21"/>
              </w:rPr>
              <w:t>续建</w:t>
            </w:r>
          </w:p>
        </w:tc>
      </w:tr>
      <w:tr w14:paraId="673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C117616">
            <w:pPr>
              <w:adjustRightInd w:val="0"/>
              <w:spacing w:line="264" w:lineRule="auto"/>
              <w:jc w:val="center"/>
              <w:rPr>
                <w:rFonts w:ascii="仿宋_GB2312"/>
                <w:sz w:val="21"/>
                <w:szCs w:val="21"/>
              </w:rPr>
            </w:pPr>
            <w:r>
              <w:rPr>
                <w:rFonts w:hint="eastAsia" w:ascii="仿宋_GB2312"/>
                <w:sz w:val="21"/>
                <w:szCs w:val="21"/>
              </w:rPr>
              <w:t>7</w:t>
            </w:r>
          </w:p>
        </w:tc>
        <w:tc>
          <w:tcPr>
            <w:tcW w:w="709" w:type="pct"/>
            <w:shd w:val="clear" w:color="auto" w:fill="auto"/>
            <w:vAlign w:val="center"/>
          </w:tcPr>
          <w:p w14:paraId="424F1421">
            <w:pPr>
              <w:adjustRightInd w:val="0"/>
              <w:spacing w:line="264" w:lineRule="auto"/>
              <w:jc w:val="center"/>
              <w:rPr>
                <w:rFonts w:ascii="仿宋_GB2312"/>
                <w:sz w:val="21"/>
                <w:szCs w:val="21"/>
              </w:rPr>
            </w:pPr>
            <w:r>
              <w:rPr>
                <w:rFonts w:hint="eastAsia" w:ascii="仿宋_GB2312"/>
                <w:sz w:val="21"/>
                <w:szCs w:val="21"/>
              </w:rPr>
              <w:t>天能帅福得高能动力锂电池电芯及PACK项目</w:t>
            </w:r>
          </w:p>
        </w:tc>
        <w:tc>
          <w:tcPr>
            <w:tcW w:w="1394" w:type="pct"/>
            <w:shd w:val="clear" w:color="auto" w:fill="auto"/>
            <w:vAlign w:val="center"/>
          </w:tcPr>
          <w:p w14:paraId="23674036">
            <w:pPr>
              <w:adjustRightInd w:val="0"/>
              <w:spacing w:line="264" w:lineRule="auto"/>
              <w:rPr>
                <w:rFonts w:ascii="仿宋_GB2312"/>
                <w:sz w:val="21"/>
                <w:szCs w:val="21"/>
              </w:rPr>
            </w:pPr>
            <w:r>
              <w:rPr>
                <w:rFonts w:hint="eastAsia" w:ascii="仿宋_GB2312"/>
                <w:sz w:val="21"/>
                <w:szCs w:val="21"/>
              </w:rPr>
              <w:t>新增用地24.32亩，建设厂房及研发办公面积23000平方米，购置电芯分选组装、自动点焊机、充放电柜、电池分选机、圆柱制片机包覆机、辊道炉、破碎机等生产设备，建成年产动力锂离子电池1.1亿安时新建项目。</w:t>
            </w:r>
          </w:p>
        </w:tc>
        <w:tc>
          <w:tcPr>
            <w:tcW w:w="357" w:type="pct"/>
            <w:shd w:val="clear" w:color="auto" w:fill="auto"/>
            <w:vAlign w:val="center"/>
          </w:tcPr>
          <w:p w14:paraId="5437B21E">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7E33DA97">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2.5</w:t>
            </w:r>
          </w:p>
        </w:tc>
        <w:tc>
          <w:tcPr>
            <w:tcW w:w="472" w:type="pct"/>
            <w:shd w:val="clear" w:color="auto" w:fill="auto"/>
            <w:vAlign w:val="center"/>
          </w:tcPr>
          <w:p w14:paraId="0335EAF9">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2.5</w:t>
            </w:r>
          </w:p>
        </w:tc>
        <w:tc>
          <w:tcPr>
            <w:tcW w:w="717" w:type="pct"/>
            <w:shd w:val="clear" w:color="auto" w:fill="auto"/>
            <w:vAlign w:val="center"/>
          </w:tcPr>
          <w:p w14:paraId="01B841E6">
            <w:pPr>
              <w:adjustRightInd w:val="0"/>
              <w:spacing w:line="264" w:lineRule="auto"/>
              <w:jc w:val="center"/>
              <w:rPr>
                <w:rFonts w:ascii="仿宋_GB2312"/>
                <w:sz w:val="21"/>
                <w:szCs w:val="21"/>
              </w:rPr>
            </w:pPr>
            <w:r>
              <w:rPr>
                <w:rFonts w:hint="eastAsia" w:ascii="仿宋_GB2312"/>
                <w:sz w:val="21"/>
                <w:szCs w:val="21"/>
              </w:rPr>
              <w:t>天能帅福得能源</w:t>
            </w:r>
          </w:p>
          <w:p w14:paraId="6CAA6145">
            <w:pPr>
              <w:adjustRightInd w:val="0"/>
              <w:spacing w:line="264" w:lineRule="auto"/>
              <w:jc w:val="center"/>
              <w:rPr>
                <w:rFonts w:ascii="仿宋_GB2312"/>
                <w:sz w:val="21"/>
                <w:szCs w:val="21"/>
              </w:rPr>
            </w:pPr>
            <w:r>
              <w:rPr>
                <w:rFonts w:hint="eastAsia" w:ascii="仿宋_GB2312"/>
                <w:sz w:val="21"/>
                <w:szCs w:val="21"/>
              </w:rPr>
              <w:t>股份有限公司</w:t>
            </w:r>
          </w:p>
        </w:tc>
        <w:tc>
          <w:tcPr>
            <w:tcW w:w="398" w:type="pct"/>
            <w:shd w:val="clear" w:color="auto" w:fill="auto"/>
            <w:vAlign w:val="center"/>
          </w:tcPr>
          <w:p w14:paraId="2B5AF9C8">
            <w:pPr>
              <w:adjustRightInd w:val="0"/>
              <w:spacing w:line="264"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621897CD">
            <w:pPr>
              <w:adjustRightInd w:val="0"/>
              <w:spacing w:line="264" w:lineRule="auto"/>
              <w:jc w:val="center"/>
              <w:rPr>
                <w:rFonts w:ascii="仿宋_GB2312"/>
                <w:sz w:val="21"/>
                <w:szCs w:val="21"/>
              </w:rPr>
            </w:pPr>
            <w:r>
              <w:rPr>
                <w:rFonts w:hint="eastAsia" w:ascii="仿宋_GB2312"/>
                <w:sz w:val="21"/>
                <w:szCs w:val="21"/>
              </w:rPr>
              <w:t>续建</w:t>
            </w:r>
          </w:p>
        </w:tc>
      </w:tr>
      <w:tr w14:paraId="3D4C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821EC2B">
            <w:pPr>
              <w:adjustRightInd w:val="0"/>
              <w:spacing w:line="264" w:lineRule="auto"/>
              <w:jc w:val="center"/>
              <w:rPr>
                <w:rFonts w:ascii="仿宋_GB2312"/>
                <w:sz w:val="21"/>
                <w:szCs w:val="21"/>
              </w:rPr>
            </w:pPr>
            <w:r>
              <w:rPr>
                <w:rFonts w:hint="eastAsia" w:ascii="仿宋_GB2312"/>
                <w:sz w:val="21"/>
                <w:szCs w:val="21"/>
              </w:rPr>
              <w:t>8</w:t>
            </w:r>
          </w:p>
        </w:tc>
        <w:tc>
          <w:tcPr>
            <w:tcW w:w="709" w:type="pct"/>
            <w:shd w:val="clear" w:color="auto" w:fill="auto"/>
            <w:vAlign w:val="center"/>
          </w:tcPr>
          <w:p w14:paraId="7A646349">
            <w:pPr>
              <w:adjustRightInd w:val="0"/>
              <w:spacing w:line="264" w:lineRule="auto"/>
              <w:jc w:val="center"/>
              <w:rPr>
                <w:rFonts w:ascii="仿宋_GB2312"/>
                <w:sz w:val="21"/>
                <w:szCs w:val="21"/>
              </w:rPr>
            </w:pPr>
            <w:r>
              <w:rPr>
                <w:rFonts w:hint="eastAsia" w:ascii="仿宋_GB2312"/>
                <w:sz w:val="21"/>
                <w:szCs w:val="21"/>
              </w:rPr>
              <w:t>世威逊智能科技</w:t>
            </w:r>
          </w:p>
        </w:tc>
        <w:tc>
          <w:tcPr>
            <w:tcW w:w="1394" w:type="pct"/>
            <w:shd w:val="clear" w:color="auto" w:fill="auto"/>
            <w:vAlign w:val="center"/>
          </w:tcPr>
          <w:p w14:paraId="3AF189D2">
            <w:pPr>
              <w:adjustRightInd w:val="0"/>
              <w:spacing w:line="264" w:lineRule="auto"/>
              <w:rPr>
                <w:rFonts w:ascii="仿宋_GB2312"/>
                <w:sz w:val="21"/>
                <w:szCs w:val="21"/>
              </w:rPr>
            </w:pPr>
            <w:r>
              <w:rPr>
                <w:rFonts w:hint="eastAsia" w:ascii="仿宋_GB2312"/>
                <w:sz w:val="21"/>
                <w:szCs w:val="21"/>
              </w:rPr>
              <w:t>年产800套新能源换电站系统建设项目。</w:t>
            </w:r>
          </w:p>
        </w:tc>
        <w:tc>
          <w:tcPr>
            <w:tcW w:w="357" w:type="pct"/>
            <w:shd w:val="clear" w:color="auto" w:fill="auto"/>
            <w:vAlign w:val="center"/>
          </w:tcPr>
          <w:p w14:paraId="16639CF2">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2021-2022</w:t>
            </w:r>
          </w:p>
        </w:tc>
        <w:tc>
          <w:tcPr>
            <w:tcW w:w="327" w:type="pct"/>
            <w:shd w:val="clear" w:color="auto" w:fill="auto"/>
            <w:vAlign w:val="center"/>
          </w:tcPr>
          <w:p w14:paraId="387FAB09">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10.5</w:t>
            </w:r>
          </w:p>
        </w:tc>
        <w:tc>
          <w:tcPr>
            <w:tcW w:w="472" w:type="pct"/>
            <w:shd w:val="clear" w:color="auto" w:fill="auto"/>
            <w:vAlign w:val="center"/>
          </w:tcPr>
          <w:p w14:paraId="5D115E04">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10.5</w:t>
            </w:r>
          </w:p>
        </w:tc>
        <w:tc>
          <w:tcPr>
            <w:tcW w:w="717" w:type="pct"/>
            <w:shd w:val="clear" w:color="auto" w:fill="auto"/>
            <w:vAlign w:val="center"/>
          </w:tcPr>
          <w:p w14:paraId="37196A27">
            <w:pPr>
              <w:adjustRightInd w:val="0"/>
              <w:spacing w:line="264" w:lineRule="auto"/>
              <w:jc w:val="center"/>
              <w:rPr>
                <w:rFonts w:ascii="仿宋_GB2312"/>
                <w:sz w:val="21"/>
                <w:szCs w:val="21"/>
              </w:rPr>
            </w:pPr>
            <w:r>
              <w:rPr>
                <w:rFonts w:hint="eastAsia" w:ascii="仿宋_GB2312"/>
                <w:sz w:val="21"/>
                <w:szCs w:val="21"/>
              </w:rPr>
              <w:t>浙江世威逊</w:t>
            </w:r>
          </w:p>
          <w:p w14:paraId="720AEC2E">
            <w:pPr>
              <w:adjustRightInd w:val="0"/>
              <w:spacing w:line="264" w:lineRule="auto"/>
              <w:jc w:val="center"/>
              <w:rPr>
                <w:rFonts w:ascii="仿宋_GB2312"/>
                <w:sz w:val="21"/>
                <w:szCs w:val="21"/>
              </w:rPr>
            </w:pPr>
            <w:r>
              <w:rPr>
                <w:rFonts w:hint="eastAsia" w:ascii="仿宋_GB2312"/>
                <w:sz w:val="21"/>
                <w:szCs w:val="21"/>
              </w:rPr>
              <w:t>智能科技有限公司</w:t>
            </w:r>
          </w:p>
        </w:tc>
        <w:tc>
          <w:tcPr>
            <w:tcW w:w="398" w:type="pct"/>
            <w:shd w:val="clear" w:color="auto" w:fill="auto"/>
            <w:vAlign w:val="center"/>
          </w:tcPr>
          <w:p w14:paraId="4A7016C8">
            <w:pPr>
              <w:adjustRightInd w:val="0"/>
              <w:spacing w:line="264"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1F2C38A">
            <w:pPr>
              <w:adjustRightInd w:val="0"/>
              <w:spacing w:line="264" w:lineRule="auto"/>
              <w:jc w:val="center"/>
              <w:rPr>
                <w:rFonts w:ascii="仿宋_GB2312"/>
                <w:sz w:val="21"/>
                <w:szCs w:val="21"/>
              </w:rPr>
            </w:pPr>
            <w:r>
              <w:rPr>
                <w:rFonts w:hint="eastAsia" w:ascii="仿宋_GB2312"/>
                <w:sz w:val="21"/>
                <w:szCs w:val="21"/>
              </w:rPr>
              <w:t>续建</w:t>
            </w:r>
          </w:p>
        </w:tc>
      </w:tr>
      <w:tr w14:paraId="2ADE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6" w:type="pct"/>
            <w:shd w:val="clear" w:color="auto" w:fill="auto"/>
            <w:vAlign w:val="center"/>
          </w:tcPr>
          <w:p w14:paraId="061F7BE4">
            <w:pPr>
              <w:adjustRightInd w:val="0"/>
              <w:spacing w:line="264" w:lineRule="auto"/>
              <w:jc w:val="center"/>
              <w:rPr>
                <w:rFonts w:ascii="仿宋_GB2312"/>
                <w:sz w:val="21"/>
                <w:szCs w:val="21"/>
              </w:rPr>
            </w:pPr>
            <w:r>
              <w:rPr>
                <w:rFonts w:hint="eastAsia" w:ascii="仿宋_GB2312"/>
                <w:sz w:val="21"/>
                <w:szCs w:val="21"/>
              </w:rPr>
              <w:t>9</w:t>
            </w:r>
          </w:p>
        </w:tc>
        <w:tc>
          <w:tcPr>
            <w:tcW w:w="709" w:type="pct"/>
            <w:shd w:val="clear" w:color="auto" w:fill="auto"/>
            <w:vAlign w:val="center"/>
          </w:tcPr>
          <w:p w14:paraId="37D268F8">
            <w:pPr>
              <w:adjustRightInd w:val="0"/>
              <w:spacing w:line="264" w:lineRule="auto"/>
              <w:jc w:val="center"/>
              <w:rPr>
                <w:rFonts w:ascii="仿宋_GB2312"/>
                <w:sz w:val="21"/>
                <w:szCs w:val="21"/>
                <w:highlight w:val="yellow"/>
              </w:rPr>
            </w:pPr>
            <w:r>
              <w:rPr>
                <w:rFonts w:hint="eastAsia" w:ascii="仿宋_GB2312"/>
                <w:sz w:val="21"/>
                <w:szCs w:val="21"/>
              </w:rPr>
              <w:t>中博龙辉长兴科技装备产业基地项目</w:t>
            </w:r>
          </w:p>
        </w:tc>
        <w:tc>
          <w:tcPr>
            <w:tcW w:w="1394" w:type="pct"/>
            <w:shd w:val="clear" w:color="auto" w:fill="auto"/>
            <w:vAlign w:val="center"/>
          </w:tcPr>
          <w:p w14:paraId="2ABF9466">
            <w:pPr>
              <w:adjustRightInd w:val="0"/>
              <w:spacing w:line="264" w:lineRule="auto"/>
              <w:rPr>
                <w:rFonts w:ascii="仿宋_GB2312"/>
                <w:sz w:val="21"/>
                <w:szCs w:val="21"/>
              </w:rPr>
            </w:pPr>
            <w:r>
              <w:rPr>
                <w:rFonts w:hint="eastAsia" w:ascii="仿宋_GB2312"/>
                <w:sz w:val="21"/>
                <w:szCs w:val="21"/>
              </w:rPr>
              <w:t>年产特种智能计算终端产品20万套生产线、3.5亿Wh的锂电集成电源生产线、4.6亿Wh钛酸锂电芯生产线。</w:t>
            </w:r>
          </w:p>
        </w:tc>
        <w:tc>
          <w:tcPr>
            <w:tcW w:w="357" w:type="pct"/>
            <w:shd w:val="clear" w:color="auto" w:fill="auto"/>
            <w:vAlign w:val="center"/>
          </w:tcPr>
          <w:p w14:paraId="103C202B">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2021-2022</w:t>
            </w:r>
          </w:p>
        </w:tc>
        <w:tc>
          <w:tcPr>
            <w:tcW w:w="327" w:type="pct"/>
            <w:shd w:val="clear" w:color="auto" w:fill="auto"/>
            <w:vAlign w:val="center"/>
          </w:tcPr>
          <w:p w14:paraId="037A30C2">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6.1</w:t>
            </w:r>
          </w:p>
        </w:tc>
        <w:tc>
          <w:tcPr>
            <w:tcW w:w="472" w:type="pct"/>
            <w:shd w:val="clear" w:color="auto" w:fill="auto"/>
            <w:vAlign w:val="center"/>
          </w:tcPr>
          <w:p w14:paraId="0F352115">
            <w:pPr>
              <w:adjustRightInd w:val="0"/>
              <w:spacing w:line="264" w:lineRule="auto"/>
              <w:jc w:val="center"/>
              <w:rPr>
                <w:rFonts w:ascii="仿宋_GB2312"/>
                <w:snapToGrid w:val="0"/>
                <w:spacing w:val="-16"/>
                <w:sz w:val="21"/>
                <w:szCs w:val="21"/>
              </w:rPr>
            </w:pPr>
            <w:r>
              <w:rPr>
                <w:rFonts w:hint="eastAsia" w:ascii="仿宋_GB2312"/>
                <w:snapToGrid w:val="0"/>
                <w:spacing w:val="-16"/>
                <w:sz w:val="21"/>
                <w:szCs w:val="21"/>
              </w:rPr>
              <w:t>6.1</w:t>
            </w:r>
          </w:p>
        </w:tc>
        <w:tc>
          <w:tcPr>
            <w:tcW w:w="717" w:type="pct"/>
            <w:shd w:val="clear" w:color="auto" w:fill="auto"/>
            <w:vAlign w:val="center"/>
          </w:tcPr>
          <w:p w14:paraId="4691DD31">
            <w:pPr>
              <w:adjustRightInd w:val="0"/>
              <w:spacing w:line="264" w:lineRule="auto"/>
              <w:jc w:val="center"/>
              <w:rPr>
                <w:rFonts w:ascii="仿宋_GB2312"/>
                <w:sz w:val="21"/>
                <w:szCs w:val="21"/>
              </w:rPr>
            </w:pPr>
            <w:r>
              <w:rPr>
                <w:rFonts w:hint="eastAsia" w:ascii="仿宋_GB2312"/>
                <w:sz w:val="21"/>
                <w:szCs w:val="21"/>
              </w:rPr>
              <w:t>中博龙辉装备</w:t>
            </w:r>
          </w:p>
          <w:p w14:paraId="23E51772">
            <w:pPr>
              <w:adjustRightInd w:val="0"/>
              <w:spacing w:line="264" w:lineRule="auto"/>
              <w:jc w:val="center"/>
              <w:rPr>
                <w:rFonts w:ascii="仿宋_GB2312"/>
                <w:sz w:val="21"/>
                <w:szCs w:val="21"/>
              </w:rPr>
            </w:pPr>
            <w:r>
              <w:rPr>
                <w:rFonts w:hint="eastAsia" w:ascii="仿宋_GB2312"/>
                <w:sz w:val="21"/>
                <w:szCs w:val="21"/>
              </w:rPr>
              <w:t>集团股份有限公司</w:t>
            </w:r>
          </w:p>
        </w:tc>
        <w:tc>
          <w:tcPr>
            <w:tcW w:w="398" w:type="pct"/>
            <w:shd w:val="clear" w:color="auto" w:fill="auto"/>
            <w:vAlign w:val="center"/>
          </w:tcPr>
          <w:p w14:paraId="64069F49">
            <w:pPr>
              <w:adjustRightInd w:val="0"/>
              <w:spacing w:line="264"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B8D4302">
            <w:pPr>
              <w:adjustRightInd w:val="0"/>
              <w:spacing w:line="264" w:lineRule="auto"/>
              <w:jc w:val="center"/>
              <w:rPr>
                <w:rFonts w:ascii="仿宋_GB2312"/>
                <w:sz w:val="21"/>
                <w:szCs w:val="21"/>
              </w:rPr>
            </w:pPr>
            <w:r>
              <w:rPr>
                <w:rFonts w:hint="eastAsia" w:ascii="仿宋_GB2312"/>
                <w:sz w:val="21"/>
                <w:szCs w:val="21"/>
              </w:rPr>
              <w:t>续建</w:t>
            </w:r>
          </w:p>
        </w:tc>
      </w:tr>
      <w:tr w14:paraId="0894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86" w:type="pct"/>
            <w:shd w:val="clear" w:color="auto" w:fill="auto"/>
            <w:vAlign w:val="center"/>
          </w:tcPr>
          <w:p w14:paraId="5E7FFC1D">
            <w:pPr>
              <w:adjustRightInd w:val="0"/>
              <w:spacing w:line="264" w:lineRule="auto"/>
              <w:jc w:val="center"/>
              <w:rPr>
                <w:rFonts w:ascii="仿宋_GB2312"/>
                <w:sz w:val="21"/>
                <w:szCs w:val="21"/>
              </w:rPr>
            </w:pPr>
            <w:r>
              <w:rPr>
                <w:rFonts w:hint="eastAsia" w:ascii="仿宋_GB2312"/>
                <w:sz w:val="21"/>
                <w:szCs w:val="21"/>
              </w:rPr>
              <w:t>10</w:t>
            </w:r>
          </w:p>
        </w:tc>
        <w:tc>
          <w:tcPr>
            <w:tcW w:w="709" w:type="pct"/>
            <w:shd w:val="clear" w:color="auto" w:fill="auto"/>
            <w:vAlign w:val="center"/>
          </w:tcPr>
          <w:p w14:paraId="55F713DD">
            <w:pPr>
              <w:adjustRightInd w:val="0"/>
              <w:spacing w:line="264" w:lineRule="auto"/>
              <w:jc w:val="center"/>
              <w:rPr>
                <w:rFonts w:ascii="仿宋_GB2312"/>
                <w:sz w:val="21"/>
                <w:szCs w:val="21"/>
                <w:highlight w:val="yellow"/>
              </w:rPr>
            </w:pPr>
            <w:r>
              <w:rPr>
                <w:rFonts w:hint="eastAsia" w:ascii="仿宋_GB2312"/>
                <w:sz w:val="21"/>
                <w:szCs w:val="21"/>
              </w:rPr>
              <w:t>湖州长兴5GW高效异质结（HJT）光伏</w:t>
            </w:r>
            <w:r>
              <w:rPr>
                <w:rFonts w:hint="eastAsia" w:ascii="仿宋_GB2312"/>
                <w:snapToGrid w:val="0"/>
                <w:spacing w:val="-6"/>
                <w:sz w:val="21"/>
                <w:szCs w:val="21"/>
              </w:rPr>
              <w:t>电池及叠瓦组件项目</w:t>
            </w:r>
          </w:p>
        </w:tc>
        <w:tc>
          <w:tcPr>
            <w:tcW w:w="1394" w:type="pct"/>
            <w:shd w:val="clear" w:color="auto" w:fill="auto"/>
            <w:vAlign w:val="center"/>
          </w:tcPr>
          <w:p w14:paraId="0602E05C">
            <w:pPr>
              <w:adjustRightInd w:val="0"/>
              <w:spacing w:line="264" w:lineRule="auto"/>
              <w:rPr>
                <w:rFonts w:ascii="仿宋_GB2312"/>
                <w:sz w:val="21"/>
                <w:szCs w:val="21"/>
                <w:highlight w:val="yellow"/>
              </w:rPr>
            </w:pPr>
            <w:r>
              <w:rPr>
                <w:rFonts w:hint="eastAsia" w:ascii="仿宋_GB2312"/>
                <w:sz w:val="21"/>
                <w:szCs w:val="21"/>
              </w:rPr>
              <w:t>拟新增430亩土地，新建标准厂房及辅助用房410000平方米，购置生产及辅助设备900台(套），项目建成后，形成年产5GW高效异质结（HJT）光伏电池及叠瓦组件生产能力。</w:t>
            </w:r>
          </w:p>
        </w:tc>
        <w:tc>
          <w:tcPr>
            <w:tcW w:w="357" w:type="pct"/>
            <w:shd w:val="clear" w:color="auto" w:fill="auto"/>
            <w:vAlign w:val="center"/>
          </w:tcPr>
          <w:p w14:paraId="251427A1">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2018-2023</w:t>
            </w:r>
          </w:p>
        </w:tc>
        <w:tc>
          <w:tcPr>
            <w:tcW w:w="327" w:type="pct"/>
            <w:shd w:val="clear" w:color="auto" w:fill="auto"/>
            <w:vAlign w:val="center"/>
          </w:tcPr>
          <w:p w14:paraId="1E717E51">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106</w:t>
            </w:r>
          </w:p>
        </w:tc>
        <w:tc>
          <w:tcPr>
            <w:tcW w:w="472" w:type="pct"/>
            <w:shd w:val="clear" w:color="auto" w:fill="auto"/>
            <w:vAlign w:val="center"/>
          </w:tcPr>
          <w:p w14:paraId="622323E4">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86</w:t>
            </w:r>
          </w:p>
        </w:tc>
        <w:tc>
          <w:tcPr>
            <w:tcW w:w="717" w:type="pct"/>
            <w:shd w:val="clear" w:color="auto" w:fill="auto"/>
            <w:vAlign w:val="center"/>
          </w:tcPr>
          <w:p w14:paraId="6F177A8D">
            <w:pPr>
              <w:adjustRightInd w:val="0"/>
              <w:spacing w:line="264" w:lineRule="auto"/>
              <w:jc w:val="center"/>
              <w:rPr>
                <w:rFonts w:ascii="仿宋_GB2312"/>
                <w:sz w:val="21"/>
                <w:szCs w:val="21"/>
              </w:rPr>
            </w:pPr>
            <w:r>
              <w:rPr>
                <w:rFonts w:hint="eastAsia" w:ascii="仿宋_GB2312"/>
                <w:sz w:val="21"/>
                <w:szCs w:val="21"/>
              </w:rPr>
              <w:t>江苏爱康</w:t>
            </w:r>
          </w:p>
          <w:p w14:paraId="3FB9EF5A">
            <w:pPr>
              <w:adjustRightInd w:val="0"/>
              <w:spacing w:line="264" w:lineRule="auto"/>
              <w:jc w:val="center"/>
              <w:rPr>
                <w:rFonts w:ascii="仿宋_GB2312"/>
                <w:sz w:val="21"/>
                <w:szCs w:val="21"/>
                <w:highlight w:val="yellow"/>
              </w:rPr>
            </w:pPr>
            <w:r>
              <w:rPr>
                <w:rFonts w:hint="eastAsia" w:ascii="仿宋_GB2312"/>
                <w:sz w:val="21"/>
                <w:szCs w:val="21"/>
              </w:rPr>
              <w:t>科技有限公司</w:t>
            </w:r>
          </w:p>
        </w:tc>
        <w:tc>
          <w:tcPr>
            <w:tcW w:w="398" w:type="pct"/>
            <w:shd w:val="clear" w:color="auto" w:fill="auto"/>
            <w:vAlign w:val="center"/>
          </w:tcPr>
          <w:p w14:paraId="751AAE52">
            <w:pPr>
              <w:adjustRightInd w:val="0"/>
              <w:spacing w:line="264" w:lineRule="auto"/>
              <w:jc w:val="center"/>
              <w:rPr>
                <w:rFonts w:ascii="仿宋_GB2312"/>
                <w:sz w:val="21"/>
                <w:szCs w:val="21"/>
                <w:highlight w:val="yellow"/>
              </w:rPr>
            </w:pPr>
            <w:r>
              <w:rPr>
                <w:rFonts w:hint="eastAsia" w:ascii="仿宋_GB2312"/>
                <w:sz w:val="21"/>
                <w:szCs w:val="21"/>
              </w:rPr>
              <w:t>实施类</w:t>
            </w:r>
          </w:p>
        </w:tc>
        <w:tc>
          <w:tcPr>
            <w:tcW w:w="440" w:type="pct"/>
            <w:shd w:val="clear" w:color="auto" w:fill="auto"/>
            <w:vAlign w:val="center"/>
          </w:tcPr>
          <w:p w14:paraId="222B91A8">
            <w:pPr>
              <w:adjustRightInd w:val="0"/>
              <w:spacing w:line="264" w:lineRule="auto"/>
              <w:jc w:val="center"/>
              <w:rPr>
                <w:rFonts w:ascii="仿宋_GB2312"/>
                <w:sz w:val="21"/>
                <w:szCs w:val="21"/>
                <w:highlight w:val="yellow"/>
              </w:rPr>
            </w:pPr>
            <w:r>
              <w:rPr>
                <w:rFonts w:hint="eastAsia" w:ascii="仿宋_GB2312"/>
                <w:sz w:val="21"/>
                <w:szCs w:val="21"/>
              </w:rPr>
              <w:t>续建</w:t>
            </w:r>
          </w:p>
        </w:tc>
      </w:tr>
      <w:tr w14:paraId="0D31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5751466">
            <w:pPr>
              <w:adjustRightInd w:val="0"/>
              <w:spacing w:line="264" w:lineRule="auto"/>
              <w:jc w:val="center"/>
              <w:rPr>
                <w:rFonts w:ascii="仿宋_GB2312"/>
                <w:sz w:val="21"/>
                <w:szCs w:val="21"/>
              </w:rPr>
            </w:pPr>
            <w:r>
              <w:rPr>
                <w:rFonts w:hint="eastAsia" w:ascii="仿宋_GB2312"/>
                <w:sz w:val="21"/>
                <w:szCs w:val="21"/>
              </w:rPr>
              <w:t>11</w:t>
            </w:r>
          </w:p>
        </w:tc>
        <w:tc>
          <w:tcPr>
            <w:tcW w:w="709" w:type="pct"/>
            <w:shd w:val="clear" w:color="auto" w:fill="auto"/>
            <w:vAlign w:val="center"/>
          </w:tcPr>
          <w:p w14:paraId="3CB5B2F3">
            <w:pPr>
              <w:adjustRightInd w:val="0"/>
              <w:spacing w:line="264" w:lineRule="auto"/>
              <w:jc w:val="center"/>
              <w:rPr>
                <w:rFonts w:ascii="仿宋_GB2312"/>
                <w:sz w:val="21"/>
                <w:szCs w:val="21"/>
              </w:rPr>
            </w:pPr>
            <w:r>
              <w:rPr>
                <w:rFonts w:hint="eastAsia" w:ascii="仿宋_GB2312"/>
                <w:sz w:val="21"/>
                <w:szCs w:val="21"/>
              </w:rPr>
              <w:t>湖州金钛导体技术有限公司高性能</w:t>
            </w:r>
          </w:p>
          <w:p w14:paraId="3374A083">
            <w:pPr>
              <w:adjustRightInd w:val="0"/>
              <w:spacing w:line="264" w:lineRule="auto"/>
              <w:jc w:val="center"/>
              <w:rPr>
                <w:rFonts w:ascii="仿宋_GB2312"/>
                <w:sz w:val="21"/>
                <w:szCs w:val="21"/>
              </w:rPr>
            </w:pPr>
            <w:r>
              <w:rPr>
                <w:rFonts w:hint="eastAsia" w:ascii="仿宋_GB2312"/>
                <w:sz w:val="21"/>
                <w:szCs w:val="21"/>
              </w:rPr>
              <w:t>铜合金及精密成型制造项目</w:t>
            </w:r>
          </w:p>
        </w:tc>
        <w:tc>
          <w:tcPr>
            <w:tcW w:w="1394" w:type="pct"/>
            <w:shd w:val="clear" w:color="auto" w:fill="auto"/>
            <w:vAlign w:val="center"/>
          </w:tcPr>
          <w:p w14:paraId="33C4AA33">
            <w:pPr>
              <w:adjustRightInd w:val="0"/>
              <w:spacing w:line="264" w:lineRule="auto"/>
              <w:rPr>
                <w:rFonts w:ascii="仿宋_GB2312"/>
                <w:sz w:val="21"/>
                <w:szCs w:val="21"/>
                <w:highlight w:val="yellow"/>
              </w:rPr>
            </w:pPr>
            <w:r>
              <w:rPr>
                <w:rFonts w:hint="eastAsia" w:ascii="仿宋_GB2312"/>
                <w:sz w:val="21"/>
                <w:szCs w:val="21"/>
              </w:rPr>
              <w:t>一期投资5亿元，占地面积50亩，建设面积50000平方米，生产高性能铜合金及精密成型制造项目；二期投资10亿元，占地面积150亩，项目建成后，生产高性能铜合金、精密线缆终端产品、高温合金部件等，共实现产值25亿元（累计）。</w:t>
            </w:r>
          </w:p>
        </w:tc>
        <w:tc>
          <w:tcPr>
            <w:tcW w:w="357" w:type="pct"/>
            <w:shd w:val="clear" w:color="auto" w:fill="auto"/>
            <w:vAlign w:val="center"/>
          </w:tcPr>
          <w:p w14:paraId="66BA11EB">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2020-2022</w:t>
            </w:r>
          </w:p>
        </w:tc>
        <w:tc>
          <w:tcPr>
            <w:tcW w:w="327" w:type="pct"/>
            <w:shd w:val="clear" w:color="auto" w:fill="auto"/>
            <w:vAlign w:val="center"/>
          </w:tcPr>
          <w:p w14:paraId="36D3031D">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15</w:t>
            </w:r>
          </w:p>
        </w:tc>
        <w:tc>
          <w:tcPr>
            <w:tcW w:w="472" w:type="pct"/>
            <w:shd w:val="clear" w:color="auto" w:fill="auto"/>
            <w:vAlign w:val="center"/>
          </w:tcPr>
          <w:p w14:paraId="1B5BD52E">
            <w:pPr>
              <w:adjustRightInd w:val="0"/>
              <w:spacing w:line="264" w:lineRule="auto"/>
              <w:jc w:val="center"/>
              <w:rPr>
                <w:rFonts w:ascii="仿宋_GB2312"/>
                <w:snapToGrid w:val="0"/>
                <w:spacing w:val="-16"/>
                <w:sz w:val="21"/>
                <w:szCs w:val="21"/>
                <w:highlight w:val="yellow"/>
              </w:rPr>
            </w:pPr>
            <w:r>
              <w:rPr>
                <w:rFonts w:hint="eastAsia" w:ascii="仿宋_GB2312"/>
                <w:snapToGrid w:val="0"/>
                <w:spacing w:val="-16"/>
                <w:sz w:val="21"/>
                <w:szCs w:val="21"/>
              </w:rPr>
              <w:t>11</w:t>
            </w:r>
          </w:p>
        </w:tc>
        <w:tc>
          <w:tcPr>
            <w:tcW w:w="717" w:type="pct"/>
            <w:shd w:val="clear" w:color="auto" w:fill="auto"/>
            <w:vAlign w:val="center"/>
          </w:tcPr>
          <w:p w14:paraId="1E99A6AA">
            <w:pPr>
              <w:adjustRightInd w:val="0"/>
              <w:spacing w:line="264" w:lineRule="auto"/>
              <w:jc w:val="center"/>
              <w:rPr>
                <w:rFonts w:ascii="仿宋_GB2312"/>
                <w:sz w:val="21"/>
                <w:szCs w:val="21"/>
              </w:rPr>
            </w:pPr>
            <w:r>
              <w:rPr>
                <w:rFonts w:hint="eastAsia" w:ascii="仿宋_GB2312"/>
                <w:sz w:val="21"/>
                <w:szCs w:val="21"/>
              </w:rPr>
              <w:t>湖州金钛导体</w:t>
            </w:r>
          </w:p>
          <w:p w14:paraId="62F03C9C">
            <w:pPr>
              <w:adjustRightInd w:val="0"/>
              <w:spacing w:line="264" w:lineRule="auto"/>
              <w:jc w:val="center"/>
              <w:rPr>
                <w:rFonts w:ascii="仿宋_GB2312"/>
                <w:sz w:val="21"/>
                <w:szCs w:val="21"/>
                <w:highlight w:val="yellow"/>
              </w:rPr>
            </w:pPr>
            <w:r>
              <w:rPr>
                <w:rFonts w:hint="eastAsia" w:ascii="仿宋_GB2312"/>
                <w:sz w:val="21"/>
                <w:szCs w:val="21"/>
              </w:rPr>
              <w:t>技术有限公司</w:t>
            </w:r>
          </w:p>
        </w:tc>
        <w:tc>
          <w:tcPr>
            <w:tcW w:w="398" w:type="pct"/>
            <w:shd w:val="clear" w:color="auto" w:fill="auto"/>
            <w:vAlign w:val="center"/>
          </w:tcPr>
          <w:p w14:paraId="301C250F">
            <w:pPr>
              <w:adjustRightInd w:val="0"/>
              <w:spacing w:line="264" w:lineRule="auto"/>
              <w:jc w:val="center"/>
              <w:rPr>
                <w:rFonts w:ascii="仿宋_GB2312"/>
                <w:sz w:val="21"/>
                <w:szCs w:val="21"/>
                <w:highlight w:val="yellow"/>
              </w:rPr>
            </w:pPr>
            <w:r>
              <w:rPr>
                <w:rFonts w:hint="eastAsia" w:ascii="仿宋_GB2312"/>
                <w:sz w:val="21"/>
                <w:szCs w:val="21"/>
              </w:rPr>
              <w:t>实施类</w:t>
            </w:r>
          </w:p>
        </w:tc>
        <w:tc>
          <w:tcPr>
            <w:tcW w:w="440" w:type="pct"/>
            <w:shd w:val="clear" w:color="auto" w:fill="auto"/>
            <w:vAlign w:val="center"/>
          </w:tcPr>
          <w:p w14:paraId="04129F35">
            <w:pPr>
              <w:adjustRightInd w:val="0"/>
              <w:spacing w:line="264" w:lineRule="auto"/>
              <w:jc w:val="center"/>
              <w:rPr>
                <w:rFonts w:ascii="仿宋_GB2312"/>
                <w:sz w:val="21"/>
                <w:szCs w:val="21"/>
                <w:highlight w:val="yellow"/>
              </w:rPr>
            </w:pPr>
            <w:r>
              <w:rPr>
                <w:rFonts w:hint="eastAsia" w:ascii="仿宋_GB2312"/>
                <w:sz w:val="21"/>
                <w:szCs w:val="21"/>
              </w:rPr>
              <w:t>新建</w:t>
            </w:r>
          </w:p>
        </w:tc>
      </w:tr>
      <w:tr w14:paraId="2327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6E0CC72">
            <w:pPr>
              <w:adjustRightInd w:val="0"/>
              <w:spacing w:line="240" w:lineRule="auto"/>
              <w:jc w:val="center"/>
              <w:rPr>
                <w:rFonts w:ascii="仿宋_GB2312"/>
                <w:sz w:val="21"/>
                <w:szCs w:val="21"/>
              </w:rPr>
            </w:pPr>
            <w:r>
              <w:rPr>
                <w:rFonts w:hint="eastAsia" w:ascii="仿宋_GB2312"/>
                <w:sz w:val="21"/>
                <w:szCs w:val="21"/>
              </w:rPr>
              <w:t>12</w:t>
            </w:r>
          </w:p>
        </w:tc>
        <w:tc>
          <w:tcPr>
            <w:tcW w:w="709" w:type="pct"/>
            <w:shd w:val="clear" w:color="auto" w:fill="auto"/>
            <w:vAlign w:val="center"/>
          </w:tcPr>
          <w:p w14:paraId="07DCD460">
            <w:pPr>
              <w:adjustRightInd w:val="0"/>
              <w:spacing w:line="240" w:lineRule="auto"/>
              <w:jc w:val="center"/>
              <w:rPr>
                <w:rFonts w:ascii="仿宋_GB2312"/>
                <w:sz w:val="21"/>
                <w:szCs w:val="21"/>
              </w:rPr>
            </w:pPr>
            <w:r>
              <w:rPr>
                <w:rFonts w:hint="eastAsia" w:ascii="仿宋_GB2312"/>
                <w:sz w:val="21"/>
                <w:szCs w:val="21"/>
              </w:rPr>
              <w:t>浙江金瑞泰新材料有限公司智能数码新材料项目</w:t>
            </w:r>
          </w:p>
        </w:tc>
        <w:tc>
          <w:tcPr>
            <w:tcW w:w="1394" w:type="pct"/>
            <w:shd w:val="clear" w:color="auto" w:fill="auto"/>
            <w:vAlign w:val="center"/>
          </w:tcPr>
          <w:p w14:paraId="16E86ABF">
            <w:pPr>
              <w:adjustRightInd w:val="0"/>
              <w:spacing w:line="240" w:lineRule="auto"/>
              <w:rPr>
                <w:rFonts w:ascii="仿宋_GB2312"/>
                <w:sz w:val="21"/>
                <w:szCs w:val="21"/>
              </w:rPr>
            </w:pPr>
            <w:r>
              <w:rPr>
                <w:rFonts w:hint="eastAsia" w:ascii="仿宋_GB2312"/>
                <w:sz w:val="21"/>
                <w:szCs w:val="21"/>
              </w:rPr>
              <w:t>规划用地201亩，建设厂房及辅助用房160880平方米，拟建设8条运行车速50米/分的高速多层智能数码新材料生产线，购置热敏CTP制版机、数控干燥器、网点仪等设备。</w:t>
            </w:r>
          </w:p>
        </w:tc>
        <w:tc>
          <w:tcPr>
            <w:tcW w:w="357" w:type="pct"/>
            <w:shd w:val="clear" w:color="auto" w:fill="auto"/>
            <w:vAlign w:val="center"/>
          </w:tcPr>
          <w:p w14:paraId="4EF92E9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4C88022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12</w:t>
            </w:r>
          </w:p>
        </w:tc>
        <w:tc>
          <w:tcPr>
            <w:tcW w:w="472" w:type="pct"/>
            <w:shd w:val="clear" w:color="auto" w:fill="auto"/>
            <w:vAlign w:val="center"/>
          </w:tcPr>
          <w:p w14:paraId="2D5F810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11.5</w:t>
            </w:r>
          </w:p>
        </w:tc>
        <w:tc>
          <w:tcPr>
            <w:tcW w:w="717" w:type="pct"/>
            <w:shd w:val="clear" w:color="auto" w:fill="auto"/>
            <w:vAlign w:val="center"/>
          </w:tcPr>
          <w:p w14:paraId="27480846">
            <w:pPr>
              <w:adjustRightInd w:val="0"/>
              <w:spacing w:line="240" w:lineRule="auto"/>
              <w:jc w:val="center"/>
              <w:rPr>
                <w:rFonts w:ascii="仿宋_GB2312"/>
                <w:sz w:val="21"/>
                <w:szCs w:val="21"/>
              </w:rPr>
            </w:pPr>
            <w:r>
              <w:rPr>
                <w:rFonts w:hint="eastAsia" w:ascii="仿宋_GB2312"/>
                <w:sz w:val="21"/>
                <w:szCs w:val="21"/>
              </w:rPr>
              <w:t>黄山金瑞泰科技</w:t>
            </w:r>
          </w:p>
          <w:p w14:paraId="7554E2F3">
            <w:pPr>
              <w:adjustRightInd w:val="0"/>
              <w:spacing w:line="240" w:lineRule="auto"/>
              <w:jc w:val="center"/>
              <w:rPr>
                <w:rFonts w:ascii="仿宋_GB2312"/>
                <w:sz w:val="21"/>
                <w:szCs w:val="21"/>
              </w:rPr>
            </w:pPr>
            <w:r>
              <w:rPr>
                <w:rFonts w:hint="eastAsia" w:ascii="仿宋_GB2312"/>
                <w:sz w:val="21"/>
                <w:szCs w:val="21"/>
              </w:rPr>
              <w:t>股份有限公司</w:t>
            </w:r>
          </w:p>
        </w:tc>
        <w:tc>
          <w:tcPr>
            <w:tcW w:w="398" w:type="pct"/>
            <w:shd w:val="clear" w:color="auto" w:fill="auto"/>
            <w:vAlign w:val="center"/>
          </w:tcPr>
          <w:p w14:paraId="17EC84AD">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B19C209">
            <w:pPr>
              <w:adjustRightInd w:val="0"/>
              <w:spacing w:line="240" w:lineRule="auto"/>
              <w:jc w:val="center"/>
              <w:rPr>
                <w:rFonts w:ascii="仿宋_GB2312"/>
                <w:sz w:val="21"/>
                <w:szCs w:val="21"/>
              </w:rPr>
            </w:pPr>
            <w:r>
              <w:rPr>
                <w:rFonts w:hint="eastAsia" w:ascii="仿宋_GB2312"/>
                <w:sz w:val="21"/>
                <w:szCs w:val="21"/>
              </w:rPr>
              <w:t>续建</w:t>
            </w:r>
          </w:p>
        </w:tc>
      </w:tr>
      <w:tr w14:paraId="0FAE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130778F">
            <w:pPr>
              <w:adjustRightInd w:val="0"/>
              <w:spacing w:line="240" w:lineRule="auto"/>
              <w:jc w:val="center"/>
              <w:rPr>
                <w:rFonts w:ascii="仿宋_GB2312"/>
                <w:sz w:val="21"/>
                <w:szCs w:val="21"/>
              </w:rPr>
            </w:pPr>
            <w:r>
              <w:rPr>
                <w:rFonts w:hint="eastAsia" w:ascii="仿宋_GB2312"/>
                <w:sz w:val="21"/>
                <w:szCs w:val="21"/>
              </w:rPr>
              <w:t>13</w:t>
            </w:r>
          </w:p>
        </w:tc>
        <w:tc>
          <w:tcPr>
            <w:tcW w:w="709" w:type="pct"/>
            <w:shd w:val="clear" w:color="auto" w:fill="auto"/>
            <w:vAlign w:val="center"/>
          </w:tcPr>
          <w:p w14:paraId="45D92245">
            <w:pPr>
              <w:adjustRightInd w:val="0"/>
              <w:spacing w:line="240" w:lineRule="auto"/>
              <w:jc w:val="center"/>
              <w:rPr>
                <w:rFonts w:ascii="仿宋_GB2312"/>
                <w:sz w:val="21"/>
                <w:szCs w:val="21"/>
              </w:rPr>
            </w:pPr>
            <w:r>
              <w:rPr>
                <w:rFonts w:hint="eastAsia" w:ascii="仿宋_GB2312"/>
                <w:snapToGrid w:val="0"/>
                <w:spacing w:val="-6"/>
                <w:position w:val="-6"/>
                <w:sz w:val="21"/>
                <w:szCs w:val="21"/>
              </w:rPr>
              <w:t>军民两用功能型高聚</w:t>
            </w:r>
            <w:r>
              <w:rPr>
                <w:rFonts w:hint="eastAsia" w:ascii="仿宋_GB2312"/>
                <w:sz w:val="21"/>
                <w:szCs w:val="21"/>
              </w:rPr>
              <w:t>物新材料建设项目</w:t>
            </w:r>
          </w:p>
        </w:tc>
        <w:tc>
          <w:tcPr>
            <w:tcW w:w="1394" w:type="pct"/>
            <w:shd w:val="clear" w:color="auto" w:fill="auto"/>
            <w:vAlign w:val="center"/>
          </w:tcPr>
          <w:p w14:paraId="75C43C61">
            <w:pPr>
              <w:adjustRightInd w:val="0"/>
              <w:spacing w:line="240" w:lineRule="auto"/>
              <w:rPr>
                <w:rFonts w:ascii="仿宋_GB2312"/>
                <w:sz w:val="21"/>
                <w:szCs w:val="21"/>
              </w:rPr>
            </w:pPr>
            <w:r>
              <w:rPr>
                <w:rFonts w:hint="eastAsia" w:ascii="仿宋_GB2312"/>
                <w:sz w:val="21"/>
                <w:szCs w:val="21"/>
              </w:rPr>
              <w:t>建设军民两用功能型高聚物新材料建设项目。</w:t>
            </w:r>
          </w:p>
        </w:tc>
        <w:tc>
          <w:tcPr>
            <w:tcW w:w="357" w:type="pct"/>
            <w:shd w:val="clear" w:color="auto" w:fill="auto"/>
            <w:vAlign w:val="center"/>
          </w:tcPr>
          <w:p w14:paraId="542B906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2020-2021</w:t>
            </w:r>
          </w:p>
        </w:tc>
        <w:tc>
          <w:tcPr>
            <w:tcW w:w="327" w:type="pct"/>
            <w:shd w:val="clear" w:color="auto" w:fill="auto"/>
            <w:vAlign w:val="center"/>
          </w:tcPr>
          <w:p w14:paraId="52719C5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w:t>
            </w:r>
          </w:p>
        </w:tc>
        <w:tc>
          <w:tcPr>
            <w:tcW w:w="472" w:type="pct"/>
            <w:shd w:val="clear" w:color="auto" w:fill="auto"/>
            <w:vAlign w:val="center"/>
          </w:tcPr>
          <w:p w14:paraId="7DB1EF9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8</w:t>
            </w:r>
          </w:p>
        </w:tc>
        <w:tc>
          <w:tcPr>
            <w:tcW w:w="717" w:type="pct"/>
            <w:shd w:val="clear" w:color="auto" w:fill="auto"/>
            <w:vAlign w:val="center"/>
          </w:tcPr>
          <w:p w14:paraId="22CCAABE">
            <w:pPr>
              <w:adjustRightInd w:val="0"/>
              <w:spacing w:line="240" w:lineRule="auto"/>
              <w:jc w:val="center"/>
              <w:rPr>
                <w:rFonts w:ascii="仿宋_GB2312"/>
                <w:sz w:val="21"/>
                <w:szCs w:val="21"/>
              </w:rPr>
            </w:pPr>
            <w:r>
              <w:rPr>
                <w:rFonts w:hint="eastAsia" w:ascii="仿宋_GB2312"/>
                <w:sz w:val="21"/>
                <w:szCs w:val="21"/>
              </w:rPr>
              <w:t>江阴市大阪</w:t>
            </w:r>
          </w:p>
          <w:p w14:paraId="67B8B6E3">
            <w:pPr>
              <w:adjustRightInd w:val="0"/>
              <w:spacing w:line="240" w:lineRule="auto"/>
              <w:jc w:val="center"/>
              <w:rPr>
                <w:rFonts w:ascii="仿宋_GB2312"/>
                <w:sz w:val="21"/>
                <w:szCs w:val="21"/>
              </w:rPr>
            </w:pPr>
            <w:r>
              <w:rPr>
                <w:rFonts w:hint="eastAsia" w:ascii="仿宋_GB2312"/>
                <w:sz w:val="21"/>
                <w:szCs w:val="21"/>
              </w:rPr>
              <w:t>涂料有限公司</w:t>
            </w:r>
          </w:p>
        </w:tc>
        <w:tc>
          <w:tcPr>
            <w:tcW w:w="398" w:type="pct"/>
            <w:shd w:val="clear" w:color="auto" w:fill="auto"/>
            <w:vAlign w:val="center"/>
          </w:tcPr>
          <w:p w14:paraId="38A00AB8">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E73DDFA">
            <w:pPr>
              <w:adjustRightInd w:val="0"/>
              <w:spacing w:line="240" w:lineRule="auto"/>
              <w:jc w:val="center"/>
              <w:rPr>
                <w:rFonts w:ascii="仿宋_GB2312"/>
                <w:sz w:val="21"/>
                <w:szCs w:val="21"/>
              </w:rPr>
            </w:pPr>
            <w:r>
              <w:rPr>
                <w:rFonts w:hint="eastAsia" w:ascii="仿宋_GB2312"/>
                <w:sz w:val="21"/>
                <w:szCs w:val="21"/>
              </w:rPr>
              <w:t>续建</w:t>
            </w:r>
          </w:p>
        </w:tc>
      </w:tr>
      <w:tr w14:paraId="6C51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D665A23">
            <w:pPr>
              <w:adjustRightInd w:val="0"/>
              <w:spacing w:line="240" w:lineRule="auto"/>
              <w:jc w:val="center"/>
              <w:rPr>
                <w:rFonts w:ascii="仿宋_GB2312"/>
                <w:sz w:val="21"/>
                <w:szCs w:val="21"/>
              </w:rPr>
            </w:pPr>
            <w:r>
              <w:rPr>
                <w:rFonts w:hint="eastAsia" w:ascii="仿宋_GB2312"/>
                <w:sz w:val="21"/>
                <w:szCs w:val="21"/>
              </w:rPr>
              <w:t>14</w:t>
            </w:r>
          </w:p>
        </w:tc>
        <w:tc>
          <w:tcPr>
            <w:tcW w:w="709" w:type="pct"/>
            <w:shd w:val="clear" w:color="auto" w:fill="auto"/>
            <w:vAlign w:val="center"/>
          </w:tcPr>
          <w:p w14:paraId="66D9C525">
            <w:pPr>
              <w:adjustRightInd w:val="0"/>
              <w:spacing w:line="240" w:lineRule="auto"/>
              <w:jc w:val="center"/>
              <w:rPr>
                <w:rFonts w:ascii="仿宋_GB2312"/>
                <w:sz w:val="21"/>
                <w:szCs w:val="21"/>
              </w:rPr>
            </w:pPr>
            <w:r>
              <w:rPr>
                <w:rFonts w:hint="eastAsia" w:ascii="仿宋_GB2312"/>
                <w:sz w:val="21"/>
                <w:szCs w:val="21"/>
              </w:rPr>
              <w:t>浙江优全护理</w:t>
            </w:r>
          </w:p>
          <w:p w14:paraId="70F8177C">
            <w:pPr>
              <w:adjustRightInd w:val="0"/>
              <w:spacing w:line="240" w:lineRule="auto"/>
              <w:jc w:val="center"/>
              <w:rPr>
                <w:rFonts w:ascii="仿宋_GB2312"/>
                <w:sz w:val="21"/>
                <w:szCs w:val="21"/>
              </w:rPr>
            </w:pPr>
            <w:r>
              <w:rPr>
                <w:rFonts w:hint="eastAsia" w:ascii="仿宋_GB2312"/>
                <w:sz w:val="21"/>
                <w:szCs w:val="21"/>
              </w:rPr>
              <w:t>用品科技股份</w:t>
            </w:r>
          </w:p>
          <w:p w14:paraId="4A3494AA">
            <w:pPr>
              <w:adjustRightInd w:val="0"/>
              <w:spacing w:line="240" w:lineRule="auto"/>
              <w:jc w:val="center"/>
              <w:rPr>
                <w:rFonts w:ascii="仿宋_GB2312"/>
                <w:sz w:val="21"/>
                <w:szCs w:val="21"/>
              </w:rPr>
            </w:pPr>
            <w:r>
              <w:rPr>
                <w:rFonts w:hint="eastAsia" w:ascii="仿宋_GB2312"/>
                <w:sz w:val="21"/>
                <w:szCs w:val="21"/>
              </w:rPr>
              <w:t>有限公司项目</w:t>
            </w:r>
          </w:p>
        </w:tc>
        <w:tc>
          <w:tcPr>
            <w:tcW w:w="1394" w:type="pct"/>
            <w:shd w:val="clear" w:color="auto" w:fill="auto"/>
            <w:vAlign w:val="center"/>
          </w:tcPr>
          <w:p w14:paraId="414BF843">
            <w:pPr>
              <w:adjustRightInd w:val="0"/>
              <w:spacing w:line="240" w:lineRule="auto"/>
              <w:rPr>
                <w:rFonts w:ascii="仿宋_GB2312"/>
                <w:sz w:val="21"/>
                <w:szCs w:val="21"/>
              </w:rPr>
            </w:pPr>
            <w:r>
              <w:rPr>
                <w:rFonts w:hint="eastAsia" w:ascii="仿宋_GB2312"/>
                <w:sz w:val="21"/>
                <w:szCs w:val="21"/>
              </w:rPr>
              <w:t>新建厂房105615平方米，引进梳理机、交叉铺网机、试验设备等进口设备，配套国产非织造设备线等设备共49台套，建设具有当今国际先进生产水平的年产8.5万吨非织造材料、283亿片一次性卫生用品生产线，及高标准的非织造材料研发中心、护理用品研发中心、产品试验中心、信息化运营中心。</w:t>
            </w:r>
          </w:p>
        </w:tc>
        <w:tc>
          <w:tcPr>
            <w:tcW w:w="357" w:type="pct"/>
            <w:shd w:val="clear" w:color="auto" w:fill="auto"/>
            <w:vAlign w:val="center"/>
          </w:tcPr>
          <w:p w14:paraId="5735F414">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43B9FE6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11.2</w:t>
            </w:r>
          </w:p>
        </w:tc>
        <w:tc>
          <w:tcPr>
            <w:tcW w:w="472" w:type="pct"/>
            <w:shd w:val="clear" w:color="auto" w:fill="auto"/>
            <w:vAlign w:val="center"/>
          </w:tcPr>
          <w:p w14:paraId="786E92B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9.2</w:t>
            </w:r>
          </w:p>
        </w:tc>
        <w:tc>
          <w:tcPr>
            <w:tcW w:w="717" w:type="pct"/>
            <w:shd w:val="clear" w:color="auto" w:fill="auto"/>
            <w:vAlign w:val="center"/>
          </w:tcPr>
          <w:p w14:paraId="490DCAFD">
            <w:pPr>
              <w:adjustRightInd w:val="0"/>
              <w:spacing w:line="240" w:lineRule="auto"/>
              <w:jc w:val="center"/>
              <w:rPr>
                <w:rFonts w:ascii="仿宋_GB2312"/>
                <w:sz w:val="21"/>
                <w:szCs w:val="21"/>
              </w:rPr>
            </w:pPr>
            <w:r>
              <w:rPr>
                <w:rFonts w:hint="eastAsia" w:ascii="仿宋_GB2312"/>
                <w:sz w:val="21"/>
                <w:szCs w:val="21"/>
              </w:rPr>
              <w:t>浙江优全护理用品科技股份有限公司</w:t>
            </w:r>
          </w:p>
        </w:tc>
        <w:tc>
          <w:tcPr>
            <w:tcW w:w="398" w:type="pct"/>
            <w:shd w:val="clear" w:color="auto" w:fill="auto"/>
            <w:vAlign w:val="center"/>
          </w:tcPr>
          <w:p w14:paraId="28CE26F6">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761EC455">
            <w:pPr>
              <w:adjustRightInd w:val="0"/>
              <w:spacing w:line="240" w:lineRule="auto"/>
              <w:jc w:val="center"/>
              <w:rPr>
                <w:rFonts w:ascii="仿宋_GB2312"/>
                <w:sz w:val="21"/>
                <w:szCs w:val="21"/>
              </w:rPr>
            </w:pPr>
            <w:r>
              <w:rPr>
                <w:rFonts w:hint="eastAsia" w:ascii="仿宋_GB2312"/>
                <w:sz w:val="21"/>
                <w:szCs w:val="21"/>
              </w:rPr>
              <w:t>新建</w:t>
            </w:r>
          </w:p>
        </w:tc>
      </w:tr>
      <w:tr w14:paraId="46D2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49A08B6">
            <w:pPr>
              <w:adjustRightInd w:val="0"/>
              <w:spacing w:line="240" w:lineRule="auto"/>
              <w:jc w:val="center"/>
              <w:rPr>
                <w:rFonts w:ascii="仿宋_GB2312"/>
                <w:sz w:val="21"/>
                <w:szCs w:val="21"/>
              </w:rPr>
            </w:pPr>
            <w:r>
              <w:rPr>
                <w:rFonts w:hint="eastAsia" w:ascii="仿宋_GB2312"/>
                <w:sz w:val="21"/>
                <w:szCs w:val="21"/>
              </w:rPr>
              <w:t>15</w:t>
            </w:r>
          </w:p>
        </w:tc>
        <w:tc>
          <w:tcPr>
            <w:tcW w:w="709" w:type="pct"/>
            <w:shd w:val="clear" w:color="auto" w:fill="auto"/>
            <w:vAlign w:val="center"/>
          </w:tcPr>
          <w:p w14:paraId="7CAD1113">
            <w:pPr>
              <w:adjustRightInd w:val="0"/>
              <w:spacing w:line="240" w:lineRule="auto"/>
              <w:jc w:val="center"/>
              <w:rPr>
                <w:rFonts w:ascii="仿宋_GB2312"/>
                <w:sz w:val="21"/>
                <w:szCs w:val="21"/>
              </w:rPr>
            </w:pPr>
            <w:r>
              <w:rPr>
                <w:rFonts w:hint="eastAsia" w:ascii="仿宋_GB2312"/>
                <w:snapToGrid w:val="0"/>
                <w:spacing w:val="-6"/>
                <w:position w:val="-6"/>
                <w:sz w:val="21"/>
                <w:szCs w:val="21"/>
              </w:rPr>
              <w:t>浙江润阳易丰新材料有限公司二期项目</w:t>
            </w:r>
          </w:p>
        </w:tc>
        <w:tc>
          <w:tcPr>
            <w:tcW w:w="1394" w:type="pct"/>
            <w:shd w:val="clear" w:color="auto" w:fill="auto"/>
            <w:vAlign w:val="center"/>
          </w:tcPr>
          <w:p w14:paraId="3D085E37">
            <w:pPr>
              <w:adjustRightInd w:val="0"/>
              <w:spacing w:line="240" w:lineRule="auto"/>
              <w:rPr>
                <w:rFonts w:ascii="仿宋_GB2312"/>
                <w:sz w:val="21"/>
                <w:szCs w:val="21"/>
              </w:rPr>
            </w:pPr>
            <w:r>
              <w:rPr>
                <w:rFonts w:hint="eastAsia" w:ascii="仿宋_GB2312"/>
                <w:sz w:val="21"/>
                <w:szCs w:val="21"/>
              </w:rPr>
              <w:t>建设生产用房及辅助用房11万平方米，投产后，年产1万吨电子辐照聚乙烯棉泡，销售收入49138万元，利税5835.9万元。</w:t>
            </w:r>
          </w:p>
        </w:tc>
        <w:tc>
          <w:tcPr>
            <w:tcW w:w="357" w:type="pct"/>
            <w:shd w:val="clear" w:color="auto" w:fill="auto"/>
            <w:vAlign w:val="center"/>
          </w:tcPr>
          <w:p w14:paraId="0386B30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2021-2022</w:t>
            </w:r>
          </w:p>
        </w:tc>
        <w:tc>
          <w:tcPr>
            <w:tcW w:w="327" w:type="pct"/>
            <w:shd w:val="clear" w:color="auto" w:fill="auto"/>
            <w:vAlign w:val="center"/>
          </w:tcPr>
          <w:p w14:paraId="437EE6A6">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5.7</w:t>
            </w:r>
          </w:p>
        </w:tc>
        <w:tc>
          <w:tcPr>
            <w:tcW w:w="472" w:type="pct"/>
            <w:shd w:val="clear" w:color="auto" w:fill="auto"/>
            <w:vAlign w:val="center"/>
          </w:tcPr>
          <w:p w14:paraId="3F03FD4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5.7</w:t>
            </w:r>
          </w:p>
        </w:tc>
        <w:tc>
          <w:tcPr>
            <w:tcW w:w="717" w:type="pct"/>
            <w:shd w:val="clear" w:color="auto" w:fill="auto"/>
            <w:vAlign w:val="center"/>
          </w:tcPr>
          <w:p w14:paraId="73E78250">
            <w:pPr>
              <w:adjustRightInd w:val="0"/>
              <w:spacing w:line="240" w:lineRule="auto"/>
              <w:jc w:val="center"/>
              <w:rPr>
                <w:rFonts w:ascii="仿宋_GB2312"/>
                <w:sz w:val="21"/>
                <w:szCs w:val="21"/>
              </w:rPr>
            </w:pPr>
            <w:r>
              <w:rPr>
                <w:rFonts w:hint="eastAsia" w:ascii="仿宋_GB2312"/>
                <w:sz w:val="21"/>
                <w:szCs w:val="21"/>
              </w:rPr>
              <w:t>浙江润阳新材料</w:t>
            </w:r>
          </w:p>
          <w:p w14:paraId="3E6CEA8E">
            <w:pPr>
              <w:adjustRightInd w:val="0"/>
              <w:spacing w:line="240" w:lineRule="auto"/>
              <w:jc w:val="center"/>
              <w:rPr>
                <w:rFonts w:ascii="仿宋_GB2312"/>
                <w:sz w:val="21"/>
                <w:szCs w:val="21"/>
              </w:rPr>
            </w:pPr>
            <w:r>
              <w:rPr>
                <w:rFonts w:hint="eastAsia" w:ascii="仿宋_GB2312"/>
                <w:sz w:val="21"/>
                <w:szCs w:val="21"/>
              </w:rPr>
              <w:t>科技股份有限公司</w:t>
            </w:r>
          </w:p>
        </w:tc>
        <w:tc>
          <w:tcPr>
            <w:tcW w:w="398" w:type="pct"/>
            <w:shd w:val="clear" w:color="auto" w:fill="auto"/>
            <w:vAlign w:val="center"/>
          </w:tcPr>
          <w:p w14:paraId="165DECA5">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3DAA734">
            <w:pPr>
              <w:adjustRightInd w:val="0"/>
              <w:spacing w:line="240" w:lineRule="auto"/>
              <w:jc w:val="center"/>
              <w:rPr>
                <w:rFonts w:ascii="仿宋_GB2312"/>
                <w:sz w:val="21"/>
                <w:szCs w:val="21"/>
              </w:rPr>
            </w:pPr>
            <w:r>
              <w:rPr>
                <w:rFonts w:hint="eastAsia" w:ascii="仿宋_GB2312"/>
                <w:sz w:val="21"/>
                <w:szCs w:val="21"/>
              </w:rPr>
              <w:t>新建</w:t>
            </w:r>
          </w:p>
        </w:tc>
      </w:tr>
      <w:tr w14:paraId="0670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6B97A482">
            <w:pPr>
              <w:adjustRightInd w:val="0"/>
              <w:spacing w:line="240" w:lineRule="auto"/>
              <w:jc w:val="center"/>
              <w:rPr>
                <w:rFonts w:ascii="仿宋_GB2312"/>
                <w:sz w:val="21"/>
                <w:szCs w:val="21"/>
              </w:rPr>
            </w:pPr>
            <w:r>
              <w:rPr>
                <w:rFonts w:hint="eastAsia" w:ascii="仿宋_GB2312"/>
                <w:sz w:val="21"/>
                <w:szCs w:val="21"/>
              </w:rPr>
              <w:t>16</w:t>
            </w:r>
          </w:p>
        </w:tc>
        <w:tc>
          <w:tcPr>
            <w:tcW w:w="709" w:type="pct"/>
            <w:shd w:val="clear" w:color="auto" w:fill="auto"/>
            <w:vAlign w:val="center"/>
          </w:tcPr>
          <w:p w14:paraId="08CC9D5F">
            <w:pPr>
              <w:adjustRightInd w:val="0"/>
              <w:spacing w:line="240" w:lineRule="auto"/>
              <w:jc w:val="center"/>
              <w:rPr>
                <w:rFonts w:ascii="仿宋_GB2312"/>
                <w:sz w:val="21"/>
                <w:szCs w:val="21"/>
              </w:rPr>
            </w:pPr>
            <w:r>
              <w:rPr>
                <w:rFonts w:hint="eastAsia" w:ascii="仿宋_GB2312"/>
                <w:sz w:val="21"/>
                <w:szCs w:val="21"/>
              </w:rPr>
              <w:t>盐泰锡常宜湖</w:t>
            </w:r>
          </w:p>
          <w:p w14:paraId="1A9B5546">
            <w:pPr>
              <w:adjustRightInd w:val="0"/>
              <w:spacing w:line="240" w:lineRule="auto"/>
              <w:jc w:val="center"/>
              <w:rPr>
                <w:rFonts w:ascii="仿宋_GB2312"/>
                <w:sz w:val="21"/>
                <w:szCs w:val="21"/>
              </w:rPr>
            </w:pPr>
            <w:r>
              <w:rPr>
                <w:rFonts w:hint="eastAsia" w:ascii="仿宋_GB2312"/>
                <w:sz w:val="21"/>
                <w:szCs w:val="21"/>
              </w:rPr>
              <w:t>城际铁路长兴段</w:t>
            </w:r>
          </w:p>
        </w:tc>
        <w:tc>
          <w:tcPr>
            <w:tcW w:w="1394" w:type="pct"/>
            <w:shd w:val="clear" w:color="auto" w:fill="auto"/>
            <w:vAlign w:val="center"/>
          </w:tcPr>
          <w:p w14:paraId="6E88A721">
            <w:pPr>
              <w:adjustRightInd w:val="0"/>
              <w:spacing w:line="240" w:lineRule="auto"/>
              <w:rPr>
                <w:rFonts w:ascii="仿宋_GB2312"/>
                <w:sz w:val="21"/>
                <w:szCs w:val="21"/>
              </w:rPr>
            </w:pPr>
            <w:r>
              <w:rPr>
                <w:rFonts w:hint="eastAsia" w:ascii="仿宋_GB2312"/>
                <w:sz w:val="21"/>
                <w:szCs w:val="21"/>
              </w:rPr>
              <w:t>路线全长28.8公里。</w:t>
            </w:r>
          </w:p>
        </w:tc>
        <w:tc>
          <w:tcPr>
            <w:tcW w:w="357" w:type="pct"/>
            <w:shd w:val="clear" w:color="auto" w:fill="auto"/>
            <w:vAlign w:val="center"/>
          </w:tcPr>
          <w:p w14:paraId="7FCB95DD">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4D7D6B3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88</w:t>
            </w:r>
          </w:p>
        </w:tc>
        <w:tc>
          <w:tcPr>
            <w:tcW w:w="472" w:type="pct"/>
            <w:shd w:val="clear" w:color="auto" w:fill="auto"/>
            <w:vAlign w:val="center"/>
          </w:tcPr>
          <w:p w14:paraId="64B80A15">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30</w:t>
            </w:r>
          </w:p>
        </w:tc>
        <w:tc>
          <w:tcPr>
            <w:tcW w:w="717" w:type="pct"/>
            <w:shd w:val="clear" w:color="auto" w:fill="auto"/>
            <w:vAlign w:val="center"/>
          </w:tcPr>
          <w:p w14:paraId="0F8D4D40">
            <w:pPr>
              <w:adjustRightInd w:val="0"/>
              <w:spacing w:line="240" w:lineRule="auto"/>
              <w:jc w:val="center"/>
              <w:rPr>
                <w:rFonts w:ascii="仿宋_GB2312"/>
                <w:sz w:val="21"/>
                <w:szCs w:val="21"/>
              </w:rPr>
            </w:pPr>
          </w:p>
        </w:tc>
        <w:tc>
          <w:tcPr>
            <w:tcW w:w="398" w:type="pct"/>
            <w:shd w:val="clear" w:color="auto" w:fill="auto"/>
            <w:vAlign w:val="center"/>
          </w:tcPr>
          <w:p w14:paraId="5FFC72AD">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17E21AB9">
            <w:pPr>
              <w:adjustRightInd w:val="0"/>
              <w:spacing w:line="240" w:lineRule="auto"/>
              <w:jc w:val="center"/>
              <w:rPr>
                <w:rFonts w:ascii="仿宋_GB2312"/>
                <w:sz w:val="21"/>
                <w:szCs w:val="21"/>
              </w:rPr>
            </w:pPr>
            <w:r>
              <w:rPr>
                <w:rFonts w:hint="eastAsia" w:ascii="仿宋_GB2312"/>
                <w:sz w:val="21"/>
                <w:szCs w:val="21"/>
              </w:rPr>
              <w:t>新建</w:t>
            </w:r>
          </w:p>
        </w:tc>
      </w:tr>
      <w:tr w14:paraId="5093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C1B87C0">
            <w:pPr>
              <w:adjustRightInd w:val="0"/>
              <w:spacing w:line="240" w:lineRule="auto"/>
              <w:jc w:val="center"/>
              <w:rPr>
                <w:rFonts w:ascii="仿宋_GB2312"/>
                <w:sz w:val="21"/>
                <w:szCs w:val="21"/>
              </w:rPr>
            </w:pPr>
            <w:r>
              <w:rPr>
                <w:rFonts w:hint="eastAsia" w:ascii="仿宋_GB2312"/>
                <w:sz w:val="21"/>
                <w:szCs w:val="21"/>
              </w:rPr>
              <w:t>17</w:t>
            </w:r>
          </w:p>
        </w:tc>
        <w:tc>
          <w:tcPr>
            <w:tcW w:w="709" w:type="pct"/>
            <w:shd w:val="clear" w:color="auto" w:fill="auto"/>
            <w:vAlign w:val="center"/>
          </w:tcPr>
          <w:p w14:paraId="78D4230B">
            <w:pPr>
              <w:adjustRightInd w:val="0"/>
              <w:spacing w:line="240" w:lineRule="auto"/>
              <w:jc w:val="center"/>
              <w:rPr>
                <w:rFonts w:ascii="仿宋_GB2312"/>
                <w:sz w:val="21"/>
                <w:szCs w:val="21"/>
              </w:rPr>
            </w:pPr>
            <w:r>
              <w:rPr>
                <w:rFonts w:hint="eastAsia" w:ascii="仿宋_GB2312"/>
                <w:sz w:val="21"/>
                <w:szCs w:val="21"/>
              </w:rPr>
              <w:t>如通苏湖城际</w:t>
            </w:r>
          </w:p>
          <w:p w14:paraId="1AC48C1B">
            <w:pPr>
              <w:adjustRightInd w:val="0"/>
              <w:spacing w:line="240" w:lineRule="auto"/>
              <w:jc w:val="center"/>
              <w:rPr>
                <w:rFonts w:ascii="仿宋_GB2312"/>
                <w:sz w:val="21"/>
                <w:szCs w:val="21"/>
              </w:rPr>
            </w:pPr>
            <w:r>
              <w:rPr>
                <w:rFonts w:hint="eastAsia" w:ascii="仿宋_GB2312"/>
                <w:sz w:val="21"/>
                <w:szCs w:val="21"/>
              </w:rPr>
              <w:t>铁路长兴段</w:t>
            </w:r>
          </w:p>
        </w:tc>
        <w:tc>
          <w:tcPr>
            <w:tcW w:w="1394" w:type="pct"/>
            <w:shd w:val="clear" w:color="auto" w:fill="auto"/>
            <w:vAlign w:val="center"/>
          </w:tcPr>
          <w:p w14:paraId="3F72D7F8">
            <w:pPr>
              <w:adjustRightInd w:val="0"/>
              <w:spacing w:line="240" w:lineRule="auto"/>
              <w:rPr>
                <w:rFonts w:ascii="仿宋_GB2312"/>
                <w:sz w:val="21"/>
                <w:szCs w:val="21"/>
              </w:rPr>
            </w:pPr>
            <w:r>
              <w:rPr>
                <w:rFonts w:hint="eastAsia" w:ascii="仿宋_GB2312"/>
                <w:sz w:val="21"/>
                <w:szCs w:val="21"/>
              </w:rPr>
              <w:t>路线全长14.5公里。</w:t>
            </w:r>
          </w:p>
        </w:tc>
        <w:tc>
          <w:tcPr>
            <w:tcW w:w="357" w:type="pct"/>
            <w:shd w:val="clear" w:color="auto" w:fill="auto"/>
            <w:vAlign w:val="center"/>
          </w:tcPr>
          <w:p w14:paraId="3C21B66A">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5979D85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69</w:t>
            </w:r>
          </w:p>
        </w:tc>
        <w:tc>
          <w:tcPr>
            <w:tcW w:w="472" w:type="pct"/>
            <w:shd w:val="clear" w:color="auto" w:fill="auto"/>
            <w:vAlign w:val="center"/>
          </w:tcPr>
          <w:p w14:paraId="591CC32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63</w:t>
            </w:r>
          </w:p>
        </w:tc>
        <w:tc>
          <w:tcPr>
            <w:tcW w:w="717" w:type="pct"/>
            <w:shd w:val="clear" w:color="auto" w:fill="auto"/>
            <w:vAlign w:val="center"/>
          </w:tcPr>
          <w:p w14:paraId="337AD12E">
            <w:pPr>
              <w:adjustRightInd w:val="0"/>
              <w:spacing w:line="240" w:lineRule="auto"/>
              <w:jc w:val="center"/>
              <w:rPr>
                <w:rFonts w:ascii="仿宋_GB2312"/>
                <w:sz w:val="21"/>
                <w:szCs w:val="21"/>
              </w:rPr>
            </w:pPr>
            <w:r>
              <w:rPr>
                <w:rFonts w:hint="eastAsia" w:ascii="仿宋_GB2312"/>
                <w:sz w:val="21"/>
                <w:szCs w:val="21"/>
              </w:rPr>
              <w:t>市轨道交通中心</w:t>
            </w:r>
          </w:p>
        </w:tc>
        <w:tc>
          <w:tcPr>
            <w:tcW w:w="398" w:type="pct"/>
            <w:shd w:val="clear" w:color="auto" w:fill="auto"/>
            <w:vAlign w:val="center"/>
          </w:tcPr>
          <w:p w14:paraId="0699209C">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73ADD2FB">
            <w:pPr>
              <w:adjustRightInd w:val="0"/>
              <w:spacing w:line="240" w:lineRule="auto"/>
              <w:jc w:val="center"/>
              <w:rPr>
                <w:rFonts w:ascii="仿宋_GB2312"/>
                <w:sz w:val="21"/>
                <w:szCs w:val="21"/>
              </w:rPr>
            </w:pPr>
            <w:r>
              <w:rPr>
                <w:rFonts w:hint="eastAsia" w:ascii="仿宋_GB2312"/>
                <w:sz w:val="21"/>
                <w:szCs w:val="21"/>
              </w:rPr>
              <w:t>新建</w:t>
            </w:r>
          </w:p>
        </w:tc>
      </w:tr>
      <w:tr w14:paraId="0100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02F100B">
            <w:pPr>
              <w:adjustRightInd w:val="0"/>
              <w:spacing w:line="240" w:lineRule="auto"/>
              <w:jc w:val="center"/>
              <w:rPr>
                <w:rFonts w:ascii="仿宋_GB2312"/>
                <w:sz w:val="21"/>
                <w:szCs w:val="21"/>
              </w:rPr>
            </w:pPr>
            <w:r>
              <w:rPr>
                <w:rFonts w:hint="eastAsia" w:ascii="仿宋_GB2312"/>
                <w:sz w:val="21"/>
                <w:szCs w:val="21"/>
              </w:rPr>
              <w:t>18</w:t>
            </w:r>
          </w:p>
        </w:tc>
        <w:tc>
          <w:tcPr>
            <w:tcW w:w="709" w:type="pct"/>
            <w:shd w:val="clear" w:color="auto" w:fill="auto"/>
            <w:vAlign w:val="center"/>
          </w:tcPr>
          <w:p w14:paraId="65D6CE90">
            <w:pPr>
              <w:adjustRightInd w:val="0"/>
              <w:spacing w:line="240" w:lineRule="auto"/>
              <w:jc w:val="center"/>
              <w:rPr>
                <w:rFonts w:ascii="仿宋_GB2312"/>
                <w:sz w:val="21"/>
                <w:szCs w:val="21"/>
              </w:rPr>
            </w:pPr>
            <w:r>
              <w:rPr>
                <w:rFonts w:hint="eastAsia" w:ascii="仿宋_GB2312"/>
                <w:snapToGrid w:val="0"/>
                <w:spacing w:val="-6"/>
                <w:position w:val="-6"/>
                <w:sz w:val="21"/>
                <w:szCs w:val="21"/>
              </w:rPr>
              <w:t>湖州至安吉市域轨道</w:t>
            </w:r>
          </w:p>
        </w:tc>
        <w:tc>
          <w:tcPr>
            <w:tcW w:w="1394" w:type="pct"/>
            <w:shd w:val="clear" w:color="auto" w:fill="auto"/>
            <w:vAlign w:val="center"/>
          </w:tcPr>
          <w:p w14:paraId="49249054">
            <w:pPr>
              <w:adjustRightInd w:val="0"/>
              <w:spacing w:line="240" w:lineRule="auto"/>
              <w:rPr>
                <w:rFonts w:ascii="仿宋_GB2312"/>
                <w:sz w:val="21"/>
                <w:szCs w:val="21"/>
              </w:rPr>
            </w:pPr>
            <w:r>
              <w:rPr>
                <w:rFonts w:hint="eastAsia" w:ascii="仿宋_GB2312"/>
                <w:sz w:val="21"/>
                <w:szCs w:val="21"/>
              </w:rPr>
              <w:t>路线全长14.5公里。</w:t>
            </w:r>
          </w:p>
        </w:tc>
        <w:tc>
          <w:tcPr>
            <w:tcW w:w="357" w:type="pct"/>
            <w:shd w:val="clear" w:color="auto" w:fill="auto"/>
            <w:vAlign w:val="center"/>
          </w:tcPr>
          <w:p w14:paraId="39D70AA0">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1DCE9EA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65</w:t>
            </w:r>
          </w:p>
        </w:tc>
        <w:tc>
          <w:tcPr>
            <w:tcW w:w="472" w:type="pct"/>
            <w:shd w:val="clear" w:color="auto" w:fill="auto"/>
            <w:vAlign w:val="center"/>
          </w:tcPr>
          <w:p w14:paraId="24C9C43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w:t>
            </w:r>
          </w:p>
        </w:tc>
        <w:tc>
          <w:tcPr>
            <w:tcW w:w="717" w:type="pct"/>
            <w:shd w:val="clear" w:color="auto" w:fill="auto"/>
            <w:vAlign w:val="center"/>
          </w:tcPr>
          <w:p w14:paraId="5D6DDEA2">
            <w:pPr>
              <w:adjustRightInd w:val="0"/>
              <w:spacing w:line="240" w:lineRule="auto"/>
              <w:jc w:val="center"/>
              <w:rPr>
                <w:rFonts w:ascii="仿宋_GB2312"/>
                <w:sz w:val="21"/>
                <w:szCs w:val="21"/>
              </w:rPr>
            </w:pPr>
          </w:p>
        </w:tc>
        <w:tc>
          <w:tcPr>
            <w:tcW w:w="398" w:type="pct"/>
            <w:shd w:val="clear" w:color="auto" w:fill="auto"/>
            <w:vAlign w:val="center"/>
          </w:tcPr>
          <w:p w14:paraId="52D62DB0">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B1CA6DB">
            <w:pPr>
              <w:adjustRightInd w:val="0"/>
              <w:spacing w:line="240" w:lineRule="auto"/>
              <w:jc w:val="center"/>
              <w:rPr>
                <w:rFonts w:ascii="仿宋_GB2312"/>
                <w:sz w:val="21"/>
                <w:szCs w:val="21"/>
              </w:rPr>
            </w:pPr>
            <w:r>
              <w:rPr>
                <w:rFonts w:hint="eastAsia" w:ascii="仿宋_GB2312"/>
                <w:sz w:val="21"/>
                <w:szCs w:val="21"/>
              </w:rPr>
              <w:t>新建</w:t>
            </w:r>
          </w:p>
        </w:tc>
      </w:tr>
      <w:tr w14:paraId="788F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64026CEC">
            <w:pPr>
              <w:adjustRightInd w:val="0"/>
              <w:spacing w:line="240" w:lineRule="auto"/>
              <w:jc w:val="center"/>
              <w:rPr>
                <w:rFonts w:ascii="仿宋_GB2312"/>
                <w:sz w:val="21"/>
                <w:szCs w:val="21"/>
              </w:rPr>
            </w:pPr>
            <w:r>
              <w:rPr>
                <w:rFonts w:hint="eastAsia" w:ascii="仿宋_GB2312"/>
                <w:sz w:val="21"/>
                <w:szCs w:val="21"/>
              </w:rPr>
              <w:t>19</w:t>
            </w:r>
          </w:p>
        </w:tc>
        <w:tc>
          <w:tcPr>
            <w:tcW w:w="709" w:type="pct"/>
            <w:shd w:val="clear" w:color="auto" w:fill="auto"/>
            <w:vAlign w:val="center"/>
          </w:tcPr>
          <w:p w14:paraId="156783B7">
            <w:pPr>
              <w:adjustRightInd w:val="0"/>
              <w:spacing w:line="240" w:lineRule="auto"/>
              <w:jc w:val="center"/>
              <w:rPr>
                <w:rFonts w:ascii="仿宋_GB2312"/>
                <w:sz w:val="21"/>
                <w:szCs w:val="21"/>
              </w:rPr>
            </w:pPr>
            <w:r>
              <w:rPr>
                <w:rFonts w:hint="eastAsia" w:ascii="仿宋_GB2312"/>
                <w:sz w:val="21"/>
                <w:szCs w:val="21"/>
              </w:rPr>
              <w:t>如通苏湖北延城际铁路（宜兴至长兴）</w:t>
            </w:r>
          </w:p>
        </w:tc>
        <w:tc>
          <w:tcPr>
            <w:tcW w:w="1394" w:type="pct"/>
            <w:shd w:val="clear" w:color="auto" w:fill="auto"/>
            <w:vAlign w:val="center"/>
          </w:tcPr>
          <w:p w14:paraId="0F524ED0">
            <w:pPr>
              <w:adjustRightInd w:val="0"/>
              <w:spacing w:line="240" w:lineRule="auto"/>
              <w:rPr>
                <w:rFonts w:ascii="仿宋_GB2312"/>
                <w:sz w:val="21"/>
                <w:szCs w:val="21"/>
              </w:rPr>
            </w:pPr>
            <w:r>
              <w:rPr>
                <w:rFonts w:hint="eastAsia" w:ascii="仿宋_GB2312"/>
                <w:sz w:val="21"/>
                <w:szCs w:val="21"/>
              </w:rPr>
              <w:t>路线全长16.7公里。</w:t>
            </w:r>
          </w:p>
        </w:tc>
        <w:tc>
          <w:tcPr>
            <w:tcW w:w="357" w:type="pct"/>
            <w:shd w:val="clear" w:color="auto" w:fill="auto"/>
            <w:vAlign w:val="center"/>
          </w:tcPr>
          <w:p w14:paraId="0DC97817">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3205BB5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60</w:t>
            </w:r>
          </w:p>
        </w:tc>
        <w:tc>
          <w:tcPr>
            <w:tcW w:w="472" w:type="pct"/>
            <w:shd w:val="clear" w:color="auto" w:fill="auto"/>
            <w:vAlign w:val="center"/>
          </w:tcPr>
          <w:p w14:paraId="629DE33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30</w:t>
            </w:r>
          </w:p>
        </w:tc>
        <w:tc>
          <w:tcPr>
            <w:tcW w:w="717" w:type="pct"/>
            <w:shd w:val="clear" w:color="auto" w:fill="auto"/>
            <w:vAlign w:val="center"/>
          </w:tcPr>
          <w:p w14:paraId="0ECA070F">
            <w:pPr>
              <w:adjustRightInd w:val="0"/>
              <w:spacing w:line="240" w:lineRule="auto"/>
              <w:jc w:val="center"/>
              <w:rPr>
                <w:rFonts w:ascii="仿宋_GB2312"/>
                <w:sz w:val="21"/>
                <w:szCs w:val="21"/>
              </w:rPr>
            </w:pPr>
          </w:p>
        </w:tc>
        <w:tc>
          <w:tcPr>
            <w:tcW w:w="398" w:type="pct"/>
            <w:shd w:val="clear" w:color="auto" w:fill="auto"/>
            <w:vAlign w:val="center"/>
          </w:tcPr>
          <w:p w14:paraId="1CA0B09D">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12A277E1">
            <w:pPr>
              <w:adjustRightInd w:val="0"/>
              <w:spacing w:line="240" w:lineRule="auto"/>
              <w:jc w:val="center"/>
              <w:rPr>
                <w:rFonts w:ascii="仿宋_GB2312"/>
                <w:sz w:val="21"/>
                <w:szCs w:val="21"/>
              </w:rPr>
            </w:pPr>
            <w:r>
              <w:rPr>
                <w:rFonts w:hint="eastAsia" w:ascii="仿宋_GB2312"/>
                <w:sz w:val="21"/>
                <w:szCs w:val="21"/>
              </w:rPr>
              <w:t>新建</w:t>
            </w:r>
          </w:p>
        </w:tc>
      </w:tr>
      <w:tr w14:paraId="1EAF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84CBE77">
            <w:pPr>
              <w:adjustRightInd w:val="0"/>
              <w:spacing w:line="240" w:lineRule="auto"/>
              <w:jc w:val="center"/>
              <w:rPr>
                <w:rFonts w:ascii="仿宋_GB2312"/>
                <w:sz w:val="21"/>
                <w:szCs w:val="21"/>
              </w:rPr>
            </w:pPr>
            <w:r>
              <w:rPr>
                <w:rFonts w:hint="eastAsia" w:ascii="仿宋_GB2312"/>
                <w:sz w:val="21"/>
                <w:szCs w:val="21"/>
              </w:rPr>
              <w:t>20</w:t>
            </w:r>
          </w:p>
        </w:tc>
        <w:tc>
          <w:tcPr>
            <w:tcW w:w="709" w:type="pct"/>
            <w:shd w:val="clear" w:color="auto" w:fill="auto"/>
            <w:vAlign w:val="center"/>
          </w:tcPr>
          <w:p w14:paraId="3E3E3E7E">
            <w:pPr>
              <w:adjustRightInd w:val="0"/>
              <w:spacing w:line="240" w:lineRule="auto"/>
              <w:jc w:val="center"/>
              <w:rPr>
                <w:rFonts w:ascii="仿宋_GB2312"/>
                <w:sz w:val="21"/>
                <w:szCs w:val="21"/>
              </w:rPr>
            </w:pPr>
            <w:r>
              <w:rPr>
                <w:rFonts w:hint="eastAsia" w:ascii="仿宋_GB2312"/>
                <w:sz w:val="21"/>
                <w:szCs w:val="21"/>
              </w:rPr>
              <w:t>湖州城市轨道</w:t>
            </w:r>
          </w:p>
          <w:p w14:paraId="20601963">
            <w:pPr>
              <w:adjustRightInd w:val="0"/>
              <w:spacing w:line="240" w:lineRule="auto"/>
              <w:jc w:val="center"/>
              <w:rPr>
                <w:rFonts w:ascii="仿宋_GB2312"/>
                <w:sz w:val="21"/>
                <w:szCs w:val="21"/>
              </w:rPr>
            </w:pPr>
            <w:r>
              <w:rPr>
                <w:rFonts w:hint="eastAsia" w:ascii="仿宋_GB2312"/>
                <w:sz w:val="21"/>
                <w:szCs w:val="21"/>
              </w:rPr>
              <w:t>交通②号线</w:t>
            </w:r>
          </w:p>
        </w:tc>
        <w:tc>
          <w:tcPr>
            <w:tcW w:w="1394" w:type="pct"/>
            <w:shd w:val="clear" w:color="auto" w:fill="auto"/>
            <w:vAlign w:val="center"/>
          </w:tcPr>
          <w:p w14:paraId="16327B97">
            <w:pPr>
              <w:adjustRightInd w:val="0"/>
              <w:spacing w:line="240" w:lineRule="auto"/>
              <w:rPr>
                <w:rFonts w:ascii="仿宋_GB2312"/>
                <w:sz w:val="21"/>
                <w:szCs w:val="21"/>
              </w:rPr>
            </w:pPr>
            <w:r>
              <w:rPr>
                <w:rFonts w:hint="eastAsia" w:ascii="仿宋_GB2312"/>
                <w:sz w:val="21"/>
                <w:szCs w:val="21"/>
              </w:rPr>
              <w:t>路线全长2.5公里。</w:t>
            </w:r>
          </w:p>
        </w:tc>
        <w:tc>
          <w:tcPr>
            <w:tcW w:w="357" w:type="pct"/>
            <w:shd w:val="clear" w:color="auto" w:fill="auto"/>
            <w:vAlign w:val="center"/>
          </w:tcPr>
          <w:p w14:paraId="38754427">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79F05B5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17.8</w:t>
            </w:r>
          </w:p>
        </w:tc>
        <w:tc>
          <w:tcPr>
            <w:tcW w:w="472" w:type="pct"/>
            <w:shd w:val="clear" w:color="auto" w:fill="auto"/>
            <w:vAlign w:val="center"/>
          </w:tcPr>
          <w:p w14:paraId="3F19A89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4</w:t>
            </w:r>
          </w:p>
        </w:tc>
        <w:tc>
          <w:tcPr>
            <w:tcW w:w="717" w:type="pct"/>
            <w:shd w:val="clear" w:color="auto" w:fill="auto"/>
            <w:vAlign w:val="center"/>
          </w:tcPr>
          <w:p w14:paraId="00239987">
            <w:pPr>
              <w:adjustRightInd w:val="0"/>
              <w:spacing w:line="240" w:lineRule="auto"/>
              <w:jc w:val="center"/>
              <w:rPr>
                <w:rFonts w:ascii="仿宋_GB2312"/>
                <w:sz w:val="21"/>
                <w:szCs w:val="21"/>
              </w:rPr>
            </w:pPr>
          </w:p>
        </w:tc>
        <w:tc>
          <w:tcPr>
            <w:tcW w:w="398" w:type="pct"/>
            <w:shd w:val="clear" w:color="auto" w:fill="auto"/>
            <w:vAlign w:val="center"/>
          </w:tcPr>
          <w:p w14:paraId="712CBD13">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1CFA5FEE">
            <w:pPr>
              <w:adjustRightInd w:val="0"/>
              <w:spacing w:line="240" w:lineRule="auto"/>
              <w:jc w:val="center"/>
              <w:rPr>
                <w:rFonts w:ascii="仿宋_GB2312"/>
                <w:sz w:val="21"/>
                <w:szCs w:val="21"/>
              </w:rPr>
            </w:pPr>
            <w:r>
              <w:rPr>
                <w:rFonts w:hint="eastAsia" w:ascii="仿宋_GB2312"/>
                <w:sz w:val="21"/>
                <w:szCs w:val="21"/>
              </w:rPr>
              <w:t>新建</w:t>
            </w:r>
          </w:p>
        </w:tc>
      </w:tr>
      <w:tr w14:paraId="5D15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E0E857A">
            <w:pPr>
              <w:adjustRightInd w:val="0"/>
              <w:spacing w:line="240" w:lineRule="auto"/>
              <w:jc w:val="center"/>
              <w:rPr>
                <w:rFonts w:ascii="仿宋_GB2312"/>
                <w:sz w:val="21"/>
                <w:szCs w:val="21"/>
              </w:rPr>
            </w:pPr>
            <w:r>
              <w:rPr>
                <w:rFonts w:hint="eastAsia" w:ascii="仿宋_GB2312"/>
                <w:sz w:val="21"/>
                <w:szCs w:val="21"/>
              </w:rPr>
              <w:t>21</w:t>
            </w:r>
          </w:p>
        </w:tc>
        <w:tc>
          <w:tcPr>
            <w:tcW w:w="709" w:type="pct"/>
            <w:shd w:val="clear" w:color="auto" w:fill="auto"/>
            <w:vAlign w:val="center"/>
          </w:tcPr>
          <w:p w14:paraId="11C9CF12">
            <w:pPr>
              <w:adjustRightInd w:val="0"/>
              <w:spacing w:line="240" w:lineRule="auto"/>
              <w:jc w:val="center"/>
              <w:rPr>
                <w:rFonts w:ascii="仿宋_GB2312"/>
                <w:sz w:val="21"/>
                <w:szCs w:val="21"/>
              </w:rPr>
            </w:pPr>
            <w:r>
              <w:rPr>
                <w:rFonts w:hint="eastAsia" w:ascii="仿宋_GB2312"/>
                <w:sz w:val="21"/>
                <w:szCs w:val="21"/>
              </w:rPr>
              <w:t>湖州城市轨道</w:t>
            </w:r>
          </w:p>
          <w:p w14:paraId="31E74292">
            <w:pPr>
              <w:adjustRightInd w:val="0"/>
              <w:spacing w:line="240" w:lineRule="auto"/>
              <w:jc w:val="center"/>
              <w:rPr>
                <w:rFonts w:ascii="仿宋_GB2312"/>
                <w:sz w:val="21"/>
                <w:szCs w:val="21"/>
              </w:rPr>
            </w:pPr>
            <w:r>
              <w:rPr>
                <w:rFonts w:hint="eastAsia" w:ascii="仿宋_GB2312"/>
                <w:sz w:val="21"/>
                <w:szCs w:val="21"/>
              </w:rPr>
              <w:t>交通④号线</w:t>
            </w:r>
          </w:p>
        </w:tc>
        <w:tc>
          <w:tcPr>
            <w:tcW w:w="1394" w:type="pct"/>
            <w:shd w:val="clear" w:color="auto" w:fill="auto"/>
            <w:vAlign w:val="center"/>
          </w:tcPr>
          <w:p w14:paraId="6146B709">
            <w:pPr>
              <w:adjustRightInd w:val="0"/>
              <w:spacing w:line="240" w:lineRule="auto"/>
              <w:rPr>
                <w:rFonts w:ascii="仿宋_GB2312"/>
                <w:sz w:val="21"/>
                <w:szCs w:val="21"/>
              </w:rPr>
            </w:pPr>
            <w:r>
              <w:rPr>
                <w:rFonts w:hint="eastAsia" w:ascii="仿宋_GB2312"/>
                <w:sz w:val="21"/>
                <w:szCs w:val="21"/>
              </w:rPr>
              <w:t>路线全长25公里。</w:t>
            </w:r>
          </w:p>
        </w:tc>
        <w:tc>
          <w:tcPr>
            <w:tcW w:w="357" w:type="pct"/>
            <w:shd w:val="clear" w:color="auto" w:fill="auto"/>
            <w:vAlign w:val="center"/>
          </w:tcPr>
          <w:p w14:paraId="10B96283">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4B64F53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62.5</w:t>
            </w:r>
          </w:p>
        </w:tc>
        <w:tc>
          <w:tcPr>
            <w:tcW w:w="472" w:type="pct"/>
            <w:shd w:val="clear" w:color="auto" w:fill="auto"/>
            <w:vAlign w:val="center"/>
          </w:tcPr>
          <w:p w14:paraId="230B3F3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w:t>
            </w:r>
          </w:p>
        </w:tc>
        <w:tc>
          <w:tcPr>
            <w:tcW w:w="717" w:type="pct"/>
            <w:shd w:val="clear" w:color="auto" w:fill="auto"/>
            <w:vAlign w:val="center"/>
          </w:tcPr>
          <w:p w14:paraId="4DF090A3">
            <w:pPr>
              <w:adjustRightInd w:val="0"/>
              <w:spacing w:line="240" w:lineRule="auto"/>
              <w:jc w:val="center"/>
              <w:rPr>
                <w:rFonts w:ascii="仿宋_GB2312"/>
                <w:sz w:val="21"/>
                <w:szCs w:val="21"/>
              </w:rPr>
            </w:pPr>
          </w:p>
        </w:tc>
        <w:tc>
          <w:tcPr>
            <w:tcW w:w="398" w:type="pct"/>
            <w:shd w:val="clear" w:color="auto" w:fill="auto"/>
            <w:vAlign w:val="center"/>
          </w:tcPr>
          <w:p w14:paraId="6CC894E1">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7765B52">
            <w:pPr>
              <w:adjustRightInd w:val="0"/>
              <w:spacing w:line="240" w:lineRule="auto"/>
              <w:jc w:val="center"/>
              <w:rPr>
                <w:rFonts w:ascii="仿宋_GB2312"/>
                <w:sz w:val="21"/>
                <w:szCs w:val="21"/>
              </w:rPr>
            </w:pPr>
            <w:r>
              <w:rPr>
                <w:rFonts w:hint="eastAsia" w:ascii="仿宋_GB2312"/>
                <w:sz w:val="21"/>
                <w:szCs w:val="21"/>
              </w:rPr>
              <w:t>新建</w:t>
            </w:r>
          </w:p>
        </w:tc>
      </w:tr>
      <w:tr w14:paraId="2F26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068338F">
            <w:pPr>
              <w:adjustRightInd w:val="0"/>
              <w:spacing w:line="240" w:lineRule="auto"/>
              <w:jc w:val="center"/>
              <w:rPr>
                <w:rFonts w:ascii="仿宋_GB2312"/>
                <w:sz w:val="21"/>
                <w:szCs w:val="21"/>
              </w:rPr>
            </w:pPr>
            <w:r>
              <w:rPr>
                <w:rFonts w:hint="eastAsia" w:ascii="仿宋_GB2312"/>
                <w:sz w:val="21"/>
                <w:szCs w:val="21"/>
              </w:rPr>
              <w:t>22</w:t>
            </w:r>
          </w:p>
        </w:tc>
        <w:tc>
          <w:tcPr>
            <w:tcW w:w="709" w:type="pct"/>
            <w:shd w:val="clear" w:color="auto" w:fill="auto"/>
            <w:vAlign w:val="center"/>
          </w:tcPr>
          <w:p w14:paraId="6FC4C382">
            <w:pPr>
              <w:adjustRightInd w:val="0"/>
              <w:spacing w:line="240" w:lineRule="auto"/>
              <w:jc w:val="center"/>
              <w:rPr>
                <w:rFonts w:ascii="仿宋_GB2312"/>
                <w:sz w:val="21"/>
                <w:szCs w:val="21"/>
              </w:rPr>
            </w:pPr>
            <w:r>
              <w:rPr>
                <w:rFonts w:hint="eastAsia" w:ascii="仿宋_GB2312"/>
                <w:sz w:val="21"/>
                <w:szCs w:val="21"/>
              </w:rPr>
              <w:t>104国道上莘桥</w:t>
            </w:r>
          </w:p>
          <w:p w14:paraId="6142EB3C">
            <w:pPr>
              <w:adjustRightInd w:val="0"/>
              <w:spacing w:line="240" w:lineRule="auto"/>
              <w:jc w:val="center"/>
              <w:rPr>
                <w:rFonts w:ascii="仿宋_GB2312"/>
                <w:sz w:val="21"/>
                <w:szCs w:val="21"/>
              </w:rPr>
            </w:pPr>
            <w:r>
              <w:rPr>
                <w:rFonts w:hint="eastAsia" w:ascii="仿宋_GB2312"/>
                <w:sz w:val="21"/>
                <w:szCs w:val="21"/>
              </w:rPr>
              <w:t>至刘家渡段</w:t>
            </w:r>
          </w:p>
          <w:p w14:paraId="04BFA3F1">
            <w:pPr>
              <w:adjustRightInd w:val="0"/>
              <w:spacing w:line="240" w:lineRule="auto"/>
              <w:jc w:val="center"/>
              <w:rPr>
                <w:rFonts w:ascii="仿宋_GB2312"/>
                <w:sz w:val="21"/>
                <w:szCs w:val="21"/>
              </w:rPr>
            </w:pPr>
            <w:r>
              <w:rPr>
                <w:rFonts w:hint="eastAsia" w:ascii="仿宋_GB2312"/>
                <w:sz w:val="21"/>
                <w:szCs w:val="21"/>
              </w:rPr>
              <w:t>提升改造工程</w:t>
            </w:r>
          </w:p>
        </w:tc>
        <w:tc>
          <w:tcPr>
            <w:tcW w:w="1394" w:type="pct"/>
            <w:shd w:val="clear" w:color="auto" w:fill="auto"/>
            <w:vAlign w:val="center"/>
          </w:tcPr>
          <w:p w14:paraId="3A16C491">
            <w:pPr>
              <w:adjustRightInd w:val="0"/>
              <w:spacing w:line="240" w:lineRule="auto"/>
              <w:rPr>
                <w:rFonts w:ascii="仿宋_GB2312"/>
                <w:sz w:val="21"/>
                <w:szCs w:val="21"/>
              </w:rPr>
            </w:pPr>
            <w:r>
              <w:rPr>
                <w:rFonts w:hint="eastAsia" w:ascii="仿宋_GB2312"/>
                <w:sz w:val="21"/>
                <w:szCs w:val="21"/>
              </w:rPr>
              <w:t>项目主线长约6.1公里，其中高架桥长约1690米，地下通道长约670米；该项目合计实施里程约7.6公里。</w:t>
            </w:r>
          </w:p>
        </w:tc>
        <w:tc>
          <w:tcPr>
            <w:tcW w:w="357" w:type="pct"/>
            <w:shd w:val="clear" w:color="auto" w:fill="auto"/>
            <w:vAlign w:val="center"/>
          </w:tcPr>
          <w:p w14:paraId="2A4244D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04109CA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11.767</w:t>
            </w:r>
          </w:p>
        </w:tc>
        <w:tc>
          <w:tcPr>
            <w:tcW w:w="472" w:type="pct"/>
            <w:shd w:val="clear" w:color="auto" w:fill="auto"/>
            <w:vAlign w:val="center"/>
          </w:tcPr>
          <w:p w14:paraId="7FF6F104">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11.767</w:t>
            </w:r>
          </w:p>
        </w:tc>
        <w:tc>
          <w:tcPr>
            <w:tcW w:w="717" w:type="pct"/>
            <w:shd w:val="clear" w:color="auto" w:fill="auto"/>
            <w:vAlign w:val="center"/>
          </w:tcPr>
          <w:p w14:paraId="6EB5203B">
            <w:pPr>
              <w:adjustRightInd w:val="0"/>
              <w:spacing w:line="240" w:lineRule="auto"/>
              <w:jc w:val="center"/>
              <w:rPr>
                <w:rFonts w:ascii="仿宋_GB2312"/>
                <w:sz w:val="21"/>
                <w:szCs w:val="21"/>
              </w:rPr>
            </w:pPr>
            <w:r>
              <w:rPr>
                <w:rFonts w:hint="eastAsia" w:ascii="仿宋_GB2312"/>
                <w:sz w:val="21"/>
                <w:szCs w:val="21"/>
              </w:rPr>
              <w:t>长兴县交通</w:t>
            </w:r>
          </w:p>
          <w:p w14:paraId="67CAF7D3">
            <w:pPr>
              <w:adjustRightInd w:val="0"/>
              <w:spacing w:line="240" w:lineRule="auto"/>
              <w:jc w:val="center"/>
              <w:rPr>
                <w:rFonts w:ascii="仿宋_GB2312"/>
                <w:sz w:val="21"/>
                <w:szCs w:val="21"/>
              </w:rPr>
            </w:pPr>
            <w:r>
              <w:rPr>
                <w:rFonts w:hint="eastAsia" w:ascii="仿宋_GB2312"/>
                <w:sz w:val="21"/>
                <w:szCs w:val="21"/>
              </w:rPr>
              <w:t>建设发展中心</w:t>
            </w:r>
          </w:p>
        </w:tc>
        <w:tc>
          <w:tcPr>
            <w:tcW w:w="398" w:type="pct"/>
            <w:shd w:val="clear" w:color="auto" w:fill="auto"/>
            <w:vAlign w:val="center"/>
          </w:tcPr>
          <w:p w14:paraId="40A751F1">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0D9DA21D">
            <w:pPr>
              <w:adjustRightInd w:val="0"/>
              <w:spacing w:line="240" w:lineRule="auto"/>
              <w:jc w:val="center"/>
              <w:rPr>
                <w:rFonts w:ascii="仿宋_GB2312"/>
                <w:sz w:val="21"/>
                <w:szCs w:val="21"/>
              </w:rPr>
            </w:pPr>
            <w:r>
              <w:rPr>
                <w:rFonts w:hint="eastAsia" w:ascii="仿宋_GB2312"/>
                <w:sz w:val="21"/>
                <w:szCs w:val="21"/>
              </w:rPr>
              <w:t>新建</w:t>
            </w:r>
          </w:p>
        </w:tc>
      </w:tr>
      <w:tr w14:paraId="12E1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35DAE4D">
            <w:pPr>
              <w:adjustRightInd w:val="0"/>
              <w:spacing w:line="240" w:lineRule="auto"/>
              <w:jc w:val="center"/>
              <w:rPr>
                <w:rFonts w:ascii="仿宋_GB2312"/>
                <w:sz w:val="21"/>
                <w:szCs w:val="21"/>
              </w:rPr>
            </w:pPr>
            <w:r>
              <w:rPr>
                <w:rFonts w:hint="eastAsia" w:ascii="仿宋_GB2312"/>
                <w:sz w:val="21"/>
                <w:szCs w:val="21"/>
              </w:rPr>
              <w:t>23</w:t>
            </w:r>
          </w:p>
        </w:tc>
        <w:tc>
          <w:tcPr>
            <w:tcW w:w="709" w:type="pct"/>
            <w:shd w:val="clear" w:color="auto" w:fill="auto"/>
            <w:vAlign w:val="center"/>
          </w:tcPr>
          <w:p w14:paraId="3E90D9C2">
            <w:pPr>
              <w:adjustRightInd w:val="0"/>
              <w:spacing w:line="240" w:lineRule="auto"/>
              <w:jc w:val="center"/>
              <w:rPr>
                <w:rFonts w:ascii="仿宋_GB2312"/>
                <w:sz w:val="21"/>
                <w:szCs w:val="21"/>
              </w:rPr>
            </w:pPr>
            <w:r>
              <w:rPr>
                <w:rFonts w:hint="eastAsia" w:ascii="仿宋_GB2312"/>
                <w:sz w:val="21"/>
                <w:szCs w:val="21"/>
              </w:rPr>
              <w:t>G235长兴泗安至</w:t>
            </w:r>
          </w:p>
          <w:p w14:paraId="33EC9C8B">
            <w:pPr>
              <w:adjustRightInd w:val="0"/>
              <w:spacing w:line="240" w:lineRule="auto"/>
              <w:jc w:val="center"/>
              <w:rPr>
                <w:rFonts w:ascii="仿宋_GB2312"/>
                <w:sz w:val="21"/>
                <w:szCs w:val="21"/>
              </w:rPr>
            </w:pPr>
            <w:r>
              <w:rPr>
                <w:rFonts w:hint="eastAsia" w:ascii="仿宋_GB2312"/>
                <w:sz w:val="21"/>
                <w:szCs w:val="21"/>
              </w:rPr>
              <w:t>安吉天子湖段</w:t>
            </w:r>
          </w:p>
          <w:p w14:paraId="0CDEF983">
            <w:pPr>
              <w:adjustRightInd w:val="0"/>
              <w:spacing w:line="240" w:lineRule="auto"/>
              <w:jc w:val="center"/>
              <w:rPr>
                <w:rFonts w:ascii="仿宋_GB2312"/>
                <w:sz w:val="21"/>
                <w:szCs w:val="21"/>
              </w:rPr>
            </w:pPr>
            <w:r>
              <w:rPr>
                <w:rFonts w:hint="eastAsia" w:ascii="仿宋_GB2312"/>
                <w:sz w:val="21"/>
                <w:szCs w:val="21"/>
              </w:rPr>
              <w:t>改建工程</w:t>
            </w:r>
          </w:p>
        </w:tc>
        <w:tc>
          <w:tcPr>
            <w:tcW w:w="1394" w:type="pct"/>
            <w:shd w:val="clear" w:color="auto" w:fill="auto"/>
            <w:vAlign w:val="center"/>
          </w:tcPr>
          <w:p w14:paraId="658498F9">
            <w:pPr>
              <w:adjustRightInd w:val="0"/>
              <w:spacing w:line="240" w:lineRule="auto"/>
              <w:rPr>
                <w:rFonts w:ascii="仿宋_GB2312"/>
                <w:sz w:val="21"/>
                <w:szCs w:val="21"/>
              </w:rPr>
            </w:pPr>
            <w:r>
              <w:rPr>
                <w:rFonts w:hint="eastAsia" w:ascii="仿宋_GB2312"/>
                <w:sz w:val="21"/>
                <w:szCs w:val="21"/>
              </w:rPr>
              <w:t>路线全长5.645km（主线长3.561km，连接线长2.084km）。</w:t>
            </w:r>
          </w:p>
        </w:tc>
        <w:tc>
          <w:tcPr>
            <w:tcW w:w="357" w:type="pct"/>
            <w:shd w:val="clear" w:color="auto" w:fill="auto"/>
            <w:vAlign w:val="center"/>
          </w:tcPr>
          <w:p w14:paraId="38D720D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2023-2025</w:t>
            </w:r>
          </w:p>
        </w:tc>
        <w:tc>
          <w:tcPr>
            <w:tcW w:w="327" w:type="pct"/>
            <w:shd w:val="clear" w:color="auto" w:fill="auto"/>
            <w:vAlign w:val="center"/>
          </w:tcPr>
          <w:p w14:paraId="2AB9E4C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2.33</w:t>
            </w:r>
          </w:p>
        </w:tc>
        <w:tc>
          <w:tcPr>
            <w:tcW w:w="472" w:type="pct"/>
            <w:shd w:val="clear" w:color="auto" w:fill="auto"/>
            <w:vAlign w:val="center"/>
          </w:tcPr>
          <w:p w14:paraId="60301CA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2.33</w:t>
            </w:r>
          </w:p>
        </w:tc>
        <w:tc>
          <w:tcPr>
            <w:tcW w:w="717" w:type="pct"/>
            <w:shd w:val="clear" w:color="auto" w:fill="auto"/>
            <w:vAlign w:val="center"/>
          </w:tcPr>
          <w:p w14:paraId="072CAB13">
            <w:pPr>
              <w:adjustRightInd w:val="0"/>
              <w:spacing w:line="240" w:lineRule="auto"/>
              <w:jc w:val="center"/>
              <w:rPr>
                <w:rFonts w:ascii="仿宋_GB2312"/>
                <w:sz w:val="21"/>
                <w:szCs w:val="21"/>
              </w:rPr>
            </w:pPr>
            <w:r>
              <w:rPr>
                <w:rFonts w:hint="eastAsia" w:ascii="仿宋_GB2312"/>
                <w:sz w:val="21"/>
                <w:szCs w:val="21"/>
              </w:rPr>
              <w:t>长兴县交通</w:t>
            </w:r>
          </w:p>
          <w:p w14:paraId="7AD24C33">
            <w:pPr>
              <w:adjustRightInd w:val="0"/>
              <w:spacing w:line="240" w:lineRule="auto"/>
              <w:jc w:val="center"/>
              <w:rPr>
                <w:rFonts w:ascii="仿宋_GB2312"/>
                <w:sz w:val="21"/>
                <w:szCs w:val="21"/>
              </w:rPr>
            </w:pPr>
            <w:r>
              <w:rPr>
                <w:rFonts w:hint="eastAsia" w:ascii="仿宋_GB2312"/>
                <w:sz w:val="21"/>
                <w:szCs w:val="21"/>
              </w:rPr>
              <w:t>建设发展中心</w:t>
            </w:r>
          </w:p>
        </w:tc>
        <w:tc>
          <w:tcPr>
            <w:tcW w:w="398" w:type="pct"/>
            <w:shd w:val="clear" w:color="auto" w:fill="auto"/>
            <w:vAlign w:val="center"/>
          </w:tcPr>
          <w:p w14:paraId="5FCFD2E7">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383C968">
            <w:pPr>
              <w:adjustRightInd w:val="0"/>
              <w:spacing w:line="240" w:lineRule="auto"/>
              <w:jc w:val="center"/>
              <w:rPr>
                <w:rFonts w:ascii="仿宋_GB2312"/>
                <w:sz w:val="21"/>
                <w:szCs w:val="21"/>
              </w:rPr>
            </w:pPr>
            <w:r>
              <w:rPr>
                <w:rFonts w:hint="eastAsia" w:ascii="仿宋_GB2312"/>
                <w:sz w:val="21"/>
                <w:szCs w:val="21"/>
              </w:rPr>
              <w:t>新建</w:t>
            </w:r>
          </w:p>
        </w:tc>
      </w:tr>
      <w:tr w14:paraId="571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DA359FC">
            <w:pPr>
              <w:adjustRightInd w:val="0"/>
              <w:spacing w:line="240" w:lineRule="auto"/>
              <w:jc w:val="center"/>
              <w:rPr>
                <w:rFonts w:ascii="仿宋_GB2312"/>
                <w:sz w:val="21"/>
                <w:szCs w:val="21"/>
              </w:rPr>
            </w:pPr>
            <w:r>
              <w:rPr>
                <w:rFonts w:hint="eastAsia" w:ascii="仿宋_GB2312"/>
                <w:sz w:val="21"/>
                <w:szCs w:val="21"/>
              </w:rPr>
              <w:t>24</w:t>
            </w:r>
          </w:p>
        </w:tc>
        <w:tc>
          <w:tcPr>
            <w:tcW w:w="709" w:type="pct"/>
            <w:shd w:val="clear" w:color="auto" w:fill="auto"/>
            <w:vAlign w:val="center"/>
          </w:tcPr>
          <w:p w14:paraId="403587A3">
            <w:pPr>
              <w:adjustRightInd w:val="0"/>
              <w:spacing w:line="240" w:lineRule="auto"/>
              <w:jc w:val="center"/>
              <w:rPr>
                <w:rFonts w:ascii="仿宋_GB2312"/>
                <w:sz w:val="21"/>
                <w:szCs w:val="21"/>
              </w:rPr>
            </w:pPr>
            <w:r>
              <w:rPr>
                <w:rFonts w:hint="eastAsia" w:ascii="仿宋_GB2312"/>
                <w:sz w:val="21"/>
                <w:szCs w:val="21"/>
              </w:rPr>
              <w:t>长兴至安吉公路</w:t>
            </w:r>
          </w:p>
          <w:p w14:paraId="4A4094B0">
            <w:pPr>
              <w:adjustRightInd w:val="0"/>
              <w:spacing w:line="240" w:lineRule="auto"/>
              <w:jc w:val="center"/>
              <w:rPr>
                <w:rFonts w:ascii="仿宋_GB2312"/>
                <w:sz w:val="21"/>
                <w:szCs w:val="21"/>
              </w:rPr>
            </w:pPr>
            <w:r>
              <w:rPr>
                <w:rFonts w:hint="eastAsia" w:ascii="仿宋_GB2312"/>
                <w:sz w:val="21"/>
                <w:szCs w:val="21"/>
              </w:rPr>
              <w:t>长兴槐坎至二界岭段改建工程</w:t>
            </w:r>
          </w:p>
        </w:tc>
        <w:tc>
          <w:tcPr>
            <w:tcW w:w="1394" w:type="pct"/>
            <w:shd w:val="clear" w:color="auto" w:fill="auto"/>
            <w:vAlign w:val="center"/>
          </w:tcPr>
          <w:p w14:paraId="24CA0BE5">
            <w:pPr>
              <w:adjustRightInd w:val="0"/>
              <w:spacing w:line="240" w:lineRule="auto"/>
              <w:rPr>
                <w:rFonts w:ascii="仿宋_GB2312"/>
                <w:sz w:val="21"/>
                <w:szCs w:val="21"/>
              </w:rPr>
            </w:pPr>
            <w:r>
              <w:rPr>
                <w:rFonts w:hint="eastAsia" w:ascii="仿宋_GB2312"/>
                <w:sz w:val="21"/>
                <w:szCs w:val="21"/>
              </w:rPr>
              <w:t>主线长约14.3公里。</w:t>
            </w:r>
          </w:p>
        </w:tc>
        <w:tc>
          <w:tcPr>
            <w:tcW w:w="357" w:type="pct"/>
            <w:shd w:val="clear" w:color="auto" w:fill="auto"/>
            <w:vAlign w:val="center"/>
          </w:tcPr>
          <w:p w14:paraId="0DCD05F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2538FD4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5.5</w:t>
            </w:r>
          </w:p>
        </w:tc>
        <w:tc>
          <w:tcPr>
            <w:tcW w:w="472" w:type="pct"/>
            <w:shd w:val="clear" w:color="auto" w:fill="auto"/>
            <w:vAlign w:val="center"/>
          </w:tcPr>
          <w:p w14:paraId="11DF1B6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5.5</w:t>
            </w:r>
          </w:p>
        </w:tc>
        <w:tc>
          <w:tcPr>
            <w:tcW w:w="717" w:type="pct"/>
            <w:shd w:val="clear" w:color="auto" w:fill="auto"/>
            <w:vAlign w:val="center"/>
          </w:tcPr>
          <w:p w14:paraId="1F9DE441">
            <w:pPr>
              <w:adjustRightInd w:val="0"/>
              <w:spacing w:line="240" w:lineRule="auto"/>
              <w:jc w:val="center"/>
              <w:rPr>
                <w:rFonts w:ascii="仿宋_GB2312"/>
                <w:sz w:val="21"/>
                <w:szCs w:val="21"/>
              </w:rPr>
            </w:pPr>
            <w:r>
              <w:rPr>
                <w:rFonts w:hint="eastAsia" w:ascii="仿宋_GB2312"/>
                <w:sz w:val="21"/>
                <w:szCs w:val="21"/>
              </w:rPr>
              <w:t>长兴滨湖建设</w:t>
            </w:r>
          </w:p>
          <w:p w14:paraId="63A7BA69">
            <w:pPr>
              <w:adjustRightInd w:val="0"/>
              <w:spacing w:line="240" w:lineRule="auto"/>
              <w:jc w:val="center"/>
              <w:rPr>
                <w:rFonts w:ascii="仿宋_GB2312"/>
                <w:sz w:val="21"/>
                <w:szCs w:val="21"/>
              </w:rPr>
            </w:pPr>
            <w:r>
              <w:rPr>
                <w:rFonts w:hint="eastAsia" w:ascii="仿宋_GB2312"/>
                <w:sz w:val="21"/>
                <w:szCs w:val="21"/>
              </w:rPr>
              <w:t>开发有限公司</w:t>
            </w:r>
          </w:p>
        </w:tc>
        <w:tc>
          <w:tcPr>
            <w:tcW w:w="398" w:type="pct"/>
            <w:shd w:val="clear" w:color="auto" w:fill="auto"/>
            <w:vAlign w:val="center"/>
          </w:tcPr>
          <w:p w14:paraId="42EE1A18">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53B9F4CB">
            <w:pPr>
              <w:adjustRightInd w:val="0"/>
              <w:spacing w:line="240" w:lineRule="auto"/>
              <w:jc w:val="center"/>
              <w:rPr>
                <w:rFonts w:ascii="仿宋_GB2312"/>
                <w:sz w:val="21"/>
                <w:szCs w:val="21"/>
              </w:rPr>
            </w:pPr>
            <w:r>
              <w:rPr>
                <w:rFonts w:hint="eastAsia" w:ascii="仿宋_GB2312"/>
                <w:sz w:val="21"/>
                <w:szCs w:val="21"/>
              </w:rPr>
              <w:t>续建</w:t>
            </w:r>
          </w:p>
        </w:tc>
      </w:tr>
      <w:tr w14:paraId="74A8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DDBE368">
            <w:pPr>
              <w:adjustRightInd w:val="0"/>
              <w:spacing w:line="240" w:lineRule="auto"/>
              <w:jc w:val="center"/>
              <w:rPr>
                <w:rFonts w:ascii="仿宋_GB2312"/>
                <w:sz w:val="21"/>
                <w:szCs w:val="21"/>
              </w:rPr>
            </w:pPr>
            <w:r>
              <w:rPr>
                <w:rFonts w:hint="eastAsia" w:ascii="仿宋_GB2312"/>
                <w:sz w:val="21"/>
                <w:szCs w:val="21"/>
              </w:rPr>
              <w:t>25</w:t>
            </w:r>
          </w:p>
        </w:tc>
        <w:tc>
          <w:tcPr>
            <w:tcW w:w="709" w:type="pct"/>
            <w:shd w:val="clear" w:color="auto" w:fill="auto"/>
            <w:vAlign w:val="center"/>
          </w:tcPr>
          <w:p w14:paraId="6E8CF69E">
            <w:pPr>
              <w:adjustRightInd w:val="0"/>
              <w:spacing w:line="240" w:lineRule="auto"/>
              <w:jc w:val="center"/>
              <w:rPr>
                <w:rFonts w:ascii="仿宋_GB2312"/>
                <w:sz w:val="21"/>
                <w:szCs w:val="21"/>
              </w:rPr>
            </w:pPr>
            <w:r>
              <w:rPr>
                <w:rFonts w:hint="eastAsia" w:ascii="仿宋_GB2312"/>
                <w:sz w:val="21"/>
                <w:szCs w:val="21"/>
              </w:rPr>
              <w:t>长兴至安吉公路</w:t>
            </w:r>
          </w:p>
          <w:p w14:paraId="14025275">
            <w:pPr>
              <w:adjustRightInd w:val="0"/>
              <w:spacing w:line="240" w:lineRule="auto"/>
              <w:jc w:val="center"/>
              <w:rPr>
                <w:rFonts w:ascii="仿宋_GB2312"/>
                <w:sz w:val="21"/>
                <w:szCs w:val="21"/>
              </w:rPr>
            </w:pPr>
            <w:r>
              <w:rPr>
                <w:rFonts w:hint="eastAsia" w:ascii="仿宋_GB2312"/>
                <w:sz w:val="21"/>
                <w:szCs w:val="21"/>
              </w:rPr>
              <w:t>长兴二界岭至和平段改建工程</w:t>
            </w:r>
          </w:p>
        </w:tc>
        <w:tc>
          <w:tcPr>
            <w:tcW w:w="1394" w:type="pct"/>
            <w:shd w:val="clear" w:color="auto" w:fill="auto"/>
            <w:vAlign w:val="center"/>
          </w:tcPr>
          <w:p w14:paraId="41699D59">
            <w:pPr>
              <w:adjustRightInd w:val="0"/>
              <w:spacing w:line="240" w:lineRule="auto"/>
              <w:rPr>
                <w:rFonts w:ascii="仿宋_GB2312"/>
                <w:sz w:val="21"/>
                <w:szCs w:val="21"/>
              </w:rPr>
            </w:pPr>
            <w:r>
              <w:rPr>
                <w:rFonts w:hint="eastAsia" w:ascii="仿宋_GB2312"/>
                <w:sz w:val="21"/>
                <w:szCs w:val="21"/>
              </w:rPr>
              <w:t>路线全长34.817 公里。</w:t>
            </w:r>
          </w:p>
        </w:tc>
        <w:tc>
          <w:tcPr>
            <w:tcW w:w="357" w:type="pct"/>
            <w:shd w:val="clear" w:color="auto" w:fill="auto"/>
            <w:vAlign w:val="center"/>
          </w:tcPr>
          <w:p w14:paraId="45605C1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2022-2024</w:t>
            </w:r>
          </w:p>
        </w:tc>
        <w:tc>
          <w:tcPr>
            <w:tcW w:w="327" w:type="pct"/>
            <w:shd w:val="clear" w:color="auto" w:fill="auto"/>
            <w:vAlign w:val="center"/>
          </w:tcPr>
          <w:p w14:paraId="3D30A406">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10.895</w:t>
            </w:r>
          </w:p>
        </w:tc>
        <w:tc>
          <w:tcPr>
            <w:tcW w:w="472" w:type="pct"/>
            <w:shd w:val="clear" w:color="auto" w:fill="auto"/>
            <w:vAlign w:val="center"/>
          </w:tcPr>
          <w:p w14:paraId="1048E74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10.895</w:t>
            </w:r>
          </w:p>
        </w:tc>
        <w:tc>
          <w:tcPr>
            <w:tcW w:w="717" w:type="pct"/>
            <w:shd w:val="clear" w:color="auto" w:fill="auto"/>
            <w:vAlign w:val="center"/>
          </w:tcPr>
          <w:p w14:paraId="630E2DEB">
            <w:pPr>
              <w:adjustRightInd w:val="0"/>
              <w:spacing w:line="240" w:lineRule="auto"/>
              <w:jc w:val="center"/>
              <w:rPr>
                <w:rFonts w:ascii="仿宋_GB2312"/>
                <w:sz w:val="21"/>
                <w:szCs w:val="21"/>
              </w:rPr>
            </w:pPr>
            <w:r>
              <w:rPr>
                <w:rFonts w:hint="eastAsia" w:ascii="仿宋_GB2312"/>
                <w:sz w:val="21"/>
                <w:szCs w:val="21"/>
              </w:rPr>
              <w:t>长兴县交通</w:t>
            </w:r>
          </w:p>
          <w:p w14:paraId="68034FFB">
            <w:pPr>
              <w:adjustRightInd w:val="0"/>
              <w:spacing w:line="240" w:lineRule="auto"/>
              <w:jc w:val="center"/>
              <w:rPr>
                <w:rFonts w:ascii="仿宋_GB2312"/>
                <w:sz w:val="21"/>
                <w:szCs w:val="21"/>
              </w:rPr>
            </w:pPr>
            <w:r>
              <w:rPr>
                <w:rFonts w:hint="eastAsia" w:ascii="仿宋_GB2312"/>
                <w:sz w:val="21"/>
                <w:szCs w:val="21"/>
              </w:rPr>
              <w:t>建设发展中心</w:t>
            </w:r>
          </w:p>
        </w:tc>
        <w:tc>
          <w:tcPr>
            <w:tcW w:w="398" w:type="pct"/>
            <w:shd w:val="clear" w:color="auto" w:fill="auto"/>
            <w:vAlign w:val="center"/>
          </w:tcPr>
          <w:p w14:paraId="3A470104">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16536538">
            <w:pPr>
              <w:adjustRightInd w:val="0"/>
              <w:spacing w:line="240" w:lineRule="auto"/>
              <w:jc w:val="center"/>
              <w:rPr>
                <w:rFonts w:ascii="仿宋_GB2312"/>
                <w:sz w:val="21"/>
                <w:szCs w:val="21"/>
              </w:rPr>
            </w:pPr>
            <w:r>
              <w:rPr>
                <w:rFonts w:hint="eastAsia" w:ascii="仿宋_GB2312"/>
                <w:sz w:val="21"/>
                <w:szCs w:val="21"/>
              </w:rPr>
              <w:t>新建</w:t>
            </w:r>
          </w:p>
        </w:tc>
      </w:tr>
      <w:tr w14:paraId="5B4E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015B52A">
            <w:pPr>
              <w:adjustRightInd w:val="0"/>
              <w:spacing w:line="240" w:lineRule="auto"/>
              <w:jc w:val="center"/>
              <w:rPr>
                <w:rFonts w:ascii="仿宋_GB2312"/>
                <w:sz w:val="21"/>
                <w:szCs w:val="21"/>
              </w:rPr>
            </w:pPr>
            <w:r>
              <w:rPr>
                <w:rFonts w:hint="eastAsia" w:ascii="仿宋_GB2312"/>
                <w:sz w:val="21"/>
                <w:szCs w:val="21"/>
              </w:rPr>
              <w:t>26</w:t>
            </w:r>
          </w:p>
        </w:tc>
        <w:tc>
          <w:tcPr>
            <w:tcW w:w="709" w:type="pct"/>
            <w:shd w:val="clear" w:color="auto" w:fill="auto"/>
            <w:vAlign w:val="center"/>
          </w:tcPr>
          <w:p w14:paraId="672B5B62">
            <w:pPr>
              <w:adjustRightInd w:val="0"/>
              <w:spacing w:line="240" w:lineRule="auto"/>
              <w:jc w:val="center"/>
              <w:rPr>
                <w:rFonts w:ascii="仿宋_GB2312"/>
                <w:sz w:val="21"/>
                <w:szCs w:val="21"/>
              </w:rPr>
            </w:pPr>
            <w:r>
              <w:rPr>
                <w:rFonts w:hint="eastAsia" w:ascii="仿宋_GB2312"/>
                <w:sz w:val="21"/>
                <w:szCs w:val="21"/>
              </w:rPr>
              <w:t>S301吴兴至长兴公路改建工程</w:t>
            </w:r>
          </w:p>
        </w:tc>
        <w:tc>
          <w:tcPr>
            <w:tcW w:w="1394" w:type="pct"/>
            <w:shd w:val="clear" w:color="auto" w:fill="auto"/>
            <w:vAlign w:val="center"/>
          </w:tcPr>
          <w:p w14:paraId="5A6E76B0">
            <w:pPr>
              <w:adjustRightInd w:val="0"/>
              <w:spacing w:line="240" w:lineRule="auto"/>
              <w:rPr>
                <w:rFonts w:ascii="仿宋_GB2312"/>
                <w:sz w:val="21"/>
                <w:szCs w:val="21"/>
              </w:rPr>
            </w:pPr>
            <w:r>
              <w:rPr>
                <w:rFonts w:hint="eastAsia" w:ascii="仿宋_GB2312"/>
                <w:sz w:val="21"/>
                <w:szCs w:val="21"/>
              </w:rPr>
              <w:t>路线全长45公里。</w:t>
            </w:r>
          </w:p>
        </w:tc>
        <w:tc>
          <w:tcPr>
            <w:tcW w:w="357" w:type="pct"/>
            <w:shd w:val="clear" w:color="auto" w:fill="auto"/>
            <w:vAlign w:val="center"/>
          </w:tcPr>
          <w:p w14:paraId="3C20B056">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281E69B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21</w:t>
            </w:r>
          </w:p>
        </w:tc>
        <w:tc>
          <w:tcPr>
            <w:tcW w:w="472" w:type="pct"/>
            <w:shd w:val="clear" w:color="auto" w:fill="auto"/>
            <w:vAlign w:val="center"/>
          </w:tcPr>
          <w:p w14:paraId="03805D6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7</w:t>
            </w:r>
          </w:p>
        </w:tc>
        <w:tc>
          <w:tcPr>
            <w:tcW w:w="717" w:type="pct"/>
            <w:shd w:val="clear" w:color="auto" w:fill="auto"/>
            <w:vAlign w:val="center"/>
          </w:tcPr>
          <w:p w14:paraId="1DD319CF">
            <w:pPr>
              <w:adjustRightInd w:val="0"/>
              <w:spacing w:line="240" w:lineRule="auto"/>
              <w:jc w:val="center"/>
              <w:rPr>
                <w:rFonts w:ascii="仿宋_GB2312"/>
                <w:sz w:val="21"/>
                <w:szCs w:val="21"/>
              </w:rPr>
            </w:pPr>
          </w:p>
        </w:tc>
        <w:tc>
          <w:tcPr>
            <w:tcW w:w="398" w:type="pct"/>
            <w:shd w:val="clear" w:color="auto" w:fill="auto"/>
            <w:vAlign w:val="center"/>
          </w:tcPr>
          <w:p w14:paraId="0C53DE84">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5BE16CC7">
            <w:pPr>
              <w:adjustRightInd w:val="0"/>
              <w:spacing w:line="240" w:lineRule="auto"/>
              <w:jc w:val="center"/>
              <w:rPr>
                <w:rFonts w:ascii="仿宋_GB2312"/>
                <w:sz w:val="21"/>
                <w:szCs w:val="21"/>
              </w:rPr>
            </w:pPr>
            <w:r>
              <w:rPr>
                <w:rFonts w:hint="eastAsia" w:ascii="仿宋_GB2312"/>
                <w:sz w:val="21"/>
                <w:szCs w:val="21"/>
              </w:rPr>
              <w:t>新建</w:t>
            </w:r>
          </w:p>
        </w:tc>
      </w:tr>
      <w:tr w14:paraId="2AC9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A93D77B">
            <w:pPr>
              <w:adjustRightInd w:val="0"/>
              <w:spacing w:line="240" w:lineRule="auto"/>
              <w:jc w:val="center"/>
              <w:rPr>
                <w:rFonts w:ascii="仿宋_GB2312"/>
                <w:sz w:val="21"/>
                <w:szCs w:val="21"/>
              </w:rPr>
            </w:pPr>
            <w:r>
              <w:rPr>
                <w:rFonts w:hint="eastAsia" w:ascii="仿宋_GB2312"/>
                <w:sz w:val="21"/>
                <w:szCs w:val="21"/>
              </w:rPr>
              <w:t>27</w:t>
            </w:r>
          </w:p>
        </w:tc>
        <w:tc>
          <w:tcPr>
            <w:tcW w:w="709" w:type="pct"/>
            <w:shd w:val="clear" w:color="auto" w:fill="auto"/>
            <w:vAlign w:val="center"/>
          </w:tcPr>
          <w:p w14:paraId="1AF74CEE">
            <w:pPr>
              <w:adjustRightInd w:val="0"/>
              <w:spacing w:line="240" w:lineRule="auto"/>
              <w:jc w:val="center"/>
              <w:rPr>
                <w:rFonts w:ascii="仿宋_GB2312"/>
                <w:sz w:val="21"/>
                <w:szCs w:val="21"/>
              </w:rPr>
            </w:pPr>
            <w:r>
              <w:rPr>
                <w:rFonts w:hint="eastAsia" w:ascii="仿宋_GB2312"/>
                <w:sz w:val="21"/>
                <w:szCs w:val="21"/>
              </w:rPr>
              <w:t>G50申苏浙皖高速长兴西至界牌段</w:t>
            </w:r>
          </w:p>
          <w:p w14:paraId="29C29C3A">
            <w:pPr>
              <w:adjustRightInd w:val="0"/>
              <w:spacing w:line="240" w:lineRule="auto"/>
              <w:jc w:val="center"/>
              <w:rPr>
                <w:rFonts w:ascii="仿宋_GB2312"/>
                <w:sz w:val="21"/>
                <w:szCs w:val="21"/>
              </w:rPr>
            </w:pPr>
            <w:r>
              <w:rPr>
                <w:rFonts w:hint="eastAsia" w:ascii="仿宋_GB2312"/>
                <w:sz w:val="21"/>
                <w:szCs w:val="21"/>
              </w:rPr>
              <w:t>拓宽工程</w:t>
            </w:r>
          </w:p>
        </w:tc>
        <w:tc>
          <w:tcPr>
            <w:tcW w:w="1394" w:type="pct"/>
            <w:shd w:val="clear" w:color="auto" w:fill="auto"/>
            <w:vAlign w:val="center"/>
          </w:tcPr>
          <w:p w14:paraId="3964FC2E">
            <w:pPr>
              <w:adjustRightInd w:val="0"/>
              <w:spacing w:line="240" w:lineRule="auto"/>
              <w:rPr>
                <w:rFonts w:ascii="仿宋_GB2312"/>
                <w:sz w:val="21"/>
                <w:szCs w:val="21"/>
              </w:rPr>
            </w:pPr>
            <w:r>
              <w:rPr>
                <w:rFonts w:hint="eastAsia" w:ascii="仿宋_GB2312"/>
                <w:sz w:val="21"/>
                <w:szCs w:val="21"/>
              </w:rPr>
              <w:t>路线全长29.5公里。</w:t>
            </w:r>
          </w:p>
        </w:tc>
        <w:tc>
          <w:tcPr>
            <w:tcW w:w="357" w:type="pct"/>
            <w:shd w:val="clear" w:color="auto" w:fill="auto"/>
            <w:vAlign w:val="center"/>
          </w:tcPr>
          <w:p w14:paraId="7F60A764">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0002438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37</w:t>
            </w:r>
          </w:p>
        </w:tc>
        <w:tc>
          <w:tcPr>
            <w:tcW w:w="472" w:type="pct"/>
            <w:shd w:val="clear" w:color="auto" w:fill="auto"/>
            <w:vAlign w:val="center"/>
          </w:tcPr>
          <w:p w14:paraId="11103614">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37</w:t>
            </w:r>
          </w:p>
        </w:tc>
        <w:tc>
          <w:tcPr>
            <w:tcW w:w="717" w:type="pct"/>
            <w:shd w:val="clear" w:color="auto" w:fill="auto"/>
            <w:vAlign w:val="center"/>
          </w:tcPr>
          <w:p w14:paraId="2A045267">
            <w:pPr>
              <w:adjustRightInd w:val="0"/>
              <w:spacing w:line="240" w:lineRule="auto"/>
              <w:jc w:val="center"/>
              <w:rPr>
                <w:rFonts w:ascii="仿宋_GB2312"/>
                <w:sz w:val="21"/>
                <w:szCs w:val="21"/>
              </w:rPr>
            </w:pPr>
          </w:p>
        </w:tc>
        <w:tc>
          <w:tcPr>
            <w:tcW w:w="398" w:type="pct"/>
            <w:shd w:val="clear" w:color="auto" w:fill="auto"/>
            <w:vAlign w:val="center"/>
          </w:tcPr>
          <w:p w14:paraId="3C1B6D2E">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7EB65F0A">
            <w:pPr>
              <w:adjustRightInd w:val="0"/>
              <w:spacing w:line="240" w:lineRule="auto"/>
              <w:jc w:val="center"/>
              <w:rPr>
                <w:rFonts w:ascii="仿宋_GB2312"/>
                <w:sz w:val="21"/>
                <w:szCs w:val="21"/>
              </w:rPr>
            </w:pPr>
            <w:r>
              <w:rPr>
                <w:rFonts w:hint="eastAsia" w:ascii="仿宋_GB2312"/>
                <w:sz w:val="21"/>
                <w:szCs w:val="21"/>
              </w:rPr>
              <w:t>新建</w:t>
            </w:r>
          </w:p>
        </w:tc>
      </w:tr>
      <w:tr w14:paraId="3DA3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78E644C">
            <w:pPr>
              <w:adjustRightInd w:val="0"/>
              <w:spacing w:line="240" w:lineRule="auto"/>
              <w:jc w:val="center"/>
              <w:rPr>
                <w:rFonts w:ascii="仿宋_GB2312"/>
                <w:sz w:val="21"/>
                <w:szCs w:val="21"/>
              </w:rPr>
            </w:pPr>
            <w:r>
              <w:rPr>
                <w:rFonts w:hint="eastAsia" w:ascii="仿宋_GB2312"/>
                <w:sz w:val="21"/>
                <w:szCs w:val="21"/>
              </w:rPr>
              <w:t>28</w:t>
            </w:r>
          </w:p>
        </w:tc>
        <w:tc>
          <w:tcPr>
            <w:tcW w:w="709" w:type="pct"/>
            <w:shd w:val="clear" w:color="auto" w:fill="auto"/>
            <w:vAlign w:val="center"/>
          </w:tcPr>
          <w:p w14:paraId="47A0E9BA">
            <w:pPr>
              <w:adjustRightInd w:val="0"/>
              <w:spacing w:line="240" w:lineRule="auto"/>
              <w:jc w:val="center"/>
              <w:rPr>
                <w:rFonts w:ascii="仿宋_GB2312"/>
                <w:sz w:val="21"/>
                <w:szCs w:val="21"/>
              </w:rPr>
            </w:pPr>
            <w:r>
              <w:rPr>
                <w:rFonts w:hint="eastAsia" w:ascii="仿宋_GB2312"/>
                <w:sz w:val="21"/>
                <w:szCs w:val="21"/>
              </w:rPr>
              <w:t>合温高速长兴</w:t>
            </w:r>
          </w:p>
          <w:p w14:paraId="4C591EBC">
            <w:pPr>
              <w:adjustRightInd w:val="0"/>
              <w:spacing w:line="240" w:lineRule="auto"/>
              <w:jc w:val="center"/>
              <w:rPr>
                <w:rFonts w:ascii="仿宋_GB2312"/>
                <w:sz w:val="21"/>
                <w:szCs w:val="21"/>
              </w:rPr>
            </w:pPr>
            <w:r>
              <w:rPr>
                <w:rFonts w:hint="eastAsia" w:ascii="仿宋_GB2312"/>
                <w:sz w:val="21"/>
                <w:szCs w:val="21"/>
              </w:rPr>
              <w:t>至广德联络线工程</w:t>
            </w:r>
          </w:p>
        </w:tc>
        <w:tc>
          <w:tcPr>
            <w:tcW w:w="1394" w:type="pct"/>
            <w:shd w:val="clear" w:color="auto" w:fill="auto"/>
            <w:vAlign w:val="center"/>
          </w:tcPr>
          <w:p w14:paraId="1E8701CA">
            <w:pPr>
              <w:adjustRightInd w:val="0"/>
              <w:spacing w:line="240" w:lineRule="auto"/>
              <w:rPr>
                <w:rFonts w:ascii="仿宋_GB2312"/>
                <w:sz w:val="21"/>
                <w:szCs w:val="21"/>
              </w:rPr>
            </w:pPr>
            <w:r>
              <w:rPr>
                <w:rFonts w:hint="eastAsia" w:ascii="仿宋_GB2312"/>
                <w:sz w:val="21"/>
                <w:szCs w:val="21"/>
              </w:rPr>
              <w:t>路线全长33.5公里。</w:t>
            </w:r>
          </w:p>
        </w:tc>
        <w:tc>
          <w:tcPr>
            <w:tcW w:w="357" w:type="pct"/>
            <w:shd w:val="clear" w:color="auto" w:fill="auto"/>
            <w:vAlign w:val="center"/>
          </w:tcPr>
          <w:p w14:paraId="77D673D0">
            <w:pPr>
              <w:adjustRightInd w:val="0"/>
              <w:spacing w:line="240" w:lineRule="auto"/>
              <w:jc w:val="center"/>
              <w:rPr>
                <w:rFonts w:ascii="仿宋_GB2312"/>
                <w:snapToGrid w:val="0"/>
                <w:spacing w:val="-16"/>
                <w:sz w:val="21"/>
                <w:szCs w:val="21"/>
              </w:rPr>
            </w:pPr>
          </w:p>
        </w:tc>
        <w:tc>
          <w:tcPr>
            <w:tcW w:w="327" w:type="pct"/>
            <w:shd w:val="clear" w:color="auto" w:fill="auto"/>
            <w:vAlign w:val="center"/>
          </w:tcPr>
          <w:p w14:paraId="41F656A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101</w:t>
            </w:r>
          </w:p>
        </w:tc>
        <w:tc>
          <w:tcPr>
            <w:tcW w:w="472" w:type="pct"/>
            <w:shd w:val="clear" w:color="auto" w:fill="auto"/>
            <w:vAlign w:val="center"/>
          </w:tcPr>
          <w:p w14:paraId="2B0F142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w:t>
            </w:r>
          </w:p>
        </w:tc>
        <w:tc>
          <w:tcPr>
            <w:tcW w:w="717" w:type="pct"/>
            <w:shd w:val="clear" w:color="auto" w:fill="auto"/>
            <w:vAlign w:val="center"/>
          </w:tcPr>
          <w:p w14:paraId="2EFECC30">
            <w:pPr>
              <w:adjustRightInd w:val="0"/>
              <w:spacing w:line="240" w:lineRule="auto"/>
              <w:jc w:val="center"/>
              <w:rPr>
                <w:rFonts w:ascii="仿宋_GB2312"/>
                <w:sz w:val="21"/>
                <w:szCs w:val="21"/>
              </w:rPr>
            </w:pPr>
          </w:p>
        </w:tc>
        <w:tc>
          <w:tcPr>
            <w:tcW w:w="398" w:type="pct"/>
            <w:shd w:val="clear" w:color="auto" w:fill="auto"/>
            <w:vAlign w:val="center"/>
          </w:tcPr>
          <w:p w14:paraId="692252C5">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771F622F">
            <w:pPr>
              <w:adjustRightInd w:val="0"/>
              <w:spacing w:line="240" w:lineRule="auto"/>
              <w:jc w:val="center"/>
              <w:rPr>
                <w:rFonts w:ascii="仿宋_GB2312"/>
                <w:sz w:val="21"/>
                <w:szCs w:val="21"/>
              </w:rPr>
            </w:pPr>
            <w:r>
              <w:rPr>
                <w:rFonts w:hint="eastAsia" w:ascii="仿宋_GB2312"/>
                <w:sz w:val="21"/>
                <w:szCs w:val="21"/>
              </w:rPr>
              <w:t>新建</w:t>
            </w:r>
          </w:p>
        </w:tc>
      </w:tr>
      <w:tr w14:paraId="482A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684E439">
            <w:pPr>
              <w:adjustRightInd w:val="0"/>
              <w:spacing w:line="240" w:lineRule="auto"/>
              <w:jc w:val="center"/>
              <w:rPr>
                <w:rFonts w:ascii="仿宋_GB2312"/>
                <w:sz w:val="21"/>
                <w:szCs w:val="21"/>
              </w:rPr>
            </w:pPr>
            <w:r>
              <w:rPr>
                <w:rFonts w:hint="eastAsia" w:ascii="仿宋_GB2312"/>
                <w:sz w:val="21"/>
                <w:szCs w:val="21"/>
              </w:rPr>
              <w:t>29</w:t>
            </w:r>
          </w:p>
        </w:tc>
        <w:tc>
          <w:tcPr>
            <w:tcW w:w="709" w:type="pct"/>
            <w:shd w:val="clear" w:color="auto" w:fill="auto"/>
            <w:vAlign w:val="center"/>
          </w:tcPr>
          <w:p w14:paraId="3945BF23">
            <w:pPr>
              <w:adjustRightInd w:val="0"/>
              <w:spacing w:line="240" w:lineRule="auto"/>
              <w:jc w:val="center"/>
              <w:rPr>
                <w:rFonts w:ascii="仿宋_GB2312"/>
                <w:sz w:val="21"/>
                <w:szCs w:val="21"/>
                <w:highlight w:val="cyan"/>
              </w:rPr>
            </w:pPr>
            <w:r>
              <w:rPr>
                <w:rFonts w:hint="eastAsia" w:ascii="仿宋_GB2312"/>
                <w:sz w:val="21"/>
                <w:szCs w:val="21"/>
              </w:rPr>
              <w:t>长兴美丽航道工程</w:t>
            </w:r>
          </w:p>
        </w:tc>
        <w:tc>
          <w:tcPr>
            <w:tcW w:w="1394" w:type="pct"/>
            <w:shd w:val="clear" w:color="auto" w:fill="auto"/>
            <w:vAlign w:val="center"/>
          </w:tcPr>
          <w:p w14:paraId="66ECF298">
            <w:pPr>
              <w:adjustRightInd w:val="0"/>
              <w:spacing w:line="240" w:lineRule="auto"/>
              <w:rPr>
                <w:rFonts w:ascii="仿宋_GB2312"/>
                <w:sz w:val="21"/>
                <w:szCs w:val="21"/>
                <w:highlight w:val="cyan"/>
              </w:rPr>
            </w:pPr>
            <w:r>
              <w:rPr>
                <w:rFonts w:hint="eastAsia" w:ascii="仿宋_GB2312"/>
                <w:sz w:val="21"/>
                <w:szCs w:val="21"/>
              </w:rPr>
              <w:t>起自长兴中心城区，终于太湖图影旅游度假区，25公里旅游客运航道，主要是对堤岸植被修复和景观改造。</w:t>
            </w:r>
          </w:p>
        </w:tc>
        <w:tc>
          <w:tcPr>
            <w:tcW w:w="357" w:type="pct"/>
            <w:shd w:val="clear" w:color="auto" w:fill="auto"/>
            <w:vAlign w:val="center"/>
          </w:tcPr>
          <w:p w14:paraId="5973087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2021-2024</w:t>
            </w:r>
          </w:p>
        </w:tc>
        <w:tc>
          <w:tcPr>
            <w:tcW w:w="327" w:type="pct"/>
            <w:shd w:val="clear" w:color="auto" w:fill="auto"/>
            <w:vAlign w:val="center"/>
          </w:tcPr>
          <w:p w14:paraId="49EB5C1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2.53</w:t>
            </w:r>
          </w:p>
        </w:tc>
        <w:tc>
          <w:tcPr>
            <w:tcW w:w="472" w:type="pct"/>
            <w:shd w:val="clear" w:color="auto" w:fill="auto"/>
            <w:vAlign w:val="center"/>
          </w:tcPr>
          <w:p w14:paraId="7158036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2.53</w:t>
            </w:r>
          </w:p>
        </w:tc>
        <w:tc>
          <w:tcPr>
            <w:tcW w:w="717" w:type="pct"/>
            <w:shd w:val="clear" w:color="auto" w:fill="auto"/>
            <w:vAlign w:val="center"/>
          </w:tcPr>
          <w:p w14:paraId="438F59F1">
            <w:pPr>
              <w:adjustRightInd w:val="0"/>
              <w:spacing w:line="240" w:lineRule="auto"/>
              <w:jc w:val="center"/>
              <w:rPr>
                <w:rFonts w:ascii="仿宋_GB2312"/>
                <w:sz w:val="21"/>
                <w:szCs w:val="21"/>
              </w:rPr>
            </w:pPr>
            <w:r>
              <w:rPr>
                <w:rFonts w:hint="eastAsia" w:ascii="仿宋_GB2312"/>
                <w:sz w:val="21"/>
                <w:szCs w:val="21"/>
              </w:rPr>
              <w:t>长兴交投集团</w:t>
            </w:r>
          </w:p>
        </w:tc>
        <w:tc>
          <w:tcPr>
            <w:tcW w:w="398" w:type="pct"/>
            <w:shd w:val="clear" w:color="auto" w:fill="auto"/>
            <w:vAlign w:val="center"/>
          </w:tcPr>
          <w:p w14:paraId="403650C1">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436BB0F6">
            <w:pPr>
              <w:adjustRightInd w:val="0"/>
              <w:spacing w:line="240" w:lineRule="auto"/>
              <w:jc w:val="center"/>
              <w:rPr>
                <w:rFonts w:ascii="仿宋_GB2312"/>
                <w:sz w:val="21"/>
                <w:szCs w:val="21"/>
              </w:rPr>
            </w:pPr>
            <w:r>
              <w:rPr>
                <w:rFonts w:hint="eastAsia" w:ascii="仿宋_GB2312"/>
                <w:sz w:val="21"/>
                <w:szCs w:val="21"/>
              </w:rPr>
              <w:t>新建</w:t>
            </w:r>
          </w:p>
        </w:tc>
      </w:tr>
      <w:tr w14:paraId="582B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F503E4A">
            <w:pPr>
              <w:adjustRightInd w:val="0"/>
              <w:spacing w:line="240" w:lineRule="auto"/>
              <w:jc w:val="center"/>
              <w:rPr>
                <w:rFonts w:ascii="仿宋_GB2312"/>
                <w:sz w:val="21"/>
                <w:szCs w:val="21"/>
              </w:rPr>
            </w:pPr>
            <w:r>
              <w:rPr>
                <w:rFonts w:hint="eastAsia" w:ascii="仿宋_GB2312"/>
                <w:sz w:val="21"/>
                <w:szCs w:val="21"/>
              </w:rPr>
              <w:t>30</w:t>
            </w:r>
          </w:p>
        </w:tc>
        <w:tc>
          <w:tcPr>
            <w:tcW w:w="709" w:type="pct"/>
            <w:shd w:val="clear" w:color="auto" w:fill="auto"/>
            <w:vAlign w:val="center"/>
          </w:tcPr>
          <w:p w14:paraId="7CFEE488">
            <w:pPr>
              <w:adjustRightInd w:val="0"/>
              <w:spacing w:line="240" w:lineRule="auto"/>
              <w:jc w:val="center"/>
              <w:rPr>
                <w:rFonts w:ascii="仿宋_GB2312"/>
                <w:sz w:val="21"/>
                <w:szCs w:val="21"/>
              </w:rPr>
            </w:pPr>
            <w:r>
              <w:rPr>
                <w:rFonts w:hint="eastAsia" w:ascii="仿宋_GB2312"/>
                <w:sz w:val="21"/>
                <w:szCs w:val="21"/>
              </w:rPr>
              <w:t>浙北高等级航道</w:t>
            </w:r>
          </w:p>
          <w:p w14:paraId="5BD5AB3B">
            <w:pPr>
              <w:adjustRightInd w:val="0"/>
              <w:spacing w:line="240" w:lineRule="auto"/>
              <w:jc w:val="center"/>
              <w:rPr>
                <w:rFonts w:ascii="仿宋_GB2312"/>
                <w:sz w:val="21"/>
                <w:szCs w:val="21"/>
              </w:rPr>
            </w:pPr>
            <w:r>
              <w:rPr>
                <w:rFonts w:hint="eastAsia" w:ascii="仿宋_GB2312"/>
                <w:sz w:val="21"/>
                <w:szCs w:val="21"/>
              </w:rPr>
              <w:t>网集装箱运输</w:t>
            </w:r>
          </w:p>
          <w:p w14:paraId="418247CF">
            <w:pPr>
              <w:adjustRightInd w:val="0"/>
              <w:spacing w:line="240" w:lineRule="auto"/>
              <w:jc w:val="center"/>
              <w:rPr>
                <w:rFonts w:ascii="仿宋_GB2312"/>
                <w:sz w:val="21"/>
                <w:szCs w:val="21"/>
              </w:rPr>
            </w:pPr>
            <w:r>
              <w:rPr>
                <w:rFonts w:hint="eastAsia" w:ascii="仿宋_GB2312"/>
                <w:sz w:val="21"/>
                <w:szCs w:val="21"/>
              </w:rPr>
              <w:t>通道建设工程</w:t>
            </w:r>
          </w:p>
        </w:tc>
        <w:tc>
          <w:tcPr>
            <w:tcW w:w="1394" w:type="pct"/>
            <w:shd w:val="clear" w:color="auto" w:fill="auto"/>
            <w:vAlign w:val="center"/>
          </w:tcPr>
          <w:p w14:paraId="6C6DA712">
            <w:pPr>
              <w:adjustRightInd w:val="0"/>
              <w:spacing w:line="240" w:lineRule="auto"/>
              <w:rPr>
                <w:rFonts w:ascii="仿宋_GB2312"/>
                <w:sz w:val="21"/>
                <w:szCs w:val="21"/>
                <w:highlight w:val="cyan"/>
              </w:rPr>
            </w:pPr>
            <w:r>
              <w:rPr>
                <w:rFonts w:hint="eastAsia" w:ascii="仿宋_GB2312"/>
                <w:sz w:val="21"/>
                <w:szCs w:val="21"/>
              </w:rPr>
              <w:t>建设规模和主要建设内容：新建金村埠桥，桥长640米；新建跨塘桥（拼盘），桥长620米；新建前进桥（拼盘），桥长332米；拆除老桥3座。</w:t>
            </w:r>
          </w:p>
        </w:tc>
        <w:tc>
          <w:tcPr>
            <w:tcW w:w="357" w:type="pct"/>
            <w:shd w:val="clear" w:color="auto" w:fill="auto"/>
            <w:vAlign w:val="center"/>
          </w:tcPr>
          <w:p w14:paraId="6F958BA5">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4AB8809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3.6</w:t>
            </w:r>
          </w:p>
        </w:tc>
        <w:tc>
          <w:tcPr>
            <w:tcW w:w="472" w:type="pct"/>
            <w:shd w:val="clear" w:color="auto" w:fill="auto"/>
            <w:vAlign w:val="center"/>
          </w:tcPr>
          <w:p w14:paraId="1C20623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3.2</w:t>
            </w:r>
          </w:p>
        </w:tc>
        <w:tc>
          <w:tcPr>
            <w:tcW w:w="717" w:type="pct"/>
            <w:shd w:val="clear" w:color="auto" w:fill="auto"/>
            <w:vAlign w:val="center"/>
          </w:tcPr>
          <w:p w14:paraId="4B12DBB9">
            <w:pPr>
              <w:adjustRightInd w:val="0"/>
              <w:spacing w:line="240" w:lineRule="auto"/>
              <w:jc w:val="center"/>
              <w:rPr>
                <w:rFonts w:ascii="仿宋_GB2312"/>
                <w:sz w:val="21"/>
                <w:szCs w:val="21"/>
              </w:rPr>
            </w:pPr>
            <w:r>
              <w:rPr>
                <w:rFonts w:hint="eastAsia" w:ascii="仿宋_GB2312"/>
                <w:sz w:val="21"/>
                <w:szCs w:val="21"/>
              </w:rPr>
              <w:t>长兴县交通</w:t>
            </w:r>
          </w:p>
          <w:p w14:paraId="0A69D1B5">
            <w:pPr>
              <w:adjustRightInd w:val="0"/>
              <w:spacing w:line="240" w:lineRule="auto"/>
              <w:jc w:val="center"/>
              <w:rPr>
                <w:rFonts w:ascii="仿宋_GB2312"/>
                <w:sz w:val="21"/>
                <w:szCs w:val="21"/>
              </w:rPr>
            </w:pPr>
            <w:r>
              <w:rPr>
                <w:rFonts w:hint="eastAsia" w:ascii="仿宋_GB2312"/>
                <w:sz w:val="21"/>
                <w:szCs w:val="21"/>
              </w:rPr>
              <w:t>建设发展中心</w:t>
            </w:r>
          </w:p>
        </w:tc>
        <w:tc>
          <w:tcPr>
            <w:tcW w:w="398" w:type="pct"/>
            <w:shd w:val="clear" w:color="auto" w:fill="auto"/>
            <w:vAlign w:val="center"/>
          </w:tcPr>
          <w:p w14:paraId="31E7D499">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7F73F282">
            <w:pPr>
              <w:adjustRightInd w:val="0"/>
              <w:spacing w:line="240" w:lineRule="auto"/>
              <w:jc w:val="center"/>
              <w:rPr>
                <w:rFonts w:ascii="仿宋_GB2312"/>
                <w:sz w:val="21"/>
                <w:szCs w:val="21"/>
              </w:rPr>
            </w:pPr>
            <w:r>
              <w:rPr>
                <w:rFonts w:hint="eastAsia" w:ascii="仿宋_GB2312"/>
                <w:sz w:val="21"/>
                <w:szCs w:val="21"/>
              </w:rPr>
              <w:t>新建</w:t>
            </w:r>
          </w:p>
        </w:tc>
      </w:tr>
      <w:tr w14:paraId="08AE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C4C6962">
            <w:pPr>
              <w:adjustRightInd w:val="0"/>
              <w:spacing w:line="252" w:lineRule="auto"/>
              <w:jc w:val="center"/>
              <w:rPr>
                <w:rFonts w:ascii="仿宋_GB2312"/>
                <w:sz w:val="21"/>
                <w:szCs w:val="21"/>
              </w:rPr>
            </w:pPr>
            <w:r>
              <w:rPr>
                <w:rFonts w:hint="eastAsia" w:ascii="仿宋_GB2312"/>
                <w:sz w:val="21"/>
                <w:szCs w:val="21"/>
              </w:rPr>
              <w:t>31</w:t>
            </w:r>
          </w:p>
        </w:tc>
        <w:tc>
          <w:tcPr>
            <w:tcW w:w="709" w:type="pct"/>
            <w:shd w:val="clear" w:color="auto" w:fill="auto"/>
            <w:vAlign w:val="center"/>
          </w:tcPr>
          <w:p w14:paraId="5E20C1F7">
            <w:pPr>
              <w:adjustRightInd w:val="0"/>
              <w:spacing w:line="252" w:lineRule="auto"/>
              <w:jc w:val="center"/>
              <w:rPr>
                <w:rFonts w:ascii="仿宋_GB2312"/>
                <w:sz w:val="21"/>
                <w:szCs w:val="21"/>
              </w:rPr>
            </w:pPr>
            <w:r>
              <w:rPr>
                <w:rFonts w:hint="eastAsia" w:ascii="仿宋_GB2312"/>
                <w:sz w:val="21"/>
                <w:szCs w:val="21"/>
              </w:rPr>
              <w:t>八三机场军民合用</w:t>
            </w:r>
          </w:p>
        </w:tc>
        <w:tc>
          <w:tcPr>
            <w:tcW w:w="1394" w:type="pct"/>
            <w:shd w:val="clear" w:color="auto" w:fill="auto"/>
            <w:vAlign w:val="center"/>
          </w:tcPr>
          <w:p w14:paraId="662A69A8">
            <w:pPr>
              <w:adjustRightInd w:val="0"/>
              <w:spacing w:line="252" w:lineRule="auto"/>
              <w:rPr>
                <w:rFonts w:ascii="仿宋_GB2312"/>
                <w:sz w:val="21"/>
                <w:szCs w:val="21"/>
              </w:rPr>
            </w:pPr>
            <w:r>
              <w:rPr>
                <w:rFonts w:hint="eastAsia" w:ascii="仿宋_GB2312"/>
                <w:sz w:val="21"/>
                <w:szCs w:val="21"/>
              </w:rPr>
              <w:t>扩建起降跑道，新建地面配套设施。</w:t>
            </w:r>
          </w:p>
        </w:tc>
        <w:tc>
          <w:tcPr>
            <w:tcW w:w="357" w:type="pct"/>
            <w:shd w:val="clear" w:color="auto" w:fill="auto"/>
            <w:vAlign w:val="center"/>
          </w:tcPr>
          <w:p w14:paraId="326266C3">
            <w:pPr>
              <w:adjustRightInd w:val="0"/>
              <w:spacing w:line="252" w:lineRule="auto"/>
              <w:jc w:val="center"/>
              <w:rPr>
                <w:rFonts w:ascii="仿宋_GB2312"/>
                <w:snapToGrid w:val="0"/>
                <w:spacing w:val="-16"/>
                <w:sz w:val="21"/>
                <w:szCs w:val="21"/>
              </w:rPr>
            </w:pPr>
          </w:p>
        </w:tc>
        <w:tc>
          <w:tcPr>
            <w:tcW w:w="327" w:type="pct"/>
            <w:shd w:val="clear" w:color="auto" w:fill="auto"/>
            <w:vAlign w:val="center"/>
          </w:tcPr>
          <w:p w14:paraId="6C2D35D1">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25</w:t>
            </w:r>
          </w:p>
        </w:tc>
        <w:tc>
          <w:tcPr>
            <w:tcW w:w="472" w:type="pct"/>
            <w:shd w:val="clear" w:color="auto" w:fill="auto"/>
            <w:vAlign w:val="center"/>
          </w:tcPr>
          <w:p w14:paraId="14D16944">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0.2</w:t>
            </w:r>
          </w:p>
        </w:tc>
        <w:tc>
          <w:tcPr>
            <w:tcW w:w="717" w:type="pct"/>
            <w:shd w:val="clear" w:color="auto" w:fill="auto"/>
            <w:vAlign w:val="center"/>
          </w:tcPr>
          <w:p w14:paraId="0CD3089C">
            <w:pPr>
              <w:adjustRightInd w:val="0"/>
              <w:spacing w:line="252" w:lineRule="auto"/>
              <w:jc w:val="center"/>
              <w:rPr>
                <w:rFonts w:ascii="仿宋_GB2312"/>
                <w:sz w:val="21"/>
                <w:szCs w:val="21"/>
              </w:rPr>
            </w:pPr>
          </w:p>
        </w:tc>
        <w:tc>
          <w:tcPr>
            <w:tcW w:w="398" w:type="pct"/>
            <w:shd w:val="clear" w:color="auto" w:fill="auto"/>
            <w:vAlign w:val="center"/>
          </w:tcPr>
          <w:p w14:paraId="36F80FA1">
            <w:pPr>
              <w:adjustRightInd w:val="0"/>
              <w:spacing w:line="252"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6643B00">
            <w:pPr>
              <w:adjustRightInd w:val="0"/>
              <w:spacing w:line="252" w:lineRule="auto"/>
              <w:jc w:val="center"/>
              <w:rPr>
                <w:rFonts w:ascii="仿宋_GB2312"/>
                <w:sz w:val="21"/>
                <w:szCs w:val="21"/>
              </w:rPr>
            </w:pPr>
            <w:r>
              <w:rPr>
                <w:rFonts w:hint="eastAsia" w:ascii="仿宋_GB2312"/>
                <w:sz w:val="21"/>
                <w:szCs w:val="21"/>
              </w:rPr>
              <w:t>新建</w:t>
            </w:r>
          </w:p>
        </w:tc>
      </w:tr>
      <w:tr w14:paraId="12DC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4545CAC">
            <w:pPr>
              <w:adjustRightInd w:val="0"/>
              <w:spacing w:line="252" w:lineRule="auto"/>
              <w:jc w:val="center"/>
              <w:rPr>
                <w:rFonts w:ascii="仿宋_GB2312"/>
                <w:sz w:val="21"/>
                <w:szCs w:val="21"/>
              </w:rPr>
            </w:pPr>
            <w:r>
              <w:rPr>
                <w:rFonts w:hint="eastAsia" w:ascii="仿宋_GB2312"/>
                <w:sz w:val="21"/>
                <w:szCs w:val="21"/>
              </w:rPr>
              <w:t>32</w:t>
            </w:r>
          </w:p>
        </w:tc>
        <w:tc>
          <w:tcPr>
            <w:tcW w:w="709" w:type="pct"/>
            <w:shd w:val="clear" w:color="auto" w:fill="auto"/>
            <w:vAlign w:val="center"/>
          </w:tcPr>
          <w:p w14:paraId="1F077EA5">
            <w:pPr>
              <w:adjustRightInd w:val="0"/>
              <w:spacing w:line="252" w:lineRule="auto"/>
              <w:jc w:val="center"/>
              <w:rPr>
                <w:rFonts w:ascii="仿宋_GB2312"/>
                <w:sz w:val="21"/>
                <w:szCs w:val="21"/>
              </w:rPr>
            </w:pPr>
            <w:r>
              <w:rPr>
                <w:rFonts w:hint="eastAsia" w:ascii="仿宋_GB2312"/>
                <w:sz w:val="21"/>
                <w:szCs w:val="21"/>
              </w:rPr>
              <w:t>500千伏长兴</w:t>
            </w:r>
          </w:p>
          <w:p w14:paraId="02268248">
            <w:pPr>
              <w:adjustRightInd w:val="0"/>
              <w:spacing w:line="252" w:lineRule="auto"/>
              <w:jc w:val="center"/>
              <w:rPr>
                <w:rFonts w:ascii="仿宋_GB2312"/>
                <w:sz w:val="21"/>
                <w:szCs w:val="21"/>
                <w:highlight w:val="cyan"/>
              </w:rPr>
            </w:pPr>
            <w:r>
              <w:rPr>
                <w:rFonts w:hint="eastAsia" w:ascii="仿宋_GB2312"/>
                <w:sz w:val="21"/>
                <w:szCs w:val="21"/>
              </w:rPr>
              <w:t>输变电工程</w:t>
            </w:r>
          </w:p>
        </w:tc>
        <w:tc>
          <w:tcPr>
            <w:tcW w:w="1394" w:type="pct"/>
            <w:shd w:val="clear" w:color="auto" w:fill="auto"/>
            <w:vAlign w:val="center"/>
          </w:tcPr>
          <w:p w14:paraId="5029E678">
            <w:pPr>
              <w:adjustRightInd w:val="0"/>
              <w:spacing w:line="252" w:lineRule="auto"/>
              <w:rPr>
                <w:rFonts w:ascii="仿宋_GB2312"/>
                <w:sz w:val="21"/>
                <w:szCs w:val="21"/>
                <w:highlight w:val="cyan"/>
              </w:rPr>
            </w:pPr>
            <w:r>
              <w:rPr>
                <w:rFonts w:hint="eastAsia" w:ascii="仿宋_GB2312"/>
                <w:sz w:val="21"/>
                <w:szCs w:val="21"/>
              </w:rPr>
              <w:t>新建500千伏变电所一座；新建220千伏线路约100公里，新增1000兆伏安变压器两台。</w:t>
            </w:r>
          </w:p>
        </w:tc>
        <w:tc>
          <w:tcPr>
            <w:tcW w:w="357" w:type="pct"/>
            <w:shd w:val="clear" w:color="auto" w:fill="auto"/>
            <w:vAlign w:val="center"/>
          </w:tcPr>
          <w:p w14:paraId="33CD8BE3">
            <w:pPr>
              <w:adjustRightInd w:val="0"/>
              <w:spacing w:line="252" w:lineRule="auto"/>
              <w:jc w:val="center"/>
              <w:rPr>
                <w:rFonts w:ascii="仿宋_GB2312"/>
                <w:snapToGrid w:val="0"/>
                <w:spacing w:val="-16"/>
                <w:sz w:val="21"/>
                <w:szCs w:val="21"/>
                <w:highlight w:val="cyan"/>
              </w:rPr>
            </w:pPr>
            <w:r>
              <w:rPr>
                <w:rFonts w:hint="eastAsia" w:ascii="仿宋_GB2312"/>
                <w:snapToGrid w:val="0"/>
                <w:spacing w:val="-16"/>
                <w:sz w:val="21"/>
                <w:szCs w:val="21"/>
              </w:rPr>
              <w:t>2023-2025</w:t>
            </w:r>
          </w:p>
        </w:tc>
        <w:tc>
          <w:tcPr>
            <w:tcW w:w="327" w:type="pct"/>
            <w:shd w:val="clear" w:color="auto" w:fill="auto"/>
            <w:vAlign w:val="center"/>
          </w:tcPr>
          <w:p w14:paraId="31898396">
            <w:pPr>
              <w:adjustRightInd w:val="0"/>
              <w:spacing w:line="252" w:lineRule="auto"/>
              <w:jc w:val="center"/>
              <w:rPr>
                <w:rFonts w:ascii="仿宋_GB2312"/>
                <w:snapToGrid w:val="0"/>
                <w:spacing w:val="-16"/>
                <w:sz w:val="21"/>
                <w:szCs w:val="21"/>
                <w:highlight w:val="cyan"/>
              </w:rPr>
            </w:pPr>
            <w:r>
              <w:rPr>
                <w:rFonts w:hint="eastAsia" w:ascii="仿宋_GB2312"/>
                <w:snapToGrid w:val="0"/>
                <w:spacing w:val="-16"/>
                <w:sz w:val="21"/>
                <w:szCs w:val="21"/>
              </w:rPr>
              <w:t>8.9</w:t>
            </w:r>
          </w:p>
        </w:tc>
        <w:tc>
          <w:tcPr>
            <w:tcW w:w="472" w:type="pct"/>
            <w:shd w:val="clear" w:color="auto" w:fill="auto"/>
            <w:vAlign w:val="center"/>
          </w:tcPr>
          <w:p w14:paraId="4A00A134">
            <w:pPr>
              <w:adjustRightInd w:val="0"/>
              <w:spacing w:line="252" w:lineRule="auto"/>
              <w:jc w:val="center"/>
              <w:rPr>
                <w:rFonts w:ascii="仿宋_GB2312"/>
                <w:snapToGrid w:val="0"/>
                <w:spacing w:val="-16"/>
                <w:sz w:val="21"/>
                <w:szCs w:val="21"/>
                <w:highlight w:val="cyan"/>
              </w:rPr>
            </w:pPr>
            <w:r>
              <w:rPr>
                <w:rFonts w:hint="eastAsia" w:ascii="仿宋_GB2312"/>
                <w:snapToGrid w:val="0"/>
                <w:spacing w:val="-16"/>
                <w:sz w:val="21"/>
                <w:szCs w:val="21"/>
              </w:rPr>
              <w:t>8.9</w:t>
            </w:r>
          </w:p>
        </w:tc>
        <w:tc>
          <w:tcPr>
            <w:tcW w:w="717" w:type="pct"/>
            <w:shd w:val="clear" w:color="auto" w:fill="auto"/>
            <w:vAlign w:val="center"/>
          </w:tcPr>
          <w:p w14:paraId="72017307">
            <w:pPr>
              <w:adjustRightInd w:val="0"/>
              <w:spacing w:line="252" w:lineRule="auto"/>
              <w:jc w:val="center"/>
              <w:rPr>
                <w:rFonts w:ascii="仿宋_GB2312"/>
                <w:snapToGrid w:val="0"/>
                <w:sz w:val="21"/>
                <w:szCs w:val="21"/>
                <w:highlight w:val="cyan"/>
              </w:rPr>
            </w:pPr>
            <w:r>
              <w:rPr>
                <w:rFonts w:hint="eastAsia" w:ascii="仿宋_GB2312"/>
                <w:snapToGrid w:val="0"/>
                <w:sz w:val="21"/>
                <w:szCs w:val="21"/>
              </w:rPr>
              <w:t>县供电公司</w:t>
            </w:r>
          </w:p>
        </w:tc>
        <w:tc>
          <w:tcPr>
            <w:tcW w:w="398" w:type="pct"/>
            <w:shd w:val="clear" w:color="auto" w:fill="auto"/>
            <w:vAlign w:val="center"/>
          </w:tcPr>
          <w:p w14:paraId="19889571">
            <w:pPr>
              <w:adjustRightInd w:val="0"/>
              <w:spacing w:line="252" w:lineRule="auto"/>
              <w:jc w:val="center"/>
              <w:rPr>
                <w:rFonts w:ascii="仿宋_GB2312"/>
                <w:sz w:val="21"/>
                <w:szCs w:val="21"/>
                <w:highlight w:val="cyan"/>
              </w:rPr>
            </w:pPr>
            <w:r>
              <w:rPr>
                <w:rFonts w:hint="eastAsia" w:ascii="仿宋_GB2312"/>
                <w:sz w:val="21"/>
                <w:szCs w:val="21"/>
              </w:rPr>
              <w:t>谋划类</w:t>
            </w:r>
          </w:p>
        </w:tc>
        <w:tc>
          <w:tcPr>
            <w:tcW w:w="440" w:type="pct"/>
            <w:shd w:val="clear" w:color="auto" w:fill="auto"/>
            <w:vAlign w:val="center"/>
          </w:tcPr>
          <w:p w14:paraId="17CDD668">
            <w:pPr>
              <w:adjustRightInd w:val="0"/>
              <w:spacing w:line="252" w:lineRule="auto"/>
              <w:jc w:val="center"/>
              <w:rPr>
                <w:rFonts w:ascii="仿宋_GB2312"/>
                <w:sz w:val="21"/>
                <w:szCs w:val="21"/>
                <w:highlight w:val="cyan"/>
              </w:rPr>
            </w:pPr>
            <w:r>
              <w:rPr>
                <w:rFonts w:hint="eastAsia" w:ascii="仿宋_GB2312"/>
                <w:sz w:val="21"/>
                <w:szCs w:val="21"/>
              </w:rPr>
              <w:t>新建</w:t>
            </w:r>
          </w:p>
        </w:tc>
      </w:tr>
      <w:tr w14:paraId="38D1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AB05002">
            <w:pPr>
              <w:adjustRightInd w:val="0"/>
              <w:spacing w:line="252" w:lineRule="auto"/>
              <w:jc w:val="center"/>
              <w:rPr>
                <w:rFonts w:ascii="仿宋_GB2312"/>
                <w:sz w:val="21"/>
                <w:szCs w:val="21"/>
              </w:rPr>
            </w:pPr>
            <w:r>
              <w:rPr>
                <w:rFonts w:hint="eastAsia" w:ascii="仿宋_GB2312"/>
                <w:sz w:val="21"/>
                <w:szCs w:val="21"/>
              </w:rPr>
              <w:t>33</w:t>
            </w:r>
          </w:p>
        </w:tc>
        <w:tc>
          <w:tcPr>
            <w:tcW w:w="709" w:type="pct"/>
            <w:shd w:val="clear" w:color="auto" w:fill="auto"/>
            <w:vAlign w:val="center"/>
          </w:tcPr>
          <w:p w14:paraId="7C70C3FC">
            <w:pPr>
              <w:adjustRightInd w:val="0"/>
              <w:spacing w:line="252" w:lineRule="auto"/>
              <w:jc w:val="center"/>
              <w:rPr>
                <w:rFonts w:ascii="仿宋_GB2312"/>
                <w:sz w:val="21"/>
                <w:szCs w:val="21"/>
              </w:rPr>
            </w:pPr>
            <w:r>
              <w:rPr>
                <w:rFonts w:hint="eastAsia" w:ascii="仿宋_GB2312"/>
                <w:sz w:val="21"/>
                <w:szCs w:val="21"/>
              </w:rPr>
              <w:t>湖滨220kV</w:t>
            </w:r>
          </w:p>
          <w:p w14:paraId="753F0CCF">
            <w:pPr>
              <w:adjustRightInd w:val="0"/>
              <w:spacing w:line="252" w:lineRule="auto"/>
              <w:jc w:val="center"/>
              <w:rPr>
                <w:rFonts w:ascii="仿宋_GB2312"/>
                <w:sz w:val="21"/>
                <w:szCs w:val="21"/>
              </w:rPr>
            </w:pPr>
            <w:r>
              <w:rPr>
                <w:rFonts w:hint="eastAsia" w:ascii="仿宋_GB2312"/>
                <w:sz w:val="21"/>
                <w:szCs w:val="21"/>
              </w:rPr>
              <w:t>输变电工程</w:t>
            </w:r>
          </w:p>
        </w:tc>
        <w:tc>
          <w:tcPr>
            <w:tcW w:w="1394" w:type="pct"/>
            <w:shd w:val="clear" w:color="auto" w:fill="auto"/>
            <w:vAlign w:val="center"/>
          </w:tcPr>
          <w:p w14:paraId="30FDC9A9">
            <w:pPr>
              <w:adjustRightInd w:val="0"/>
              <w:spacing w:line="252" w:lineRule="auto"/>
              <w:rPr>
                <w:rFonts w:ascii="仿宋_GB2312"/>
                <w:sz w:val="21"/>
                <w:szCs w:val="21"/>
              </w:rPr>
            </w:pPr>
            <w:r>
              <w:rPr>
                <w:rFonts w:hint="eastAsia" w:ascii="仿宋_GB2312"/>
                <w:sz w:val="21"/>
                <w:szCs w:val="21"/>
              </w:rPr>
              <w:t>新建220千伏变电所一座，新建220千伏线路约4公里，110千伏线路约6公里，新增240兆伏安变压器两台。</w:t>
            </w:r>
          </w:p>
        </w:tc>
        <w:tc>
          <w:tcPr>
            <w:tcW w:w="357" w:type="pct"/>
            <w:shd w:val="clear" w:color="auto" w:fill="auto"/>
            <w:vAlign w:val="center"/>
          </w:tcPr>
          <w:p w14:paraId="3B865025">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2023-2025</w:t>
            </w:r>
          </w:p>
        </w:tc>
        <w:tc>
          <w:tcPr>
            <w:tcW w:w="327" w:type="pct"/>
            <w:shd w:val="clear" w:color="auto" w:fill="auto"/>
            <w:vAlign w:val="center"/>
          </w:tcPr>
          <w:p w14:paraId="0249F47D">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2.5</w:t>
            </w:r>
          </w:p>
        </w:tc>
        <w:tc>
          <w:tcPr>
            <w:tcW w:w="472" w:type="pct"/>
            <w:shd w:val="clear" w:color="auto" w:fill="auto"/>
            <w:vAlign w:val="center"/>
          </w:tcPr>
          <w:p w14:paraId="40410F45">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2.5</w:t>
            </w:r>
          </w:p>
        </w:tc>
        <w:tc>
          <w:tcPr>
            <w:tcW w:w="717" w:type="pct"/>
            <w:shd w:val="clear" w:color="auto" w:fill="auto"/>
            <w:vAlign w:val="center"/>
          </w:tcPr>
          <w:p w14:paraId="1B50AAE0">
            <w:pPr>
              <w:adjustRightInd w:val="0"/>
              <w:spacing w:line="252" w:lineRule="auto"/>
              <w:jc w:val="center"/>
              <w:rPr>
                <w:rFonts w:ascii="仿宋_GB2312"/>
                <w:sz w:val="21"/>
                <w:szCs w:val="21"/>
              </w:rPr>
            </w:pPr>
            <w:r>
              <w:rPr>
                <w:rFonts w:hint="eastAsia" w:ascii="仿宋_GB2312"/>
                <w:snapToGrid w:val="0"/>
                <w:sz w:val="21"/>
                <w:szCs w:val="21"/>
              </w:rPr>
              <w:t>县供电公司</w:t>
            </w:r>
          </w:p>
        </w:tc>
        <w:tc>
          <w:tcPr>
            <w:tcW w:w="398" w:type="pct"/>
            <w:shd w:val="clear" w:color="auto" w:fill="auto"/>
            <w:vAlign w:val="center"/>
          </w:tcPr>
          <w:p w14:paraId="5DBB92F7">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E115EE4">
            <w:pPr>
              <w:adjustRightInd w:val="0"/>
              <w:spacing w:line="252" w:lineRule="auto"/>
              <w:jc w:val="center"/>
              <w:rPr>
                <w:rFonts w:ascii="仿宋_GB2312"/>
                <w:sz w:val="21"/>
                <w:szCs w:val="21"/>
              </w:rPr>
            </w:pPr>
            <w:r>
              <w:rPr>
                <w:rFonts w:hint="eastAsia" w:ascii="仿宋_GB2312"/>
                <w:sz w:val="21"/>
                <w:szCs w:val="21"/>
              </w:rPr>
              <w:t>新建</w:t>
            </w:r>
          </w:p>
        </w:tc>
      </w:tr>
      <w:tr w14:paraId="5D7B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B3F5CDA">
            <w:pPr>
              <w:adjustRightInd w:val="0"/>
              <w:spacing w:line="252" w:lineRule="auto"/>
              <w:jc w:val="center"/>
              <w:rPr>
                <w:rFonts w:ascii="仿宋_GB2312"/>
                <w:sz w:val="21"/>
                <w:szCs w:val="21"/>
              </w:rPr>
            </w:pPr>
            <w:r>
              <w:rPr>
                <w:rFonts w:hint="eastAsia" w:ascii="仿宋_GB2312"/>
                <w:sz w:val="21"/>
                <w:szCs w:val="21"/>
              </w:rPr>
              <w:t>34</w:t>
            </w:r>
          </w:p>
        </w:tc>
        <w:tc>
          <w:tcPr>
            <w:tcW w:w="709" w:type="pct"/>
            <w:shd w:val="clear" w:color="auto" w:fill="auto"/>
            <w:vAlign w:val="center"/>
          </w:tcPr>
          <w:p w14:paraId="0020AA84">
            <w:pPr>
              <w:adjustRightInd w:val="0"/>
              <w:spacing w:line="252" w:lineRule="auto"/>
              <w:jc w:val="center"/>
              <w:rPr>
                <w:rFonts w:ascii="仿宋_GB2312"/>
                <w:sz w:val="21"/>
                <w:szCs w:val="21"/>
              </w:rPr>
            </w:pPr>
            <w:r>
              <w:rPr>
                <w:rFonts w:hint="eastAsia" w:ascii="仿宋_GB2312"/>
                <w:sz w:val="21"/>
                <w:szCs w:val="21"/>
              </w:rPr>
              <w:t>110千伏新、扩建</w:t>
            </w:r>
          </w:p>
          <w:p w14:paraId="26F2AE43">
            <w:pPr>
              <w:adjustRightInd w:val="0"/>
              <w:spacing w:line="252" w:lineRule="auto"/>
              <w:jc w:val="center"/>
              <w:rPr>
                <w:rFonts w:ascii="仿宋_GB2312"/>
                <w:sz w:val="21"/>
                <w:szCs w:val="21"/>
              </w:rPr>
            </w:pPr>
            <w:r>
              <w:rPr>
                <w:rFonts w:hint="eastAsia" w:ascii="仿宋_GB2312"/>
                <w:sz w:val="21"/>
                <w:szCs w:val="21"/>
              </w:rPr>
              <w:t>输变电工程</w:t>
            </w:r>
          </w:p>
        </w:tc>
        <w:tc>
          <w:tcPr>
            <w:tcW w:w="1394" w:type="pct"/>
            <w:shd w:val="clear" w:color="auto" w:fill="auto"/>
            <w:vAlign w:val="center"/>
          </w:tcPr>
          <w:p w14:paraId="0D5EDF12">
            <w:pPr>
              <w:adjustRightInd w:val="0"/>
              <w:spacing w:line="252" w:lineRule="auto"/>
              <w:rPr>
                <w:rFonts w:ascii="仿宋_GB2312"/>
                <w:sz w:val="21"/>
                <w:szCs w:val="21"/>
              </w:rPr>
            </w:pPr>
            <w:r>
              <w:rPr>
                <w:rFonts w:hint="eastAsia" w:ascii="仿宋_GB2312"/>
                <w:snapToGrid w:val="0"/>
                <w:spacing w:val="-4"/>
                <w:sz w:val="21"/>
                <w:szCs w:val="21"/>
              </w:rPr>
              <w:t>扩建下箬、新塘、洪桥、龙山、金陵110千伏变电所5座，新建金山、李家巷、新城、兆山、</w:t>
            </w:r>
            <w:r>
              <w:rPr>
                <w:rFonts w:hint="eastAsia" w:ascii="仿宋_GB2312"/>
                <w:sz w:val="21"/>
                <w:szCs w:val="21"/>
              </w:rPr>
              <w:t>东吴、城东110千伏变电所6座等</w:t>
            </w:r>
          </w:p>
        </w:tc>
        <w:tc>
          <w:tcPr>
            <w:tcW w:w="357" w:type="pct"/>
            <w:shd w:val="clear" w:color="auto" w:fill="auto"/>
            <w:vAlign w:val="center"/>
          </w:tcPr>
          <w:p w14:paraId="286E5ADF">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4D894353">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4.6</w:t>
            </w:r>
          </w:p>
        </w:tc>
        <w:tc>
          <w:tcPr>
            <w:tcW w:w="472" w:type="pct"/>
            <w:shd w:val="clear" w:color="auto" w:fill="auto"/>
            <w:vAlign w:val="center"/>
          </w:tcPr>
          <w:p w14:paraId="73D45965">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4.6</w:t>
            </w:r>
          </w:p>
        </w:tc>
        <w:tc>
          <w:tcPr>
            <w:tcW w:w="717" w:type="pct"/>
            <w:shd w:val="clear" w:color="auto" w:fill="auto"/>
            <w:vAlign w:val="center"/>
          </w:tcPr>
          <w:p w14:paraId="051DC07D">
            <w:pPr>
              <w:adjustRightInd w:val="0"/>
              <w:spacing w:line="252" w:lineRule="auto"/>
              <w:jc w:val="center"/>
              <w:rPr>
                <w:rFonts w:ascii="仿宋_GB2312"/>
                <w:sz w:val="21"/>
                <w:szCs w:val="21"/>
              </w:rPr>
            </w:pPr>
            <w:r>
              <w:rPr>
                <w:rFonts w:hint="eastAsia" w:ascii="仿宋_GB2312"/>
                <w:snapToGrid w:val="0"/>
                <w:sz w:val="21"/>
                <w:szCs w:val="21"/>
              </w:rPr>
              <w:t>县供电公司</w:t>
            </w:r>
          </w:p>
        </w:tc>
        <w:tc>
          <w:tcPr>
            <w:tcW w:w="398" w:type="pct"/>
            <w:shd w:val="clear" w:color="auto" w:fill="auto"/>
            <w:vAlign w:val="center"/>
          </w:tcPr>
          <w:p w14:paraId="648B3F45">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3817A6A1">
            <w:pPr>
              <w:adjustRightInd w:val="0"/>
              <w:spacing w:line="252" w:lineRule="auto"/>
              <w:jc w:val="center"/>
              <w:rPr>
                <w:rFonts w:ascii="仿宋_GB2312"/>
                <w:sz w:val="21"/>
                <w:szCs w:val="21"/>
              </w:rPr>
            </w:pPr>
            <w:r>
              <w:rPr>
                <w:rFonts w:hint="eastAsia" w:ascii="仿宋_GB2312"/>
                <w:sz w:val="21"/>
                <w:szCs w:val="21"/>
              </w:rPr>
              <w:t>新建/扩建</w:t>
            </w:r>
          </w:p>
        </w:tc>
      </w:tr>
      <w:tr w14:paraId="4CE9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0ECCF04">
            <w:pPr>
              <w:adjustRightInd w:val="0"/>
              <w:spacing w:line="252" w:lineRule="auto"/>
              <w:jc w:val="center"/>
              <w:rPr>
                <w:rFonts w:ascii="仿宋_GB2312"/>
                <w:sz w:val="21"/>
                <w:szCs w:val="21"/>
              </w:rPr>
            </w:pPr>
            <w:r>
              <w:rPr>
                <w:rFonts w:hint="eastAsia" w:ascii="仿宋_GB2312"/>
                <w:sz w:val="21"/>
                <w:szCs w:val="21"/>
              </w:rPr>
              <w:t>35</w:t>
            </w:r>
          </w:p>
        </w:tc>
        <w:tc>
          <w:tcPr>
            <w:tcW w:w="709" w:type="pct"/>
            <w:shd w:val="clear" w:color="auto" w:fill="auto"/>
            <w:vAlign w:val="center"/>
          </w:tcPr>
          <w:p w14:paraId="6361868B">
            <w:pPr>
              <w:adjustRightInd w:val="0"/>
              <w:spacing w:line="252" w:lineRule="auto"/>
              <w:jc w:val="center"/>
              <w:rPr>
                <w:rFonts w:ascii="仿宋_GB2312"/>
                <w:snapToGrid w:val="0"/>
                <w:spacing w:val="-7"/>
                <w:sz w:val="21"/>
                <w:szCs w:val="21"/>
              </w:rPr>
            </w:pPr>
            <w:r>
              <w:rPr>
                <w:rFonts w:hint="eastAsia" w:ascii="仿宋_GB2312"/>
                <w:snapToGrid w:val="0"/>
                <w:spacing w:val="-7"/>
                <w:sz w:val="21"/>
                <w:szCs w:val="21"/>
              </w:rPr>
              <w:t>10千伏配网线路工程</w:t>
            </w:r>
          </w:p>
        </w:tc>
        <w:tc>
          <w:tcPr>
            <w:tcW w:w="1394" w:type="pct"/>
            <w:shd w:val="clear" w:color="auto" w:fill="auto"/>
            <w:vAlign w:val="center"/>
          </w:tcPr>
          <w:p w14:paraId="3C074EB7">
            <w:pPr>
              <w:adjustRightInd w:val="0"/>
              <w:spacing w:line="252" w:lineRule="auto"/>
              <w:rPr>
                <w:rFonts w:ascii="仿宋_GB2312"/>
                <w:sz w:val="21"/>
                <w:szCs w:val="21"/>
              </w:rPr>
            </w:pPr>
            <w:r>
              <w:rPr>
                <w:rFonts w:hint="eastAsia" w:ascii="仿宋_GB2312"/>
                <w:sz w:val="21"/>
                <w:szCs w:val="21"/>
              </w:rPr>
              <w:t>2021-2025年相关10千伏配网改造升级、网架完善、新、扩建变电所10千伏配套送出等系统工程。</w:t>
            </w:r>
          </w:p>
        </w:tc>
        <w:tc>
          <w:tcPr>
            <w:tcW w:w="357" w:type="pct"/>
            <w:shd w:val="clear" w:color="auto" w:fill="auto"/>
            <w:vAlign w:val="center"/>
          </w:tcPr>
          <w:p w14:paraId="2C0A48CC">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06F09C90">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12</w:t>
            </w:r>
          </w:p>
        </w:tc>
        <w:tc>
          <w:tcPr>
            <w:tcW w:w="472" w:type="pct"/>
            <w:shd w:val="clear" w:color="auto" w:fill="auto"/>
            <w:vAlign w:val="center"/>
          </w:tcPr>
          <w:p w14:paraId="21858201">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12</w:t>
            </w:r>
          </w:p>
        </w:tc>
        <w:tc>
          <w:tcPr>
            <w:tcW w:w="717" w:type="pct"/>
            <w:shd w:val="clear" w:color="auto" w:fill="auto"/>
            <w:vAlign w:val="center"/>
          </w:tcPr>
          <w:p w14:paraId="31F66042">
            <w:pPr>
              <w:adjustRightInd w:val="0"/>
              <w:spacing w:line="252" w:lineRule="auto"/>
              <w:jc w:val="center"/>
              <w:rPr>
                <w:rFonts w:ascii="仿宋_GB2312"/>
                <w:sz w:val="21"/>
                <w:szCs w:val="21"/>
              </w:rPr>
            </w:pPr>
            <w:r>
              <w:rPr>
                <w:rFonts w:hint="eastAsia" w:ascii="仿宋_GB2312"/>
                <w:snapToGrid w:val="0"/>
                <w:sz w:val="21"/>
                <w:szCs w:val="21"/>
              </w:rPr>
              <w:t>县供电公司</w:t>
            </w:r>
          </w:p>
        </w:tc>
        <w:tc>
          <w:tcPr>
            <w:tcW w:w="398" w:type="pct"/>
            <w:shd w:val="clear" w:color="auto" w:fill="auto"/>
            <w:vAlign w:val="center"/>
          </w:tcPr>
          <w:p w14:paraId="3BF813E5">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0064F03E">
            <w:pPr>
              <w:adjustRightInd w:val="0"/>
              <w:spacing w:line="252" w:lineRule="auto"/>
              <w:jc w:val="center"/>
              <w:rPr>
                <w:rFonts w:ascii="仿宋_GB2312"/>
                <w:sz w:val="21"/>
                <w:szCs w:val="21"/>
              </w:rPr>
            </w:pPr>
            <w:r>
              <w:rPr>
                <w:rFonts w:hint="eastAsia" w:ascii="仿宋_GB2312"/>
                <w:sz w:val="21"/>
                <w:szCs w:val="21"/>
              </w:rPr>
              <w:t>新建</w:t>
            </w:r>
          </w:p>
        </w:tc>
      </w:tr>
      <w:tr w14:paraId="2CE1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14FEAAC">
            <w:pPr>
              <w:adjustRightInd w:val="0"/>
              <w:spacing w:line="252" w:lineRule="auto"/>
              <w:jc w:val="center"/>
              <w:rPr>
                <w:rFonts w:ascii="仿宋_GB2312"/>
                <w:sz w:val="21"/>
                <w:szCs w:val="21"/>
              </w:rPr>
            </w:pPr>
            <w:r>
              <w:rPr>
                <w:rFonts w:hint="eastAsia" w:ascii="仿宋_GB2312"/>
                <w:sz w:val="21"/>
                <w:szCs w:val="21"/>
              </w:rPr>
              <w:t>36</w:t>
            </w:r>
          </w:p>
        </w:tc>
        <w:tc>
          <w:tcPr>
            <w:tcW w:w="709" w:type="pct"/>
            <w:shd w:val="clear" w:color="auto" w:fill="auto"/>
            <w:vAlign w:val="center"/>
          </w:tcPr>
          <w:p w14:paraId="164DD590">
            <w:pPr>
              <w:adjustRightInd w:val="0"/>
              <w:spacing w:line="252" w:lineRule="auto"/>
              <w:jc w:val="center"/>
              <w:rPr>
                <w:rFonts w:ascii="仿宋_GB2312"/>
                <w:sz w:val="21"/>
                <w:szCs w:val="21"/>
              </w:rPr>
            </w:pPr>
            <w:r>
              <w:rPr>
                <w:rFonts w:hint="eastAsia" w:ascii="仿宋_GB2312"/>
                <w:sz w:val="21"/>
                <w:szCs w:val="21"/>
              </w:rPr>
              <w:t>年产800套新能源</w:t>
            </w:r>
            <w:r>
              <w:rPr>
                <w:rFonts w:hint="eastAsia" w:ascii="仿宋_GB2312"/>
                <w:snapToGrid w:val="0"/>
                <w:spacing w:val="-6"/>
                <w:position w:val="-6"/>
                <w:sz w:val="21"/>
                <w:szCs w:val="21"/>
              </w:rPr>
              <w:t>换电站系统建设项目</w:t>
            </w:r>
          </w:p>
        </w:tc>
        <w:tc>
          <w:tcPr>
            <w:tcW w:w="1394" w:type="pct"/>
            <w:shd w:val="clear" w:color="auto" w:fill="auto"/>
            <w:vAlign w:val="center"/>
          </w:tcPr>
          <w:p w14:paraId="1811533F">
            <w:pPr>
              <w:adjustRightInd w:val="0"/>
              <w:spacing w:line="252" w:lineRule="auto"/>
              <w:rPr>
                <w:rFonts w:ascii="仿宋_GB2312"/>
                <w:sz w:val="21"/>
                <w:szCs w:val="21"/>
              </w:rPr>
            </w:pPr>
            <w:r>
              <w:rPr>
                <w:rFonts w:hint="eastAsia" w:ascii="仿宋_GB2312"/>
                <w:snapToGrid w:val="0"/>
                <w:spacing w:val="-6"/>
                <w:position w:val="-6"/>
                <w:sz w:val="21"/>
                <w:szCs w:val="21"/>
              </w:rPr>
              <w:t>新增用地98亩，新建建筑面积8万平方米，</w:t>
            </w:r>
            <w:r>
              <w:rPr>
                <w:rFonts w:hint="eastAsia" w:ascii="仿宋_GB2312"/>
                <w:sz w:val="21"/>
                <w:szCs w:val="21"/>
              </w:rPr>
              <w:t>购置数控加工中心、扭力扳手、拧紧工具、电动工具、三坐标测量仪、激光水平仪、多轴测量仪等生产及辅助设备341台，年产800套新能源换电站系统建设项目。</w:t>
            </w:r>
          </w:p>
        </w:tc>
        <w:tc>
          <w:tcPr>
            <w:tcW w:w="357" w:type="pct"/>
            <w:shd w:val="clear" w:color="auto" w:fill="auto"/>
            <w:vAlign w:val="center"/>
          </w:tcPr>
          <w:p w14:paraId="0B8A67E3">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2020-2022</w:t>
            </w:r>
          </w:p>
        </w:tc>
        <w:tc>
          <w:tcPr>
            <w:tcW w:w="327" w:type="pct"/>
            <w:shd w:val="clear" w:color="auto" w:fill="auto"/>
            <w:vAlign w:val="center"/>
          </w:tcPr>
          <w:p w14:paraId="404477A5">
            <w:pPr>
              <w:adjustRightInd w:val="0"/>
              <w:spacing w:line="252" w:lineRule="auto"/>
              <w:jc w:val="center"/>
              <w:rPr>
                <w:rFonts w:ascii="仿宋_GB2312"/>
                <w:snapToGrid w:val="0"/>
                <w:spacing w:val="-16"/>
                <w:sz w:val="21"/>
                <w:szCs w:val="21"/>
                <w:highlight w:val="yellow"/>
              </w:rPr>
            </w:pPr>
            <w:r>
              <w:rPr>
                <w:rFonts w:hint="eastAsia" w:ascii="仿宋_GB2312"/>
                <w:snapToGrid w:val="0"/>
                <w:spacing w:val="-16"/>
                <w:sz w:val="21"/>
                <w:szCs w:val="21"/>
              </w:rPr>
              <w:t>10.5</w:t>
            </w:r>
          </w:p>
        </w:tc>
        <w:tc>
          <w:tcPr>
            <w:tcW w:w="472" w:type="pct"/>
            <w:shd w:val="clear" w:color="auto" w:fill="auto"/>
            <w:vAlign w:val="center"/>
          </w:tcPr>
          <w:p w14:paraId="168CFF85">
            <w:pPr>
              <w:adjustRightInd w:val="0"/>
              <w:spacing w:line="252" w:lineRule="auto"/>
              <w:jc w:val="center"/>
              <w:rPr>
                <w:rFonts w:ascii="仿宋_GB2312"/>
                <w:snapToGrid w:val="0"/>
                <w:spacing w:val="-16"/>
                <w:sz w:val="21"/>
                <w:szCs w:val="21"/>
                <w:highlight w:val="yellow"/>
              </w:rPr>
            </w:pPr>
            <w:r>
              <w:rPr>
                <w:rFonts w:hint="eastAsia" w:ascii="仿宋_GB2312"/>
                <w:snapToGrid w:val="0"/>
                <w:spacing w:val="-16"/>
                <w:sz w:val="21"/>
                <w:szCs w:val="21"/>
              </w:rPr>
              <w:t>10.5</w:t>
            </w:r>
          </w:p>
        </w:tc>
        <w:tc>
          <w:tcPr>
            <w:tcW w:w="717" w:type="pct"/>
            <w:shd w:val="clear" w:color="auto" w:fill="auto"/>
            <w:vAlign w:val="center"/>
          </w:tcPr>
          <w:p w14:paraId="55C038DF">
            <w:pPr>
              <w:adjustRightInd w:val="0"/>
              <w:spacing w:line="252" w:lineRule="auto"/>
              <w:jc w:val="center"/>
              <w:rPr>
                <w:rFonts w:ascii="仿宋_GB2312"/>
                <w:sz w:val="21"/>
                <w:szCs w:val="21"/>
              </w:rPr>
            </w:pPr>
            <w:r>
              <w:rPr>
                <w:rFonts w:hint="eastAsia" w:ascii="仿宋_GB2312"/>
                <w:sz w:val="21"/>
                <w:szCs w:val="21"/>
              </w:rPr>
              <w:t>宁波江宸智能</w:t>
            </w:r>
          </w:p>
          <w:p w14:paraId="324A1199">
            <w:pPr>
              <w:adjustRightInd w:val="0"/>
              <w:spacing w:line="252" w:lineRule="auto"/>
              <w:jc w:val="center"/>
              <w:rPr>
                <w:rFonts w:ascii="仿宋_GB2312"/>
                <w:sz w:val="21"/>
                <w:szCs w:val="21"/>
              </w:rPr>
            </w:pPr>
            <w:r>
              <w:rPr>
                <w:rFonts w:hint="eastAsia" w:ascii="仿宋_GB2312"/>
                <w:sz w:val="21"/>
                <w:szCs w:val="21"/>
              </w:rPr>
              <w:t>装备股份有限公司</w:t>
            </w:r>
          </w:p>
        </w:tc>
        <w:tc>
          <w:tcPr>
            <w:tcW w:w="398" w:type="pct"/>
            <w:shd w:val="clear" w:color="auto" w:fill="auto"/>
            <w:vAlign w:val="center"/>
          </w:tcPr>
          <w:p w14:paraId="4E6B5753">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7CE6D48B">
            <w:pPr>
              <w:adjustRightInd w:val="0"/>
              <w:spacing w:line="252" w:lineRule="auto"/>
              <w:jc w:val="center"/>
              <w:rPr>
                <w:rFonts w:ascii="仿宋_GB2312"/>
                <w:sz w:val="21"/>
                <w:szCs w:val="21"/>
              </w:rPr>
            </w:pPr>
            <w:r>
              <w:rPr>
                <w:rFonts w:hint="eastAsia" w:ascii="仿宋_GB2312"/>
                <w:sz w:val="21"/>
                <w:szCs w:val="21"/>
              </w:rPr>
              <w:t>续建</w:t>
            </w:r>
          </w:p>
        </w:tc>
      </w:tr>
      <w:tr w14:paraId="2A5E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5B56B8E">
            <w:pPr>
              <w:adjustRightInd w:val="0"/>
              <w:spacing w:line="252" w:lineRule="auto"/>
              <w:jc w:val="center"/>
              <w:rPr>
                <w:rFonts w:ascii="仿宋_GB2312"/>
                <w:sz w:val="21"/>
                <w:szCs w:val="21"/>
              </w:rPr>
            </w:pPr>
            <w:r>
              <w:rPr>
                <w:rFonts w:hint="eastAsia" w:ascii="仿宋_GB2312"/>
                <w:sz w:val="21"/>
                <w:szCs w:val="21"/>
              </w:rPr>
              <w:t>37</w:t>
            </w:r>
          </w:p>
        </w:tc>
        <w:tc>
          <w:tcPr>
            <w:tcW w:w="709" w:type="pct"/>
            <w:shd w:val="clear" w:color="auto" w:fill="auto"/>
            <w:vAlign w:val="center"/>
          </w:tcPr>
          <w:p w14:paraId="342E211E">
            <w:pPr>
              <w:adjustRightInd w:val="0"/>
              <w:spacing w:line="252" w:lineRule="auto"/>
              <w:jc w:val="center"/>
              <w:rPr>
                <w:rFonts w:ascii="仿宋_GB2312"/>
                <w:sz w:val="21"/>
                <w:szCs w:val="21"/>
              </w:rPr>
            </w:pPr>
            <w:r>
              <w:rPr>
                <w:rFonts w:hint="eastAsia" w:ascii="仿宋_GB2312"/>
                <w:sz w:val="21"/>
                <w:szCs w:val="21"/>
              </w:rPr>
              <w:t>环湖大堤（浙江段）后续工程（长兴段）</w:t>
            </w:r>
          </w:p>
        </w:tc>
        <w:tc>
          <w:tcPr>
            <w:tcW w:w="1394" w:type="pct"/>
            <w:shd w:val="clear" w:color="auto" w:fill="auto"/>
            <w:vAlign w:val="center"/>
          </w:tcPr>
          <w:p w14:paraId="494E70C8">
            <w:pPr>
              <w:adjustRightInd w:val="0"/>
              <w:spacing w:line="252" w:lineRule="auto"/>
              <w:rPr>
                <w:rFonts w:ascii="仿宋_GB2312"/>
                <w:sz w:val="21"/>
                <w:szCs w:val="21"/>
              </w:rPr>
            </w:pPr>
            <w:r>
              <w:rPr>
                <w:rFonts w:hint="eastAsia" w:ascii="仿宋_GB2312"/>
                <w:sz w:val="21"/>
                <w:szCs w:val="21"/>
              </w:rPr>
              <w:t>环湖大堤（长兴段）加高加固9.14公里，新建沿线口门建筑物13座；常丰涧、夹浦港、沉渎港综合整治16.57公里，新建沿线口门建筑物123座，新建拆建沿线桥梁17座。</w:t>
            </w:r>
          </w:p>
        </w:tc>
        <w:tc>
          <w:tcPr>
            <w:tcW w:w="357" w:type="pct"/>
            <w:shd w:val="clear" w:color="auto" w:fill="auto"/>
            <w:vAlign w:val="center"/>
          </w:tcPr>
          <w:p w14:paraId="59178413">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697BAE9C">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23.24</w:t>
            </w:r>
          </w:p>
        </w:tc>
        <w:tc>
          <w:tcPr>
            <w:tcW w:w="472" w:type="pct"/>
            <w:shd w:val="clear" w:color="auto" w:fill="auto"/>
            <w:vAlign w:val="center"/>
          </w:tcPr>
          <w:p w14:paraId="4F835BAE">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23.24</w:t>
            </w:r>
          </w:p>
        </w:tc>
        <w:tc>
          <w:tcPr>
            <w:tcW w:w="717" w:type="pct"/>
            <w:shd w:val="clear" w:color="auto" w:fill="auto"/>
            <w:vAlign w:val="center"/>
          </w:tcPr>
          <w:p w14:paraId="62BABA54">
            <w:pPr>
              <w:adjustRightInd w:val="0"/>
              <w:spacing w:line="252" w:lineRule="auto"/>
              <w:jc w:val="center"/>
              <w:rPr>
                <w:rFonts w:ascii="仿宋_GB2312"/>
                <w:sz w:val="21"/>
                <w:szCs w:val="21"/>
              </w:rPr>
            </w:pPr>
            <w:r>
              <w:rPr>
                <w:rFonts w:hint="eastAsia" w:ascii="仿宋_GB2312"/>
                <w:sz w:val="21"/>
                <w:szCs w:val="21"/>
              </w:rPr>
              <w:t>长兴县太湖水利</w:t>
            </w:r>
          </w:p>
          <w:p w14:paraId="5DB79596">
            <w:pPr>
              <w:adjustRightInd w:val="0"/>
              <w:spacing w:line="252" w:lineRule="auto"/>
              <w:jc w:val="center"/>
              <w:rPr>
                <w:rFonts w:ascii="仿宋_GB2312"/>
                <w:sz w:val="21"/>
                <w:szCs w:val="21"/>
              </w:rPr>
            </w:pPr>
            <w:r>
              <w:rPr>
                <w:rFonts w:hint="eastAsia" w:ascii="仿宋_GB2312"/>
                <w:sz w:val="21"/>
                <w:szCs w:val="21"/>
              </w:rPr>
              <w:t>工程建设服务中心</w:t>
            </w:r>
          </w:p>
        </w:tc>
        <w:tc>
          <w:tcPr>
            <w:tcW w:w="398" w:type="pct"/>
            <w:shd w:val="clear" w:color="auto" w:fill="auto"/>
            <w:vAlign w:val="center"/>
          </w:tcPr>
          <w:p w14:paraId="6A2F094B">
            <w:pPr>
              <w:adjustRightInd w:val="0"/>
              <w:spacing w:line="252"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24E9ACD8">
            <w:pPr>
              <w:adjustRightInd w:val="0"/>
              <w:spacing w:line="252" w:lineRule="auto"/>
              <w:jc w:val="center"/>
              <w:rPr>
                <w:rFonts w:ascii="仿宋_GB2312"/>
                <w:sz w:val="21"/>
                <w:szCs w:val="21"/>
              </w:rPr>
            </w:pPr>
            <w:r>
              <w:rPr>
                <w:rFonts w:hint="eastAsia" w:ascii="仿宋_GB2312"/>
                <w:sz w:val="21"/>
                <w:szCs w:val="21"/>
              </w:rPr>
              <w:t>新建</w:t>
            </w:r>
          </w:p>
        </w:tc>
      </w:tr>
      <w:tr w14:paraId="38B9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D04DEF9">
            <w:pPr>
              <w:adjustRightInd w:val="0"/>
              <w:spacing w:line="252" w:lineRule="auto"/>
              <w:jc w:val="center"/>
              <w:rPr>
                <w:rFonts w:ascii="仿宋_GB2312"/>
                <w:sz w:val="21"/>
                <w:szCs w:val="21"/>
              </w:rPr>
            </w:pPr>
            <w:r>
              <w:rPr>
                <w:rFonts w:hint="eastAsia" w:ascii="仿宋_GB2312"/>
                <w:sz w:val="21"/>
                <w:szCs w:val="21"/>
              </w:rPr>
              <w:t>38</w:t>
            </w:r>
          </w:p>
        </w:tc>
        <w:tc>
          <w:tcPr>
            <w:tcW w:w="709" w:type="pct"/>
            <w:shd w:val="clear" w:color="auto" w:fill="auto"/>
            <w:vAlign w:val="center"/>
          </w:tcPr>
          <w:p w14:paraId="254B6B32">
            <w:pPr>
              <w:adjustRightInd w:val="0"/>
              <w:spacing w:line="252" w:lineRule="auto"/>
              <w:jc w:val="center"/>
              <w:rPr>
                <w:rFonts w:ascii="仿宋_GB2312"/>
                <w:sz w:val="21"/>
                <w:szCs w:val="21"/>
              </w:rPr>
            </w:pPr>
            <w:r>
              <w:rPr>
                <w:rFonts w:hint="eastAsia" w:ascii="仿宋_GB2312"/>
                <w:sz w:val="21"/>
                <w:szCs w:val="21"/>
              </w:rPr>
              <w:t>苕溪清水入湖</w:t>
            </w:r>
          </w:p>
          <w:p w14:paraId="39ABD48A">
            <w:pPr>
              <w:adjustRightInd w:val="0"/>
              <w:spacing w:line="252" w:lineRule="auto"/>
              <w:jc w:val="center"/>
              <w:rPr>
                <w:rFonts w:ascii="仿宋_GB2312"/>
                <w:sz w:val="21"/>
                <w:szCs w:val="21"/>
              </w:rPr>
            </w:pPr>
            <w:r>
              <w:rPr>
                <w:rFonts w:hint="eastAsia" w:ascii="仿宋_GB2312"/>
                <w:sz w:val="21"/>
                <w:szCs w:val="21"/>
              </w:rPr>
              <w:t>（长兴段）河道</w:t>
            </w:r>
          </w:p>
          <w:p w14:paraId="14E2857E">
            <w:pPr>
              <w:adjustRightInd w:val="0"/>
              <w:spacing w:line="252" w:lineRule="auto"/>
              <w:jc w:val="center"/>
              <w:rPr>
                <w:rFonts w:ascii="仿宋_GB2312"/>
                <w:sz w:val="21"/>
                <w:szCs w:val="21"/>
              </w:rPr>
            </w:pPr>
            <w:r>
              <w:rPr>
                <w:rFonts w:hint="eastAsia" w:ascii="仿宋_GB2312"/>
                <w:sz w:val="21"/>
                <w:szCs w:val="21"/>
              </w:rPr>
              <w:t>整治后续工程</w:t>
            </w:r>
          </w:p>
        </w:tc>
        <w:tc>
          <w:tcPr>
            <w:tcW w:w="1394" w:type="pct"/>
            <w:shd w:val="clear" w:color="auto" w:fill="auto"/>
            <w:vAlign w:val="center"/>
          </w:tcPr>
          <w:p w14:paraId="227EEDC7">
            <w:pPr>
              <w:adjustRightInd w:val="0"/>
              <w:spacing w:line="252" w:lineRule="auto"/>
              <w:rPr>
                <w:rFonts w:ascii="仿宋_GB2312"/>
                <w:sz w:val="21"/>
                <w:szCs w:val="21"/>
              </w:rPr>
            </w:pPr>
            <w:r>
              <w:rPr>
                <w:rFonts w:hint="eastAsia" w:ascii="仿宋_GB2312"/>
                <w:sz w:val="21"/>
                <w:szCs w:val="21"/>
              </w:rPr>
              <w:t>合溪新港河道整治15.4公里，横山港河道整治11.41公里，晓墅港堤防整治12.9公里，迁建小浦闸。</w:t>
            </w:r>
          </w:p>
        </w:tc>
        <w:tc>
          <w:tcPr>
            <w:tcW w:w="357" w:type="pct"/>
            <w:shd w:val="clear" w:color="auto" w:fill="auto"/>
            <w:vAlign w:val="center"/>
          </w:tcPr>
          <w:p w14:paraId="0BA04276">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40551898">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11</w:t>
            </w:r>
          </w:p>
        </w:tc>
        <w:tc>
          <w:tcPr>
            <w:tcW w:w="472" w:type="pct"/>
            <w:shd w:val="clear" w:color="auto" w:fill="auto"/>
            <w:vAlign w:val="center"/>
          </w:tcPr>
          <w:p w14:paraId="3FFC5050">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11</w:t>
            </w:r>
          </w:p>
        </w:tc>
        <w:tc>
          <w:tcPr>
            <w:tcW w:w="717" w:type="pct"/>
            <w:shd w:val="clear" w:color="auto" w:fill="auto"/>
            <w:vAlign w:val="center"/>
          </w:tcPr>
          <w:p w14:paraId="5ECA6C64">
            <w:pPr>
              <w:adjustRightInd w:val="0"/>
              <w:spacing w:line="252" w:lineRule="auto"/>
              <w:jc w:val="center"/>
              <w:rPr>
                <w:rFonts w:ascii="仿宋_GB2312"/>
                <w:sz w:val="21"/>
                <w:szCs w:val="21"/>
              </w:rPr>
            </w:pPr>
            <w:r>
              <w:rPr>
                <w:rFonts w:hint="eastAsia" w:ascii="仿宋_GB2312"/>
                <w:sz w:val="21"/>
                <w:szCs w:val="21"/>
              </w:rPr>
              <w:t>长兴汇通水利投资发展有限公司</w:t>
            </w:r>
          </w:p>
        </w:tc>
        <w:tc>
          <w:tcPr>
            <w:tcW w:w="398" w:type="pct"/>
            <w:shd w:val="clear" w:color="auto" w:fill="auto"/>
            <w:vAlign w:val="center"/>
          </w:tcPr>
          <w:p w14:paraId="5862B40D">
            <w:pPr>
              <w:adjustRightInd w:val="0"/>
              <w:spacing w:line="252"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7BA9D107">
            <w:pPr>
              <w:adjustRightInd w:val="0"/>
              <w:spacing w:line="252" w:lineRule="auto"/>
              <w:jc w:val="center"/>
              <w:rPr>
                <w:rFonts w:ascii="仿宋_GB2312"/>
                <w:sz w:val="21"/>
                <w:szCs w:val="21"/>
              </w:rPr>
            </w:pPr>
            <w:r>
              <w:rPr>
                <w:rFonts w:hint="eastAsia" w:ascii="仿宋_GB2312"/>
                <w:sz w:val="21"/>
                <w:szCs w:val="21"/>
              </w:rPr>
              <w:t>新建</w:t>
            </w:r>
          </w:p>
        </w:tc>
      </w:tr>
      <w:tr w14:paraId="4C7F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D8FD4D0">
            <w:pPr>
              <w:adjustRightInd w:val="0"/>
              <w:spacing w:line="252" w:lineRule="auto"/>
              <w:jc w:val="center"/>
              <w:rPr>
                <w:rFonts w:ascii="仿宋_GB2312"/>
                <w:sz w:val="21"/>
                <w:szCs w:val="21"/>
              </w:rPr>
            </w:pPr>
            <w:r>
              <w:rPr>
                <w:rFonts w:hint="eastAsia" w:ascii="仿宋_GB2312"/>
                <w:sz w:val="21"/>
                <w:szCs w:val="21"/>
              </w:rPr>
              <w:t>39</w:t>
            </w:r>
          </w:p>
        </w:tc>
        <w:tc>
          <w:tcPr>
            <w:tcW w:w="709" w:type="pct"/>
            <w:shd w:val="clear" w:color="auto" w:fill="auto"/>
            <w:vAlign w:val="center"/>
          </w:tcPr>
          <w:p w14:paraId="62180BC2">
            <w:pPr>
              <w:adjustRightInd w:val="0"/>
              <w:spacing w:line="252" w:lineRule="auto"/>
              <w:jc w:val="center"/>
              <w:rPr>
                <w:rFonts w:ascii="仿宋_GB2312"/>
                <w:sz w:val="21"/>
                <w:szCs w:val="21"/>
              </w:rPr>
            </w:pPr>
            <w:r>
              <w:rPr>
                <w:rFonts w:hint="eastAsia" w:ascii="仿宋_GB2312"/>
                <w:sz w:val="21"/>
                <w:szCs w:val="21"/>
              </w:rPr>
              <w:t>全域土地综合整治与生态修复工程</w:t>
            </w:r>
          </w:p>
        </w:tc>
        <w:tc>
          <w:tcPr>
            <w:tcW w:w="1394" w:type="pct"/>
            <w:shd w:val="clear" w:color="auto" w:fill="auto"/>
            <w:vAlign w:val="center"/>
          </w:tcPr>
          <w:p w14:paraId="7F915E42">
            <w:pPr>
              <w:adjustRightInd w:val="0"/>
              <w:spacing w:line="252" w:lineRule="auto"/>
              <w:rPr>
                <w:rFonts w:ascii="仿宋_GB2312"/>
                <w:sz w:val="21"/>
                <w:szCs w:val="21"/>
              </w:rPr>
            </w:pPr>
            <w:r>
              <w:rPr>
                <w:rFonts w:hint="eastAsia" w:ascii="仿宋_GB2312"/>
                <w:sz w:val="21"/>
                <w:szCs w:val="21"/>
              </w:rPr>
              <w:t>垦造耕地4382亩，建设用地复垦5321亩。</w:t>
            </w:r>
          </w:p>
        </w:tc>
        <w:tc>
          <w:tcPr>
            <w:tcW w:w="357" w:type="pct"/>
            <w:shd w:val="clear" w:color="auto" w:fill="auto"/>
            <w:vAlign w:val="center"/>
          </w:tcPr>
          <w:p w14:paraId="7856FB72">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2019-2022</w:t>
            </w:r>
          </w:p>
        </w:tc>
        <w:tc>
          <w:tcPr>
            <w:tcW w:w="327" w:type="pct"/>
            <w:shd w:val="clear" w:color="auto" w:fill="auto"/>
            <w:vAlign w:val="center"/>
          </w:tcPr>
          <w:p w14:paraId="667B75DB">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14.6377</w:t>
            </w:r>
          </w:p>
        </w:tc>
        <w:tc>
          <w:tcPr>
            <w:tcW w:w="472" w:type="pct"/>
            <w:shd w:val="clear" w:color="auto" w:fill="auto"/>
            <w:vAlign w:val="center"/>
          </w:tcPr>
          <w:p w14:paraId="74F34F89">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12.2056</w:t>
            </w:r>
          </w:p>
        </w:tc>
        <w:tc>
          <w:tcPr>
            <w:tcW w:w="717" w:type="pct"/>
            <w:shd w:val="clear" w:color="auto" w:fill="auto"/>
            <w:vAlign w:val="center"/>
          </w:tcPr>
          <w:p w14:paraId="5D447680">
            <w:pPr>
              <w:adjustRightInd w:val="0"/>
              <w:spacing w:line="252" w:lineRule="auto"/>
              <w:jc w:val="center"/>
              <w:rPr>
                <w:rFonts w:ascii="仿宋_GB2312"/>
                <w:sz w:val="21"/>
                <w:szCs w:val="21"/>
              </w:rPr>
            </w:pPr>
            <w:r>
              <w:rPr>
                <w:rFonts w:hint="eastAsia" w:ascii="仿宋_GB2312"/>
                <w:sz w:val="21"/>
                <w:szCs w:val="21"/>
              </w:rPr>
              <w:t>各乡镇</w:t>
            </w:r>
          </w:p>
        </w:tc>
        <w:tc>
          <w:tcPr>
            <w:tcW w:w="398" w:type="pct"/>
            <w:shd w:val="clear" w:color="auto" w:fill="auto"/>
            <w:vAlign w:val="center"/>
          </w:tcPr>
          <w:p w14:paraId="00BFF1DB">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54982876">
            <w:pPr>
              <w:adjustRightInd w:val="0"/>
              <w:spacing w:line="252" w:lineRule="auto"/>
              <w:jc w:val="center"/>
              <w:rPr>
                <w:rFonts w:ascii="仿宋_GB2312"/>
                <w:sz w:val="21"/>
                <w:szCs w:val="21"/>
              </w:rPr>
            </w:pPr>
            <w:r>
              <w:rPr>
                <w:rFonts w:hint="eastAsia" w:ascii="仿宋_GB2312"/>
                <w:sz w:val="21"/>
                <w:szCs w:val="21"/>
              </w:rPr>
              <w:t>续建</w:t>
            </w:r>
          </w:p>
        </w:tc>
      </w:tr>
      <w:tr w14:paraId="53D5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11A55B9">
            <w:pPr>
              <w:adjustRightInd w:val="0"/>
              <w:spacing w:line="252" w:lineRule="auto"/>
              <w:jc w:val="center"/>
              <w:rPr>
                <w:rFonts w:ascii="仿宋_GB2312"/>
                <w:sz w:val="21"/>
                <w:szCs w:val="21"/>
              </w:rPr>
            </w:pPr>
            <w:r>
              <w:rPr>
                <w:rFonts w:hint="eastAsia" w:ascii="仿宋_GB2312"/>
                <w:sz w:val="21"/>
                <w:szCs w:val="21"/>
              </w:rPr>
              <w:t>40</w:t>
            </w:r>
          </w:p>
        </w:tc>
        <w:tc>
          <w:tcPr>
            <w:tcW w:w="709" w:type="pct"/>
            <w:shd w:val="clear" w:color="auto" w:fill="auto"/>
            <w:vAlign w:val="center"/>
          </w:tcPr>
          <w:p w14:paraId="52C0015A">
            <w:pPr>
              <w:adjustRightInd w:val="0"/>
              <w:spacing w:line="252" w:lineRule="auto"/>
              <w:jc w:val="center"/>
              <w:rPr>
                <w:rFonts w:ascii="仿宋_GB2312"/>
                <w:sz w:val="21"/>
                <w:szCs w:val="21"/>
              </w:rPr>
            </w:pPr>
            <w:r>
              <w:rPr>
                <w:rFonts w:hint="eastAsia" w:ascii="仿宋_GB2312"/>
                <w:sz w:val="21"/>
                <w:szCs w:val="21"/>
              </w:rPr>
              <w:t>长兴县资源再利用基地</w:t>
            </w:r>
          </w:p>
        </w:tc>
        <w:tc>
          <w:tcPr>
            <w:tcW w:w="1394" w:type="pct"/>
            <w:shd w:val="clear" w:color="auto" w:fill="auto"/>
            <w:vAlign w:val="center"/>
          </w:tcPr>
          <w:p w14:paraId="64C98C5B">
            <w:pPr>
              <w:adjustRightInd w:val="0"/>
              <w:spacing w:line="252" w:lineRule="auto"/>
              <w:rPr>
                <w:rFonts w:ascii="仿宋_GB2312"/>
                <w:sz w:val="21"/>
                <w:szCs w:val="21"/>
              </w:rPr>
            </w:pPr>
            <w:r>
              <w:rPr>
                <w:rFonts w:hint="eastAsia" w:ascii="仿宋_GB2312"/>
                <w:sz w:val="21"/>
                <w:szCs w:val="21"/>
              </w:rPr>
              <w:t>新建一座总库容约 60万立方米，填埋库区面积约4万平方米，飞灰填埋规模为100吨/天，渗滤液（浸出液）处理规模为80立方米/天的填埋库区，项目总用地面积为80649平方米。基地包含管理用房、飞灰填埋库区、渗滤液（浸出液）处理、调节池、进场及作业道路，防渗系统、渗滤液导排系统、地下水导排及地表水导排系统，渗滤液（浸出液）预处理设施、综合处理车间建设等。</w:t>
            </w:r>
          </w:p>
        </w:tc>
        <w:tc>
          <w:tcPr>
            <w:tcW w:w="357" w:type="pct"/>
            <w:shd w:val="clear" w:color="auto" w:fill="auto"/>
            <w:vAlign w:val="center"/>
          </w:tcPr>
          <w:p w14:paraId="74A8731F">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2020-2021</w:t>
            </w:r>
          </w:p>
        </w:tc>
        <w:tc>
          <w:tcPr>
            <w:tcW w:w="327" w:type="pct"/>
            <w:shd w:val="clear" w:color="auto" w:fill="auto"/>
            <w:vAlign w:val="center"/>
          </w:tcPr>
          <w:p w14:paraId="516836B7">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0.8</w:t>
            </w:r>
          </w:p>
        </w:tc>
        <w:tc>
          <w:tcPr>
            <w:tcW w:w="472" w:type="pct"/>
            <w:shd w:val="clear" w:color="auto" w:fill="auto"/>
            <w:vAlign w:val="center"/>
          </w:tcPr>
          <w:p w14:paraId="3EB57DF9">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0.5</w:t>
            </w:r>
          </w:p>
        </w:tc>
        <w:tc>
          <w:tcPr>
            <w:tcW w:w="717" w:type="pct"/>
            <w:shd w:val="clear" w:color="auto" w:fill="auto"/>
            <w:vAlign w:val="center"/>
          </w:tcPr>
          <w:p w14:paraId="175B2C8E">
            <w:pPr>
              <w:adjustRightInd w:val="0"/>
              <w:spacing w:line="252" w:lineRule="auto"/>
              <w:jc w:val="center"/>
              <w:rPr>
                <w:rFonts w:ascii="仿宋_GB2312"/>
                <w:sz w:val="21"/>
                <w:szCs w:val="21"/>
              </w:rPr>
            </w:pPr>
            <w:r>
              <w:rPr>
                <w:rFonts w:hint="eastAsia" w:ascii="仿宋_GB2312"/>
                <w:sz w:val="21"/>
                <w:szCs w:val="21"/>
              </w:rPr>
              <w:t>长兴县城市建设</w:t>
            </w:r>
          </w:p>
          <w:p w14:paraId="45969473">
            <w:pPr>
              <w:adjustRightInd w:val="0"/>
              <w:spacing w:line="252" w:lineRule="auto"/>
              <w:jc w:val="center"/>
              <w:rPr>
                <w:rFonts w:ascii="仿宋_GB2312"/>
                <w:sz w:val="21"/>
                <w:szCs w:val="21"/>
              </w:rPr>
            </w:pPr>
            <w:r>
              <w:rPr>
                <w:rFonts w:hint="eastAsia" w:ascii="仿宋_GB2312"/>
                <w:sz w:val="21"/>
                <w:szCs w:val="21"/>
              </w:rPr>
              <w:t>发展管理中心</w:t>
            </w:r>
          </w:p>
        </w:tc>
        <w:tc>
          <w:tcPr>
            <w:tcW w:w="398" w:type="pct"/>
            <w:shd w:val="clear" w:color="auto" w:fill="auto"/>
            <w:vAlign w:val="center"/>
          </w:tcPr>
          <w:p w14:paraId="76BA1313">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6D9E7E8E">
            <w:pPr>
              <w:adjustRightInd w:val="0"/>
              <w:spacing w:line="252" w:lineRule="auto"/>
              <w:jc w:val="center"/>
              <w:rPr>
                <w:rFonts w:ascii="仿宋_GB2312"/>
                <w:sz w:val="21"/>
                <w:szCs w:val="21"/>
              </w:rPr>
            </w:pPr>
            <w:r>
              <w:rPr>
                <w:rFonts w:hint="eastAsia" w:ascii="仿宋_GB2312"/>
                <w:sz w:val="21"/>
                <w:szCs w:val="21"/>
              </w:rPr>
              <w:t>续建</w:t>
            </w:r>
          </w:p>
        </w:tc>
      </w:tr>
      <w:tr w14:paraId="38A9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4FE00DB">
            <w:pPr>
              <w:adjustRightInd w:val="0"/>
              <w:spacing w:line="252" w:lineRule="auto"/>
              <w:jc w:val="center"/>
              <w:rPr>
                <w:rFonts w:ascii="仿宋_GB2312"/>
                <w:sz w:val="21"/>
                <w:szCs w:val="21"/>
              </w:rPr>
            </w:pPr>
            <w:r>
              <w:rPr>
                <w:rFonts w:hint="eastAsia" w:ascii="仿宋_GB2312"/>
                <w:sz w:val="21"/>
                <w:szCs w:val="21"/>
              </w:rPr>
              <w:t>41</w:t>
            </w:r>
          </w:p>
        </w:tc>
        <w:tc>
          <w:tcPr>
            <w:tcW w:w="709" w:type="pct"/>
            <w:shd w:val="clear" w:color="auto" w:fill="auto"/>
            <w:vAlign w:val="center"/>
          </w:tcPr>
          <w:p w14:paraId="34B0E644">
            <w:pPr>
              <w:adjustRightInd w:val="0"/>
              <w:spacing w:line="252" w:lineRule="auto"/>
              <w:jc w:val="center"/>
              <w:rPr>
                <w:rFonts w:ascii="仿宋_GB2312"/>
                <w:sz w:val="21"/>
                <w:szCs w:val="21"/>
              </w:rPr>
            </w:pPr>
            <w:r>
              <w:rPr>
                <w:rFonts w:hint="eastAsia" w:ascii="仿宋_GB2312"/>
                <w:sz w:val="21"/>
                <w:szCs w:val="21"/>
              </w:rPr>
              <w:t>危险废物资源化综合利用环保类项目工程包</w:t>
            </w:r>
          </w:p>
        </w:tc>
        <w:tc>
          <w:tcPr>
            <w:tcW w:w="1394" w:type="pct"/>
            <w:shd w:val="clear" w:color="auto" w:fill="auto"/>
            <w:vAlign w:val="center"/>
          </w:tcPr>
          <w:p w14:paraId="14882368">
            <w:pPr>
              <w:adjustRightInd w:val="0"/>
              <w:spacing w:line="252" w:lineRule="auto"/>
              <w:rPr>
                <w:rFonts w:ascii="仿宋_GB2312"/>
                <w:sz w:val="21"/>
                <w:szCs w:val="21"/>
              </w:rPr>
            </w:pPr>
            <w:r>
              <w:rPr>
                <w:rFonts w:hint="eastAsia" w:ascii="仿宋_GB2312"/>
                <w:sz w:val="21"/>
                <w:szCs w:val="21"/>
              </w:rPr>
              <w:t>1.湖州明境环保科技危险废物资源化综合利用项目：9万吨/年危废处置；2.浙江天能资源循环科技废弃资源清洁化再生项目：含油废物综合利用能力9万吨/年，其中废矿物油3万吨/年；3.废有机溶剂1万吨/年、废乳化液2万吨/年；废滤芯、油泥3万吨/年；废活性炭资源化综合利用项目：废活性炭资源化综合利用能力3万吨/年；4.生活垃圾焚烧发电厂扩建工程：该项目拟征用焚烧厂南面部分纺织厂房(约30亩左右)，拟扩建1台日处理量为700吨（含污泥和一般工业固废）的垃圾焚烧炉和1台15MW抽凝式汽轮机组，配1台18MW发电机组。</w:t>
            </w:r>
          </w:p>
        </w:tc>
        <w:tc>
          <w:tcPr>
            <w:tcW w:w="357" w:type="pct"/>
            <w:shd w:val="clear" w:color="auto" w:fill="auto"/>
            <w:vAlign w:val="center"/>
          </w:tcPr>
          <w:p w14:paraId="01937F01">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2020-2025</w:t>
            </w:r>
          </w:p>
        </w:tc>
        <w:tc>
          <w:tcPr>
            <w:tcW w:w="327" w:type="pct"/>
            <w:shd w:val="clear" w:color="auto" w:fill="auto"/>
            <w:vAlign w:val="center"/>
          </w:tcPr>
          <w:p w14:paraId="38DBD1E4">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9.57</w:t>
            </w:r>
          </w:p>
        </w:tc>
        <w:tc>
          <w:tcPr>
            <w:tcW w:w="472" w:type="pct"/>
            <w:shd w:val="clear" w:color="auto" w:fill="auto"/>
            <w:vAlign w:val="center"/>
          </w:tcPr>
          <w:p w14:paraId="604FAD40">
            <w:pPr>
              <w:adjustRightInd w:val="0"/>
              <w:spacing w:line="252" w:lineRule="auto"/>
              <w:jc w:val="center"/>
              <w:rPr>
                <w:rFonts w:ascii="仿宋_GB2312"/>
                <w:snapToGrid w:val="0"/>
                <w:spacing w:val="-16"/>
                <w:sz w:val="21"/>
                <w:szCs w:val="21"/>
              </w:rPr>
            </w:pPr>
            <w:r>
              <w:rPr>
                <w:rFonts w:hint="eastAsia" w:ascii="仿宋_GB2312"/>
                <w:snapToGrid w:val="0"/>
                <w:spacing w:val="-16"/>
                <w:sz w:val="21"/>
                <w:szCs w:val="21"/>
              </w:rPr>
              <w:t>8.57</w:t>
            </w:r>
          </w:p>
        </w:tc>
        <w:tc>
          <w:tcPr>
            <w:tcW w:w="717" w:type="pct"/>
            <w:shd w:val="clear" w:color="auto" w:fill="auto"/>
            <w:vAlign w:val="center"/>
          </w:tcPr>
          <w:p w14:paraId="4F62FD2F">
            <w:pPr>
              <w:adjustRightInd w:val="0"/>
              <w:spacing w:line="252" w:lineRule="auto"/>
              <w:jc w:val="center"/>
              <w:rPr>
                <w:rFonts w:ascii="仿宋_GB2312"/>
                <w:sz w:val="21"/>
                <w:szCs w:val="21"/>
              </w:rPr>
            </w:pPr>
            <w:r>
              <w:rPr>
                <w:rFonts w:hint="eastAsia" w:ascii="仿宋_GB2312"/>
                <w:sz w:val="21"/>
                <w:szCs w:val="21"/>
              </w:rPr>
              <w:t>湖州明境环保科技有限公司</w:t>
            </w:r>
          </w:p>
          <w:p w14:paraId="3424D582">
            <w:pPr>
              <w:adjustRightInd w:val="0"/>
              <w:spacing w:line="252" w:lineRule="auto"/>
              <w:jc w:val="center"/>
              <w:rPr>
                <w:rFonts w:ascii="仿宋_GB2312"/>
                <w:sz w:val="21"/>
                <w:szCs w:val="21"/>
              </w:rPr>
            </w:pPr>
            <w:r>
              <w:rPr>
                <w:rFonts w:hint="eastAsia" w:ascii="仿宋_GB2312"/>
                <w:sz w:val="21"/>
                <w:szCs w:val="21"/>
              </w:rPr>
              <w:t>浙江天能资源循环科技有限公司</w:t>
            </w:r>
          </w:p>
          <w:p w14:paraId="487655CB">
            <w:pPr>
              <w:adjustRightInd w:val="0"/>
              <w:spacing w:line="252" w:lineRule="auto"/>
              <w:jc w:val="center"/>
              <w:rPr>
                <w:rFonts w:ascii="仿宋_GB2312"/>
                <w:sz w:val="21"/>
                <w:szCs w:val="21"/>
              </w:rPr>
            </w:pPr>
            <w:r>
              <w:rPr>
                <w:rFonts w:hint="eastAsia" w:ascii="仿宋_GB2312"/>
                <w:sz w:val="21"/>
                <w:szCs w:val="21"/>
              </w:rPr>
              <w:t>长兴新城环保有限公司</w:t>
            </w:r>
          </w:p>
        </w:tc>
        <w:tc>
          <w:tcPr>
            <w:tcW w:w="398" w:type="pct"/>
            <w:shd w:val="clear" w:color="auto" w:fill="auto"/>
            <w:vAlign w:val="center"/>
          </w:tcPr>
          <w:p w14:paraId="22B03F73">
            <w:pPr>
              <w:adjustRightInd w:val="0"/>
              <w:spacing w:line="252"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4CA4FD9">
            <w:pPr>
              <w:adjustRightInd w:val="0"/>
              <w:spacing w:line="252" w:lineRule="auto"/>
              <w:jc w:val="center"/>
              <w:rPr>
                <w:rFonts w:ascii="仿宋_GB2312"/>
                <w:sz w:val="21"/>
                <w:szCs w:val="21"/>
              </w:rPr>
            </w:pPr>
            <w:r>
              <w:rPr>
                <w:rFonts w:hint="eastAsia" w:ascii="仿宋_GB2312"/>
                <w:sz w:val="21"/>
                <w:szCs w:val="21"/>
              </w:rPr>
              <w:t>续建</w:t>
            </w:r>
          </w:p>
        </w:tc>
      </w:tr>
      <w:tr w14:paraId="11CA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A44D35E">
            <w:pPr>
              <w:adjustRightInd w:val="0"/>
              <w:spacing w:line="240" w:lineRule="auto"/>
              <w:jc w:val="center"/>
              <w:rPr>
                <w:rFonts w:ascii="仿宋_GB2312"/>
                <w:sz w:val="21"/>
                <w:szCs w:val="21"/>
              </w:rPr>
            </w:pPr>
            <w:r>
              <w:rPr>
                <w:rFonts w:hint="eastAsia" w:ascii="仿宋_GB2312"/>
                <w:sz w:val="21"/>
                <w:szCs w:val="21"/>
              </w:rPr>
              <w:t>42</w:t>
            </w:r>
          </w:p>
        </w:tc>
        <w:tc>
          <w:tcPr>
            <w:tcW w:w="709" w:type="pct"/>
            <w:shd w:val="clear" w:color="auto" w:fill="auto"/>
            <w:vAlign w:val="center"/>
          </w:tcPr>
          <w:p w14:paraId="0124E61E">
            <w:pPr>
              <w:adjustRightInd w:val="0"/>
              <w:spacing w:line="240" w:lineRule="auto"/>
              <w:jc w:val="center"/>
              <w:rPr>
                <w:rFonts w:ascii="仿宋_GB2312"/>
                <w:sz w:val="21"/>
                <w:szCs w:val="21"/>
              </w:rPr>
            </w:pPr>
            <w:r>
              <w:rPr>
                <w:rFonts w:hint="eastAsia" w:ascii="仿宋_GB2312"/>
                <w:sz w:val="21"/>
                <w:szCs w:val="21"/>
              </w:rPr>
              <w:t>县级安息堂</w:t>
            </w:r>
          </w:p>
        </w:tc>
        <w:tc>
          <w:tcPr>
            <w:tcW w:w="1394" w:type="pct"/>
            <w:shd w:val="clear" w:color="auto" w:fill="auto"/>
            <w:vAlign w:val="center"/>
          </w:tcPr>
          <w:p w14:paraId="5C11A372">
            <w:pPr>
              <w:adjustRightInd w:val="0"/>
              <w:spacing w:line="240" w:lineRule="auto"/>
              <w:rPr>
                <w:rFonts w:ascii="仿宋_GB2312"/>
                <w:sz w:val="21"/>
                <w:szCs w:val="21"/>
              </w:rPr>
            </w:pPr>
            <w:r>
              <w:rPr>
                <w:rFonts w:hint="eastAsia" w:ascii="仿宋_GB2312"/>
                <w:sz w:val="21"/>
                <w:szCs w:val="21"/>
              </w:rPr>
              <w:t>县级安息堂覆盖雉城街道（含原长广集团落户人员）、龙山街道和小浦镇3个乡镇（街道）骨灰存放需要，规划建设骨灰存放格位81250个，占地30亩。</w:t>
            </w:r>
          </w:p>
        </w:tc>
        <w:tc>
          <w:tcPr>
            <w:tcW w:w="357" w:type="pct"/>
            <w:shd w:val="clear" w:color="auto" w:fill="auto"/>
            <w:vAlign w:val="center"/>
          </w:tcPr>
          <w:p w14:paraId="144B943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2022-2024</w:t>
            </w:r>
          </w:p>
        </w:tc>
        <w:tc>
          <w:tcPr>
            <w:tcW w:w="327" w:type="pct"/>
            <w:shd w:val="clear" w:color="auto" w:fill="auto"/>
            <w:vAlign w:val="center"/>
          </w:tcPr>
          <w:p w14:paraId="76DEF190">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1.025</w:t>
            </w:r>
          </w:p>
        </w:tc>
        <w:tc>
          <w:tcPr>
            <w:tcW w:w="472" w:type="pct"/>
            <w:shd w:val="clear" w:color="auto" w:fill="auto"/>
            <w:vAlign w:val="center"/>
          </w:tcPr>
          <w:p w14:paraId="45A9654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1.025</w:t>
            </w:r>
          </w:p>
        </w:tc>
        <w:tc>
          <w:tcPr>
            <w:tcW w:w="717" w:type="pct"/>
            <w:shd w:val="clear" w:color="auto" w:fill="auto"/>
            <w:vAlign w:val="center"/>
          </w:tcPr>
          <w:p w14:paraId="067F66BA">
            <w:pPr>
              <w:adjustRightInd w:val="0"/>
              <w:spacing w:line="240" w:lineRule="auto"/>
              <w:jc w:val="center"/>
              <w:rPr>
                <w:rFonts w:ascii="仿宋_GB2312"/>
                <w:sz w:val="21"/>
                <w:szCs w:val="21"/>
              </w:rPr>
            </w:pPr>
            <w:r>
              <w:rPr>
                <w:rFonts w:hint="eastAsia" w:ascii="仿宋_GB2312"/>
                <w:sz w:val="21"/>
                <w:szCs w:val="21"/>
              </w:rPr>
              <w:t>县民政局</w:t>
            </w:r>
          </w:p>
        </w:tc>
        <w:tc>
          <w:tcPr>
            <w:tcW w:w="398" w:type="pct"/>
            <w:shd w:val="clear" w:color="auto" w:fill="auto"/>
            <w:vAlign w:val="center"/>
          </w:tcPr>
          <w:p w14:paraId="40648710">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27C9F756">
            <w:pPr>
              <w:adjustRightInd w:val="0"/>
              <w:spacing w:line="240" w:lineRule="auto"/>
              <w:jc w:val="center"/>
              <w:rPr>
                <w:rFonts w:ascii="仿宋_GB2312"/>
                <w:sz w:val="21"/>
                <w:szCs w:val="21"/>
              </w:rPr>
            </w:pPr>
            <w:r>
              <w:rPr>
                <w:rFonts w:hint="eastAsia" w:ascii="仿宋_GB2312"/>
                <w:sz w:val="21"/>
                <w:szCs w:val="21"/>
              </w:rPr>
              <w:t>新建</w:t>
            </w:r>
          </w:p>
        </w:tc>
      </w:tr>
      <w:tr w14:paraId="47DA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6F3B4833">
            <w:pPr>
              <w:adjustRightInd w:val="0"/>
              <w:spacing w:line="240" w:lineRule="auto"/>
              <w:jc w:val="center"/>
              <w:rPr>
                <w:rFonts w:ascii="仿宋_GB2312"/>
                <w:sz w:val="21"/>
                <w:szCs w:val="21"/>
              </w:rPr>
            </w:pPr>
            <w:r>
              <w:rPr>
                <w:rFonts w:hint="eastAsia" w:ascii="仿宋_GB2312"/>
                <w:sz w:val="21"/>
                <w:szCs w:val="21"/>
              </w:rPr>
              <w:t>43</w:t>
            </w:r>
          </w:p>
        </w:tc>
        <w:tc>
          <w:tcPr>
            <w:tcW w:w="709" w:type="pct"/>
            <w:shd w:val="clear" w:color="auto" w:fill="auto"/>
            <w:vAlign w:val="center"/>
          </w:tcPr>
          <w:p w14:paraId="7B18A828">
            <w:pPr>
              <w:adjustRightInd w:val="0"/>
              <w:spacing w:line="240" w:lineRule="auto"/>
              <w:jc w:val="center"/>
              <w:rPr>
                <w:rFonts w:ascii="仿宋_GB2312"/>
                <w:sz w:val="21"/>
                <w:szCs w:val="21"/>
              </w:rPr>
            </w:pPr>
            <w:r>
              <w:rPr>
                <w:rFonts w:hint="eastAsia" w:ascii="仿宋_GB2312"/>
                <w:sz w:val="21"/>
                <w:szCs w:val="21"/>
              </w:rPr>
              <w:t>新时代美丽城镇</w:t>
            </w:r>
          </w:p>
          <w:p w14:paraId="012B24B6">
            <w:pPr>
              <w:adjustRightInd w:val="0"/>
              <w:spacing w:line="240" w:lineRule="auto"/>
              <w:jc w:val="center"/>
              <w:rPr>
                <w:rFonts w:ascii="仿宋_GB2312"/>
                <w:sz w:val="21"/>
                <w:szCs w:val="21"/>
              </w:rPr>
            </w:pPr>
            <w:r>
              <w:rPr>
                <w:rFonts w:hint="eastAsia" w:ascii="仿宋_GB2312"/>
                <w:sz w:val="21"/>
                <w:szCs w:val="21"/>
              </w:rPr>
              <w:t>建设工程</w:t>
            </w:r>
          </w:p>
        </w:tc>
        <w:tc>
          <w:tcPr>
            <w:tcW w:w="1394" w:type="pct"/>
            <w:shd w:val="clear" w:color="auto" w:fill="auto"/>
            <w:vAlign w:val="center"/>
          </w:tcPr>
          <w:p w14:paraId="1FCDA36A">
            <w:pPr>
              <w:adjustRightInd w:val="0"/>
              <w:spacing w:line="240" w:lineRule="auto"/>
              <w:rPr>
                <w:rFonts w:ascii="仿宋_GB2312"/>
                <w:sz w:val="21"/>
                <w:szCs w:val="21"/>
              </w:rPr>
            </w:pPr>
            <w:r>
              <w:rPr>
                <w:rFonts w:hint="eastAsia" w:ascii="仿宋_GB2312"/>
                <w:sz w:val="21"/>
                <w:szCs w:val="21"/>
              </w:rPr>
              <w:t>包括环境美项目建设、生活美项目建设、产业美项目建设、人文美项目建设、治理美项目建设。</w:t>
            </w:r>
          </w:p>
        </w:tc>
        <w:tc>
          <w:tcPr>
            <w:tcW w:w="357" w:type="pct"/>
            <w:shd w:val="clear" w:color="auto" w:fill="auto"/>
            <w:vAlign w:val="center"/>
          </w:tcPr>
          <w:p w14:paraId="1D2D1DA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2020-2022</w:t>
            </w:r>
          </w:p>
        </w:tc>
        <w:tc>
          <w:tcPr>
            <w:tcW w:w="327" w:type="pct"/>
            <w:shd w:val="clear" w:color="auto" w:fill="auto"/>
            <w:vAlign w:val="center"/>
          </w:tcPr>
          <w:p w14:paraId="246FA280">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96.3223</w:t>
            </w:r>
          </w:p>
        </w:tc>
        <w:tc>
          <w:tcPr>
            <w:tcW w:w="472" w:type="pct"/>
            <w:shd w:val="clear" w:color="auto" w:fill="auto"/>
            <w:vAlign w:val="center"/>
          </w:tcPr>
          <w:p w14:paraId="2936083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26.1153</w:t>
            </w:r>
          </w:p>
        </w:tc>
        <w:tc>
          <w:tcPr>
            <w:tcW w:w="717" w:type="pct"/>
            <w:shd w:val="clear" w:color="auto" w:fill="auto"/>
            <w:vAlign w:val="center"/>
          </w:tcPr>
          <w:p w14:paraId="36C5D6C3">
            <w:pPr>
              <w:adjustRightInd w:val="0"/>
              <w:spacing w:line="240" w:lineRule="auto"/>
              <w:jc w:val="center"/>
              <w:rPr>
                <w:rFonts w:ascii="仿宋_GB2312"/>
                <w:sz w:val="21"/>
                <w:szCs w:val="21"/>
              </w:rPr>
            </w:pPr>
            <w:r>
              <w:rPr>
                <w:rFonts w:hint="eastAsia" w:ascii="仿宋_GB2312"/>
                <w:sz w:val="21"/>
                <w:szCs w:val="21"/>
              </w:rPr>
              <w:t>县建设局</w:t>
            </w:r>
          </w:p>
        </w:tc>
        <w:tc>
          <w:tcPr>
            <w:tcW w:w="398" w:type="pct"/>
            <w:shd w:val="clear" w:color="auto" w:fill="auto"/>
            <w:vAlign w:val="center"/>
          </w:tcPr>
          <w:p w14:paraId="40158A2A">
            <w:pPr>
              <w:adjustRightInd w:val="0"/>
              <w:spacing w:line="240" w:lineRule="auto"/>
              <w:jc w:val="center"/>
              <w:rPr>
                <w:rFonts w:ascii="仿宋_GB2312"/>
                <w:sz w:val="21"/>
                <w:szCs w:val="21"/>
              </w:rPr>
            </w:pPr>
            <w:r>
              <w:rPr>
                <w:rFonts w:hint="eastAsia" w:ascii="仿宋_GB2312"/>
                <w:sz w:val="21"/>
                <w:szCs w:val="21"/>
              </w:rPr>
              <w:t>谋划类、实施类</w:t>
            </w:r>
          </w:p>
        </w:tc>
        <w:tc>
          <w:tcPr>
            <w:tcW w:w="440" w:type="pct"/>
            <w:shd w:val="clear" w:color="auto" w:fill="auto"/>
            <w:vAlign w:val="center"/>
          </w:tcPr>
          <w:p w14:paraId="2D94A301">
            <w:pPr>
              <w:adjustRightInd w:val="0"/>
              <w:spacing w:line="240" w:lineRule="auto"/>
              <w:jc w:val="center"/>
              <w:rPr>
                <w:rFonts w:ascii="仿宋_GB2312"/>
                <w:sz w:val="21"/>
                <w:szCs w:val="21"/>
              </w:rPr>
            </w:pPr>
            <w:r>
              <w:rPr>
                <w:rFonts w:hint="eastAsia" w:ascii="仿宋_GB2312"/>
                <w:sz w:val="21"/>
                <w:szCs w:val="21"/>
              </w:rPr>
              <w:t>新建、续建</w:t>
            </w:r>
          </w:p>
        </w:tc>
      </w:tr>
      <w:tr w14:paraId="1FCE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66E2F80">
            <w:pPr>
              <w:adjustRightInd w:val="0"/>
              <w:spacing w:line="240" w:lineRule="auto"/>
              <w:jc w:val="center"/>
              <w:rPr>
                <w:rFonts w:ascii="仿宋_GB2312"/>
                <w:sz w:val="21"/>
                <w:szCs w:val="21"/>
              </w:rPr>
            </w:pPr>
            <w:r>
              <w:rPr>
                <w:rFonts w:hint="eastAsia" w:ascii="仿宋_GB2312"/>
                <w:sz w:val="21"/>
                <w:szCs w:val="21"/>
              </w:rPr>
              <w:t>44</w:t>
            </w:r>
          </w:p>
        </w:tc>
        <w:tc>
          <w:tcPr>
            <w:tcW w:w="709" w:type="pct"/>
            <w:shd w:val="clear" w:color="auto" w:fill="auto"/>
            <w:vAlign w:val="center"/>
          </w:tcPr>
          <w:p w14:paraId="5C5C31AE">
            <w:pPr>
              <w:adjustRightInd w:val="0"/>
              <w:spacing w:line="240" w:lineRule="auto"/>
              <w:jc w:val="center"/>
              <w:rPr>
                <w:rFonts w:ascii="仿宋_GB2312"/>
                <w:sz w:val="21"/>
                <w:szCs w:val="21"/>
              </w:rPr>
            </w:pPr>
            <w:r>
              <w:rPr>
                <w:rFonts w:hint="eastAsia" w:ascii="仿宋_GB2312"/>
                <w:sz w:val="21"/>
                <w:szCs w:val="21"/>
              </w:rPr>
              <w:t>中心城区老旧小区改造项目</w:t>
            </w:r>
          </w:p>
        </w:tc>
        <w:tc>
          <w:tcPr>
            <w:tcW w:w="1394" w:type="pct"/>
            <w:shd w:val="clear" w:color="auto" w:fill="auto"/>
            <w:vAlign w:val="center"/>
          </w:tcPr>
          <w:p w14:paraId="71E15EB8">
            <w:pPr>
              <w:adjustRightInd w:val="0"/>
              <w:spacing w:line="240" w:lineRule="auto"/>
              <w:rPr>
                <w:rFonts w:ascii="仿宋_GB2312"/>
                <w:sz w:val="21"/>
                <w:szCs w:val="21"/>
              </w:rPr>
            </w:pPr>
            <w:r>
              <w:rPr>
                <w:rFonts w:hint="eastAsia" w:ascii="仿宋_GB2312"/>
                <w:sz w:val="21"/>
                <w:szCs w:val="21"/>
              </w:rPr>
              <w:t>对中心城区56个老旧小区进行基础设施改造提升。</w:t>
            </w:r>
          </w:p>
        </w:tc>
        <w:tc>
          <w:tcPr>
            <w:tcW w:w="357" w:type="pct"/>
            <w:shd w:val="clear" w:color="auto" w:fill="auto"/>
            <w:vAlign w:val="center"/>
          </w:tcPr>
          <w:p w14:paraId="59B2DD50">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2020-2025</w:t>
            </w:r>
          </w:p>
        </w:tc>
        <w:tc>
          <w:tcPr>
            <w:tcW w:w="327" w:type="pct"/>
            <w:shd w:val="clear" w:color="auto" w:fill="auto"/>
            <w:vAlign w:val="center"/>
          </w:tcPr>
          <w:p w14:paraId="2134624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2.847</w:t>
            </w:r>
          </w:p>
        </w:tc>
        <w:tc>
          <w:tcPr>
            <w:tcW w:w="472" w:type="pct"/>
            <w:shd w:val="clear" w:color="auto" w:fill="auto"/>
            <w:vAlign w:val="center"/>
          </w:tcPr>
          <w:p w14:paraId="5FF83D7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2.4565</w:t>
            </w:r>
          </w:p>
        </w:tc>
        <w:tc>
          <w:tcPr>
            <w:tcW w:w="717" w:type="pct"/>
            <w:shd w:val="clear" w:color="auto" w:fill="auto"/>
            <w:vAlign w:val="center"/>
          </w:tcPr>
          <w:p w14:paraId="4C5C5990">
            <w:pPr>
              <w:adjustRightInd w:val="0"/>
              <w:spacing w:line="240" w:lineRule="auto"/>
              <w:jc w:val="center"/>
              <w:rPr>
                <w:rFonts w:ascii="仿宋_GB2312"/>
                <w:sz w:val="21"/>
                <w:szCs w:val="21"/>
              </w:rPr>
            </w:pPr>
            <w:r>
              <w:rPr>
                <w:rFonts w:hint="eastAsia" w:ascii="仿宋_GB2312"/>
                <w:sz w:val="21"/>
                <w:szCs w:val="21"/>
              </w:rPr>
              <w:t>雉城街道、龙山街道</w:t>
            </w:r>
          </w:p>
        </w:tc>
        <w:tc>
          <w:tcPr>
            <w:tcW w:w="398" w:type="pct"/>
            <w:shd w:val="clear" w:color="auto" w:fill="auto"/>
            <w:vAlign w:val="center"/>
          </w:tcPr>
          <w:p w14:paraId="39D509D3">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2DFBD18D">
            <w:pPr>
              <w:adjustRightInd w:val="0"/>
              <w:spacing w:line="240" w:lineRule="auto"/>
              <w:jc w:val="center"/>
              <w:rPr>
                <w:rFonts w:ascii="仿宋_GB2312"/>
                <w:sz w:val="21"/>
                <w:szCs w:val="21"/>
              </w:rPr>
            </w:pPr>
            <w:r>
              <w:rPr>
                <w:rFonts w:hint="eastAsia" w:ascii="仿宋_GB2312"/>
                <w:sz w:val="21"/>
                <w:szCs w:val="21"/>
              </w:rPr>
              <w:t>续建</w:t>
            </w:r>
          </w:p>
        </w:tc>
      </w:tr>
      <w:tr w14:paraId="6BA2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9EF6EB1">
            <w:pPr>
              <w:adjustRightInd w:val="0"/>
              <w:spacing w:line="240" w:lineRule="auto"/>
              <w:jc w:val="center"/>
              <w:rPr>
                <w:rFonts w:ascii="仿宋_GB2312"/>
                <w:sz w:val="21"/>
                <w:szCs w:val="21"/>
              </w:rPr>
            </w:pPr>
            <w:r>
              <w:rPr>
                <w:rFonts w:hint="eastAsia" w:ascii="仿宋_GB2312"/>
                <w:sz w:val="21"/>
                <w:szCs w:val="21"/>
              </w:rPr>
              <w:t>45</w:t>
            </w:r>
          </w:p>
        </w:tc>
        <w:tc>
          <w:tcPr>
            <w:tcW w:w="709" w:type="pct"/>
            <w:shd w:val="clear" w:color="auto" w:fill="auto"/>
            <w:vAlign w:val="center"/>
          </w:tcPr>
          <w:p w14:paraId="681467F2">
            <w:pPr>
              <w:adjustRightInd w:val="0"/>
              <w:spacing w:line="240" w:lineRule="auto"/>
              <w:jc w:val="center"/>
              <w:rPr>
                <w:rFonts w:ascii="仿宋_GB2312"/>
                <w:sz w:val="21"/>
                <w:szCs w:val="21"/>
              </w:rPr>
            </w:pPr>
            <w:r>
              <w:rPr>
                <w:rFonts w:hint="eastAsia" w:ascii="仿宋_GB2312"/>
                <w:sz w:val="21"/>
                <w:szCs w:val="21"/>
              </w:rPr>
              <w:t>农村生活污水处理设施新建、改造</w:t>
            </w:r>
          </w:p>
        </w:tc>
        <w:tc>
          <w:tcPr>
            <w:tcW w:w="1394" w:type="pct"/>
            <w:shd w:val="clear" w:color="auto" w:fill="auto"/>
            <w:vAlign w:val="center"/>
          </w:tcPr>
          <w:p w14:paraId="078D1AB8">
            <w:pPr>
              <w:adjustRightInd w:val="0"/>
              <w:spacing w:line="240" w:lineRule="auto"/>
              <w:rPr>
                <w:rFonts w:ascii="仿宋_GB2312"/>
                <w:sz w:val="21"/>
                <w:szCs w:val="21"/>
              </w:rPr>
            </w:pPr>
            <w:r>
              <w:rPr>
                <w:rFonts w:hint="eastAsia" w:ascii="仿宋_GB2312"/>
                <w:sz w:val="21"/>
                <w:szCs w:val="21"/>
              </w:rPr>
              <w:t>新增农村生活污水治理受益农户8500户，建设相关污水管网配套设施。改造农村生活污水处理终端50座及相关污水管网配套设施。</w:t>
            </w:r>
          </w:p>
        </w:tc>
        <w:tc>
          <w:tcPr>
            <w:tcW w:w="357" w:type="pct"/>
            <w:shd w:val="clear" w:color="auto" w:fill="auto"/>
            <w:vAlign w:val="center"/>
          </w:tcPr>
          <w:p w14:paraId="5122A4B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051721C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1.35</w:t>
            </w:r>
          </w:p>
        </w:tc>
        <w:tc>
          <w:tcPr>
            <w:tcW w:w="472" w:type="pct"/>
            <w:shd w:val="clear" w:color="auto" w:fill="auto"/>
            <w:vAlign w:val="center"/>
          </w:tcPr>
          <w:p w14:paraId="5E71B79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1.35</w:t>
            </w:r>
          </w:p>
        </w:tc>
        <w:tc>
          <w:tcPr>
            <w:tcW w:w="717" w:type="pct"/>
            <w:shd w:val="clear" w:color="auto" w:fill="auto"/>
            <w:vAlign w:val="center"/>
          </w:tcPr>
          <w:p w14:paraId="67929C0C">
            <w:pPr>
              <w:adjustRightInd w:val="0"/>
              <w:spacing w:line="240" w:lineRule="auto"/>
              <w:jc w:val="center"/>
              <w:rPr>
                <w:rFonts w:ascii="仿宋_GB2312"/>
                <w:sz w:val="21"/>
                <w:szCs w:val="21"/>
              </w:rPr>
            </w:pPr>
            <w:r>
              <w:rPr>
                <w:rFonts w:hint="eastAsia" w:ascii="仿宋_GB2312"/>
                <w:sz w:val="21"/>
                <w:szCs w:val="21"/>
              </w:rPr>
              <w:t>县建设局、</w:t>
            </w:r>
          </w:p>
          <w:p w14:paraId="7E9D3373">
            <w:pPr>
              <w:adjustRightInd w:val="0"/>
              <w:spacing w:line="240" w:lineRule="auto"/>
              <w:jc w:val="center"/>
              <w:rPr>
                <w:rFonts w:ascii="仿宋_GB2312"/>
                <w:sz w:val="21"/>
                <w:szCs w:val="21"/>
              </w:rPr>
            </w:pPr>
            <w:r>
              <w:rPr>
                <w:rFonts w:hint="eastAsia" w:ascii="仿宋_GB2312"/>
                <w:sz w:val="21"/>
                <w:szCs w:val="21"/>
              </w:rPr>
              <w:t>各乡镇（街道、园区）</w:t>
            </w:r>
          </w:p>
        </w:tc>
        <w:tc>
          <w:tcPr>
            <w:tcW w:w="398" w:type="pct"/>
            <w:shd w:val="clear" w:color="auto" w:fill="auto"/>
            <w:vAlign w:val="center"/>
          </w:tcPr>
          <w:p w14:paraId="13C58DE8">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586ECA3B">
            <w:pPr>
              <w:adjustRightInd w:val="0"/>
              <w:spacing w:line="240" w:lineRule="auto"/>
              <w:jc w:val="center"/>
              <w:rPr>
                <w:rFonts w:ascii="仿宋_GB2312"/>
                <w:sz w:val="21"/>
                <w:szCs w:val="21"/>
              </w:rPr>
            </w:pPr>
            <w:r>
              <w:rPr>
                <w:rFonts w:hint="eastAsia" w:ascii="仿宋_GB2312"/>
                <w:sz w:val="21"/>
                <w:szCs w:val="21"/>
              </w:rPr>
              <w:t>新建</w:t>
            </w:r>
          </w:p>
        </w:tc>
      </w:tr>
      <w:tr w14:paraId="27CD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6E3A4EDE">
            <w:pPr>
              <w:adjustRightInd w:val="0"/>
              <w:spacing w:line="240" w:lineRule="auto"/>
              <w:jc w:val="center"/>
              <w:rPr>
                <w:rFonts w:ascii="仿宋_GB2312"/>
                <w:sz w:val="21"/>
                <w:szCs w:val="21"/>
              </w:rPr>
            </w:pPr>
            <w:r>
              <w:rPr>
                <w:rFonts w:hint="eastAsia" w:ascii="仿宋_GB2312"/>
                <w:sz w:val="21"/>
                <w:szCs w:val="21"/>
              </w:rPr>
              <w:t>46</w:t>
            </w:r>
          </w:p>
        </w:tc>
        <w:tc>
          <w:tcPr>
            <w:tcW w:w="709" w:type="pct"/>
            <w:shd w:val="clear" w:color="auto" w:fill="auto"/>
            <w:vAlign w:val="center"/>
          </w:tcPr>
          <w:p w14:paraId="1A298009">
            <w:pPr>
              <w:adjustRightInd w:val="0"/>
              <w:spacing w:line="240" w:lineRule="auto"/>
              <w:jc w:val="center"/>
              <w:rPr>
                <w:rFonts w:ascii="仿宋_GB2312"/>
                <w:sz w:val="21"/>
                <w:szCs w:val="21"/>
              </w:rPr>
            </w:pPr>
            <w:r>
              <w:rPr>
                <w:rFonts w:hint="eastAsia" w:ascii="仿宋_GB2312"/>
                <w:sz w:val="21"/>
                <w:szCs w:val="21"/>
              </w:rPr>
              <w:t>深长污水厂扩建及进水第二通道等配套管网工程</w:t>
            </w:r>
          </w:p>
        </w:tc>
        <w:tc>
          <w:tcPr>
            <w:tcW w:w="1394" w:type="pct"/>
            <w:shd w:val="clear" w:color="auto" w:fill="auto"/>
            <w:vAlign w:val="center"/>
          </w:tcPr>
          <w:p w14:paraId="3CA8BCBB">
            <w:pPr>
              <w:adjustRightInd w:val="0"/>
              <w:spacing w:line="240" w:lineRule="auto"/>
              <w:rPr>
                <w:rFonts w:ascii="仿宋_GB2312"/>
                <w:sz w:val="21"/>
                <w:szCs w:val="21"/>
              </w:rPr>
            </w:pPr>
            <w:r>
              <w:rPr>
                <w:rFonts w:hint="eastAsia" w:ascii="仿宋_GB2312"/>
                <w:sz w:val="21"/>
                <w:szCs w:val="21"/>
              </w:rPr>
              <w:t>1.扩建长兴深长污水处理厂2.5万吨/日污水处理设施，及提标扩容新增5万吨尾水排放口1.8公里DN1200尾水管工程，计划投资12500万元。</w:t>
            </w:r>
          </w:p>
          <w:p w14:paraId="6BC5D43C">
            <w:pPr>
              <w:adjustRightInd w:val="0"/>
              <w:spacing w:line="240" w:lineRule="auto"/>
              <w:rPr>
                <w:rFonts w:ascii="仿宋_GB2312"/>
                <w:sz w:val="21"/>
                <w:szCs w:val="21"/>
              </w:rPr>
            </w:pPr>
            <w:r>
              <w:rPr>
                <w:rFonts w:hint="eastAsia" w:ascii="仿宋_GB2312"/>
                <w:sz w:val="21"/>
                <w:szCs w:val="21"/>
              </w:rPr>
              <w:t>2.配套建设发展大道以北明珠北路至长兴深长污水处理厂3.6公里、管径DN1000污水入厂第二通道管网工程（含污水提升泵站一座），计划投资4000万元。</w:t>
            </w:r>
          </w:p>
          <w:p w14:paraId="25FEE1C7">
            <w:pPr>
              <w:adjustRightInd w:val="0"/>
              <w:spacing w:line="240" w:lineRule="auto"/>
              <w:rPr>
                <w:rFonts w:ascii="仿宋_GB2312"/>
                <w:sz w:val="21"/>
                <w:szCs w:val="21"/>
              </w:rPr>
            </w:pPr>
            <w:r>
              <w:rPr>
                <w:rFonts w:hint="eastAsia" w:ascii="仿宋_GB2312"/>
                <w:sz w:val="21"/>
                <w:szCs w:val="21"/>
              </w:rPr>
              <w:t>3.该项目2021年完成项目前期工作，择期开工。</w:t>
            </w:r>
          </w:p>
        </w:tc>
        <w:tc>
          <w:tcPr>
            <w:tcW w:w="357" w:type="pct"/>
            <w:shd w:val="clear" w:color="auto" w:fill="auto"/>
            <w:vAlign w:val="center"/>
          </w:tcPr>
          <w:p w14:paraId="702721E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6A11976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1.65</w:t>
            </w:r>
          </w:p>
        </w:tc>
        <w:tc>
          <w:tcPr>
            <w:tcW w:w="472" w:type="pct"/>
            <w:shd w:val="clear" w:color="auto" w:fill="auto"/>
            <w:vAlign w:val="center"/>
          </w:tcPr>
          <w:p w14:paraId="48AC55E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1.65</w:t>
            </w:r>
          </w:p>
        </w:tc>
        <w:tc>
          <w:tcPr>
            <w:tcW w:w="717" w:type="pct"/>
            <w:shd w:val="clear" w:color="auto" w:fill="auto"/>
            <w:vAlign w:val="center"/>
          </w:tcPr>
          <w:p w14:paraId="357B86F6">
            <w:pPr>
              <w:adjustRightInd w:val="0"/>
              <w:spacing w:line="240" w:lineRule="auto"/>
              <w:jc w:val="center"/>
              <w:rPr>
                <w:rFonts w:ascii="仿宋_GB2312"/>
                <w:sz w:val="21"/>
                <w:szCs w:val="21"/>
              </w:rPr>
            </w:pPr>
            <w:r>
              <w:rPr>
                <w:rFonts w:hint="eastAsia" w:ascii="仿宋_GB2312"/>
                <w:sz w:val="21"/>
                <w:szCs w:val="21"/>
              </w:rPr>
              <w:t>长兴城投集团</w:t>
            </w:r>
          </w:p>
        </w:tc>
        <w:tc>
          <w:tcPr>
            <w:tcW w:w="398" w:type="pct"/>
            <w:shd w:val="clear" w:color="auto" w:fill="auto"/>
            <w:vAlign w:val="center"/>
          </w:tcPr>
          <w:p w14:paraId="5A8B3E0B">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17254A32">
            <w:pPr>
              <w:adjustRightInd w:val="0"/>
              <w:spacing w:line="240" w:lineRule="auto"/>
              <w:jc w:val="center"/>
              <w:rPr>
                <w:rFonts w:ascii="仿宋_GB2312"/>
                <w:sz w:val="21"/>
                <w:szCs w:val="21"/>
              </w:rPr>
            </w:pPr>
            <w:r>
              <w:rPr>
                <w:rFonts w:hint="eastAsia" w:ascii="仿宋_GB2312"/>
                <w:sz w:val="21"/>
                <w:szCs w:val="21"/>
              </w:rPr>
              <w:t>新建</w:t>
            </w:r>
          </w:p>
        </w:tc>
      </w:tr>
      <w:tr w14:paraId="4755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2382DCE">
            <w:pPr>
              <w:adjustRightInd w:val="0"/>
              <w:spacing w:line="240" w:lineRule="auto"/>
              <w:jc w:val="center"/>
              <w:rPr>
                <w:rFonts w:ascii="仿宋_GB2312"/>
                <w:sz w:val="21"/>
                <w:szCs w:val="21"/>
              </w:rPr>
            </w:pPr>
            <w:r>
              <w:rPr>
                <w:rFonts w:hint="eastAsia" w:ascii="仿宋_GB2312"/>
                <w:sz w:val="21"/>
                <w:szCs w:val="21"/>
              </w:rPr>
              <w:t>47</w:t>
            </w:r>
          </w:p>
        </w:tc>
        <w:tc>
          <w:tcPr>
            <w:tcW w:w="709" w:type="pct"/>
            <w:shd w:val="clear" w:color="auto" w:fill="auto"/>
            <w:vAlign w:val="center"/>
          </w:tcPr>
          <w:p w14:paraId="327EC360">
            <w:pPr>
              <w:adjustRightInd w:val="0"/>
              <w:spacing w:line="240" w:lineRule="auto"/>
              <w:jc w:val="center"/>
              <w:rPr>
                <w:rFonts w:ascii="仿宋_GB2312"/>
                <w:sz w:val="21"/>
                <w:szCs w:val="21"/>
              </w:rPr>
            </w:pPr>
            <w:r>
              <w:rPr>
                <w:rFonts w:hint="eastAsia" w:ascii="仿宋_GB2312"/>
                <w:sz w:val="21"/>
                <w:szCs w:val="21"/>
              </w:rPr>
              <w:t>居民小区“污水零直排区”创建项目</w:t>
            </w:r>
          </w:p>
        </w:tc>
        <w:tc>
          <w:tcPr>
            <w:tcW w:w="1394" w:type="pct"/>
            <w:shd w:val="clear" w:color="auto" w:fill="auto"/>
            <w:vAlign w:val="center"/>
          </w:tcPr>
          <w:p w14:paraId="6F67D912">
            <w:pPr>
              <w:adjustRightInd w:val="0"/>
              <w:spacing w:line="240" w:lineRule="auto"/>
              <w:rPr>
                <w:rFonts w:ascii="仿宋_GB2312"/>
                <w:sz w:val="21"/>
                <w:szCs w:val="21"/>
              </w:rPr>
            </w:pPr>
            <w:r>
              <w:rPr>
                <w:rFonts w:hint="eastAsia" w:ascii="仿宋_GB2312"/>
                <w:sz w:val="21"/>
                <w:szCs w:val="21"/>
              </w:rPr>
              <w:t>雉城街道、龙山街道辖区内22个居民小区进行“污水零直排区”创建</w:t>
            </w:r>
          </w:p>
        </w:tc>
        <w:tc>
          <w:tcPr>
            <w:tcW w:w="357" w:type="pct"/>
            <w:shd w:val="clear" w:color="auto" w:fill="auto"/>
            <w:vAlign w:val="center"/>
          </w:tcPr>
          <w:p w14:paraId="774E56C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w:t>
            </w:r>
          </w:p>
        </w:tc>
        <w:tc>
          <w:tcPr>
            <w:tcW w:w="327" w:type="pct"/>
            <w:shd w:val="clear" w:color="auto" w:fill="auto"/>
            <w:vAlign w:val="center"/>
          </w:tcPr>
          <w:p w14:paraId="2080652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0.45</w:t>
            </w:r>
          </w:p>
        </w:tc>
        <w:tc>
          <w:tcPr>
            <w:tcW w:w="472" w:type="pct"/>
            <w:shd w:val="clear" w:color="auto" w:fill="auto"/>
            <w:vAlign w:val="center"/>
          </w:tcPr>
          <w:p w14:paraId="192D23A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0.45</w:t>
            </w:r>
          </w:p>
        </w:tc>
        <w:tc>
          <w:tcPr>
            <w:tcW w:w="717" w:type="pct"/>
            <w:shd w:val="clear" w:color="auto" w:fill="auto"/>
            <w:vAlign w:val="center"/>
          </w:tcPr>
          <w:p w14:paraId="79B3DCD1">
            <w:pPr>
              <w:adjustRightInd w:val="0"/>
              <w:spacing w:line="240" w:lineRule="auto"/>
              <w:jc w:val="center"/>
              <w:rPr>
                <w:rFonts w:ascii="仿宋_GB2312"/>
                <w:sz w:val="21"/>
                <w:szCs w:val="21"/>
              </w:rPr>
            </w:pPr>
            <w:r>
              <w:rPr>
                <w:rFonts w:hint="eastAsia" w:ascii="仿宋_GB2312"/>
                <w:sz w:val="21"/>
                <w:szCs w:val="21"/>
              </w:rPr>
              <w:t>长兴县城市建设</w:t>
            </w:r>
          </w:p>
          <w:p w14:paraId="63D03852">
            <w:pPr>
              <w:adjustRightInd w:val="0"/>
              <w:spacing w:line="240" w:lineRule="auto"/>
              <w:jc w:val="center"/>
              <w:rPr>
                <w:rFonts w:ascii="仿宋_GB2312"/>
                <w:sz w:val="21"/>
                <w:szCs w:val="21"/>
              </w:rPr>
            </w:pPr>
            <w:r>
              <w:rPr>
                <w:rFonts w:hint="eastAsia" w:ascii="仿宋_GB2312"/>
                <w:sz w:val="21"/>
                <w:szCs w:val="21"/>
              </w:rPr>
              <w:t>发展管理中心</w:t>
            </w:r>
          </w:p>
        </w:tc>
        <w:tc>
          <w:tcPr>
            <w:tcW w:w="398" w:type="pct"/>
            <w:shd w:val="clear" w:color="auto" w:fill="auto"/>
            <w:vAlign w:val="center"/>
          </w:tcPr>
          <w:p w14:paraId="4CB18B72">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2DEDB1F">
            <w:pPr>
              <w:adjustRightInd w:val="0"/>
              <w:spacing w:line="240" w:lineRule="auto"/>
              <w:jc w:val="center"/>
              <w:rPr>
                <w:rFonts w:ascii="仿宋_GB2312"/>
                <w:sz w:val="21"/>
                <w:szCs w:val="21"/>
              </w:rPr>
            </w:pPr>
            <w:r>
              <w:rPr>
                <w:rFonts w:hint="eastAsia" w:ascii="仿宋_GB2312"/>
                <w:sz w:val="21"/>
                <w:szCs w:val="21"/>
              </w:rPr>
              <w:t>新建</w:t>
            </w:r>
          </w:p>
        </w:tc>
      </w:tr>
      <w:tr w14:paraId="7895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64EBAD71">
            <w:pPr>
              <w:adjustRightInd w:val="0"/>
              <w:spacing w:line="240" w:lineRule="auto"/>
              <w:jc w:val="center"/>
              <w:rPr>
                <w:rFonts w:ascii="仿宋_GB2312"/>
                <w:sz w:val="21"/>
                <w:szCs w:val="21"/>
              </w:rPr>
            </w:pPr>
            <w:r>
              <w:rPr>
                <w:rFonts w:hint="eastAsia" w:ascii="仿宋_GB2312"/>
                <w:sz w:val="21"/>
                <w:szCs w:val="21"/>
              </w:rPr>
              <w:t>48</w:t>
            </w:r>
          </w:p>
        </w:tc>
        <w:tc>
          <w:tcPr>
            <w:tcW w:w="709" w:type="pct"/>
            <w:shd w:val="clear" w:color="auto" w:fill="auto"/>
            <w:vAlign w:val="center"/>
          </w:tcPr>
          <w:p w14:paraId="66B58D7E">
            <w:pPr>
              <w:adjustRightInd w:val="0"/>
              <w:spacing w:line="240" w:lineRule="auto"/>
              <w:jc w:val="center"/>
              <w:rPr>
                <w:rFonts w:ascii="仿宋_GB2312"/>
                <w:sz w:val="21"/>
                <w:szCs w:val="21"/>
              </w:rPr>
            </w:pPr>
            <w:r>
              <w:rPr>
                <w:rFonts w:hint="eastAsia" w:ascii="仿宋_GB2312"/>
                <w:sz w:val="21"/>
                <w:szCs w:val="21"/>
              </w:rPr>
              <w:t>回龙山片区污水转输管网及泵站工程</w:t>
            </w:r>
          </w:p>
        </w:tc>
        <w:tc>
          <w:tcPr>
            <w:tcW w:w="1394" w:type="pct"/>
            <w:shd w:val="clear" w:color="auto" w:fill="auto"/>
            <w:vAlign w:val="center"/>
          </w:tcPr>
          <w:p w14:paraId="3FC813DE">
            <w:pPr>
              <w:adjustRightInd w:val="0"/>
              <w:spacing w:line="240" w:lineRule="auto"/>
              <w:rPr>
                <w:rFonts w:ascii="仿宋_GB2312"/>
                <w:sz w:val="21"/>
                <w:szCs w:val="21"/>
              </w:rPr>
            </w:pPr>
            <w:r>
              <w:rPr>
                <w:rFonts w:hint="eastAsia" w:ascii="仿宋_GB2312"/>
                <w:sz w:val="21"/>
                <w:szCs w:val="21"/>
              </w:rPr>
              <w:t>新建1万吨/日规模的污水提升泵站1座；新建污水压力主干管1条，管径DN600，管长约3公里。</w:t>
            </w:r>
          </w:p>
        </w:tc>
        <w:tc>
          <w:tcPr>
            <w:tcW w:w="357" w:type="pct"/>
            <w:shd w:val="clear" w:color="auto" w:fill="auto"/>
            <w:vAlign w:val="center"/>
          </w:tcPr>
          <w:p w14:paraId="43993DB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2022-2023</w:t>
            </w:r>
          </w:p>
        </w:tc>
        <w:tc>
          <w:tcPr>
            <w:tcW w:w="327" w:type="pct"/>
            <w:shd w:val="clear" w:color="auto" w:fill="auto"/>
            <w:vAlign w:val="center"/>
          </w:tcPr>
          <w:p w14:paraId="08F26BDD">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0.25</w:t>
            </w:r>
          </w:p>
        </w:tc>
        <w:tc>
          <w:tcPr>
            <w:tcW w:w="472" w:type="pct"/>
            <w:shd w:val="clear" w:color="auto" w:fill="auto"/>
            <w:vAlign w:val="center"/>
          </w:tcPr>
          <w:p w14:paraId="2073D469">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0.25</w:t>
            </w:r>
          </w:p>
        </w:tc>
        <w:tc>
          <w:tcPr>
            <w:tcW w:w="717" w:type="pct"/>
            <w:shd w:val="clear" w:color="auto" w:fill="auto"/>
            <w:vAlign w:val="center"/>
          </w:tcPr>
          <w:p w14:paraId="7238EE26">
            <w:pPr>
              <w:adjustRightInd w:val="0"/>
              <w:spacing w:line="240" w:lineRule="auto"/>
              <w:jc w:val="center"/>
              <w:rPr>
                <w:rFonts w:ascii="仿宋_GB2312"/>
                <w:sz w:val="21"/>
                <w:szCs w:val="21"/>
              </w:rPr>
            </w:pPr>
            <w:r>
              <w:rPr>
                <w:rFonts w:hint="eastAsia" w:ascii="仿宋_GB2312"/>
                <w:sz w:val="21"/>
                <w:szCs w:val="21"/>
              </w:rPr>
              <w:t>长兴县城市建设</w:t>
            </w:r>
          </w:p>
          <w:p w14:paraId="39080181">
            <w:pPr>
              <w:adjustRightInd w:val="0"/>
              <w:spacing w:line="240" w:lineRule="auto"/>
              <w:jc w:val="center"/>
              <w:rPr>
                <w:rFonts w:ascii="仿宋_GB2312"/>
                <w:sz w:val="21"/>
                <w:szCs w:val="21"/>
              </w:rPr>
            </w:pPr>
            <w:r>
              <w:rPr>
                <w:rFonts w:hint="eastAsia" w:ascii="仿宋_GB2312"/>
                <w:sz w:val="21"/>
                <w:szCs w:val="21"/>
              </w:rPr>
              <w:t>发展管理中心</w:t>
            </w:r>
          </w:p>
        </w:tc>
        <w:tc>
          <w:tcPr>
            <w:tcW w:w="398" w:type="pct"/>
            <w:shd w:val="clear" w:color="auto" w:fill="auto"/>
            <w:vAlign w:val="center"/>
          </w:tcPr>
          <w:p w14:paraId="3A7392FB">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7788F1EA">
            <w:pPr>
              <w:adjustRightInd w:val="0"/>
              <w:spacing w:line="240" w:lineRule="auto"/>
              <w:jc w:val="center"/>
              <w:rPr>
                <w:rFonts w:ascii="仿宋_GB2312"/>
                <w:sz w:val="21"/>
                <w:szCs w:val="21"/>
              </w:rPr>
            </w:pPr>
            <w:r>
              <w:rPr>
                <w:rFonts w:hint="eastAsia" w:ascii="仿宋_GB2312"/>
                <w:sz w:val="21"/>
                <w:szCs w:val="21"/>
              </w:rPr>
              <w:t>新建</w:t>
            </w:r>
          </w:p>
        </w:tc>
      </w:tr>
      <w:tr w14:paraId="34C9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395ACEA">
            <w:pPr>
              <w:adjustRightInd w:val="0"/>
              <w:spacing w:line="240" w:lineRule="auto"/>
              <w:jc w:val="center"/>
              <w:rPr>
                <w:rFonts w:ascii="仿宋_GB2312"/>
                <w:sz w:val="21"/>
                <w:szCs w:val="21"/>
              </w:rPr>
            </w:pPr>
            <w:r>
              <w:rPr>
                <w:rFonts w:hint="eastAsia" w:ascii="仿宋_GB2312"/>
                <w:sz w:val="21"/>
                <w:szCs w:val="21"/>
              </w:rPr>
              <w:t>49</w:t>
            </w:r>
          </w:p>
        </w:tc>
        <w:tc>
          <w:tcPr>
            <w:tcW w:w="709" w:type="pct"/>
            <w:shd w:val="clear" w:color="auto" w:fill="auto"/>
            <w:vAlign w:val="center"/>
          </w:tcPr>
          <w:p w14:paraId="20B76700">
            <w:pPr>
              <w:adjustRightInd w:val="0"/>
              <w:spacing w:line="240" w:lineRule="auto"/>
              <w:jc w:val="center"/>
              <w:rPr>
                <w:rFonts w:ascii="仿宋_GB2312"/>
                <w:sz w:val="21"/>
                <w:szCs w:val="21"/>
              </w:rPr>
            </w:pPr>
            <w:r>
              <w:rPr>
                <w:rFonts w:hint="eastAsia" w:ascii="仿宋_GB2312"/>
                <w:sz w:val="21"/>
                <w:szCs w:val="21"/>
              </w:rPr>
              <w:t>龙山新区管网</w:t>
            </w:r>
          </w:p>
          <w:p w14:paraId="7F3502C8">
            <w:pPr>
              <w:adjustRightInd w:val="0"/>
              <w:spacing w:line="240" w:lineRule="auto"/>
              <w:jc w:val="center"/>
              <w:rPr>
                <w:rFonts w:ascii="仿宋_GB2312"/>
                <w:sz w:val="21"/>
                <w:szCs w:val="21"/>
              </w:rPr>
            </w:pPr>
            <w:r>
              <w:rPr>
                <w:rFonts w:hint="eastAsia" w:ascii="仿宋_GB2312"/>
                <w:sz w:val="21"/>
                <w:szCs w:val="21"/>
              </w:rPr>
              <w:t>改造新建工程</w:t>
            </w:r>
          </w:p>
        </w:tc>
        <w:tc>
          <w:tcPr>
            <w:tcW w:w="1394" w:type="pct"/>
            <w:shd w:val="clear" w:color="auto" w:fill="auto"/>
            <w:vAlign w:val="center"/>
          </w:tcPr>
          <w:p w14:paraId="31C9E5C7">
            <w:pPr>
              <w:adjustRightInd w:val="0"/>
              <w:spacing w:line="240" w:lineRule="auto"/>
              <w:rPr>
                <w:rFonts w:ascii="仿宋_GB2312"/>
                <w:sz w:val="21"/>
                <w:szCs w:val="21"/>
              </w:rPr>
            </w:pPr>
            <w:r>
              <w:rPr>
                <w:rFonts w:hint="eastAsia" w:ascii="仿宋_GB2312"/>
                <w:sz w:val="21"/>
                <w:szCs w:val="21"/>
              </w:rPr>
              <w:t>新建改造管径DN300-DN800龙山片区仕林路、西峰坝路、磨盘山路、永兴北路等污水管网5公里；对部分受损雨水管网进行改造。</w:t>
            </w:r>
          </w:p>
        </w:tc>
        <w:tc>
          <w:tcPr>
            <w:tcW w:w="357" w:type="pct"/>
            <w:shd w:val="clear" w:color="auto" w:fill="auto"/>
            <w:vAlign w:val="center"/>
          </w:tcPr>
          <w:p w14:paraId="5A5E1E3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5DE7062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0.42</w:t>
            </w:r>
          </w:p>
        </w:tc>
        <w:tc>
          <w:tcPr>
            <w:tcW w:w="472" w:type="pct"/>
            <w:shd w:val="clear" w:color="auto" w:fill="auto"/>
            <w:vAlign w:val="center"/>
          </w:tcPr>
          <w:p w14:paraId="76AB21C6">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0.42</w:t>
            </w:r>
          </w:p>
        </w:tc>
        <w:tc>
          <w:tcPr>
            <w:tcW w:w="717" w:type="pct"/>
            <w:shd w:val="clear" w:color="auto" w:fill="auto"/>
            <w:vAlign w:val="center"/>
          </w:tcPr>
          <w:p w14:paraId="5412A91E">
            <w:pPr>
              <w:adjustRightInd w:val="0"/>
              <w:spacing w:line="240" w:lineRule="auto"/>
              <w:jc w:val="center"/>
              <w:rPr>
                <w:rFonts w:ascii="仿宋_GB2312"/>
                <w:sz w:val="21"/>
                <w:szCs w:val="21"/>
              </w:rPr>
            </w:pPr>
            <w:r>
              <w:rPr>
                <w:rFonts w:hint="eastAsia" w:ascii="仿宋_GB2312"/>
                <w:sz w:val="21"/>
                <w:szCs w:val="21"/>
              </w:rPr>
              <w:t>长兴县城市建设</w:t>
            </w:r>
          </w:p>
          <w:p w14:paraId="6FE357DB">
            <w:pPr>
              <w:adjustRightInd w:val="0"/>
              <w:spacing w:line="240" w:lineRule="auto"/>
              <w:jc w:val="center"/>
              <w:rPr>
                <w:rFonts w:ascii="仿宋_GB2312"/>
                <w:sz w:val="21"/>
                <w:szCs w:val="21"/>
              </w:rPr>
            </w:pPr>
            <w:r>
              <w:rPr>
                <w:rFonts w:hint="eastAsia" w:ascii="仿宋_GB2312"/>
                <w:sz w:val="21"/>
                <w:szCs w:val="21"/>
              </w:rPr>
              <w:t>发展管理中心</w:t>
            </w:r>
          </w:p>
        </w:tc>
        <w:tc>
          <w:tcPr>
            <w:tcW w:w="398" w:type="pct"/>
            <w:shd w:val="clear" w:color="auto" w:fill="auto"/>
            <w:vAlign w:val="center"/>
          </w:tcPr>
          <w:p w14:paraId="14B073E9">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24F498B5">
            <w:pPr>
              <w:adjustRightInd w:val="0"/>
              <w:spacing w:line="240" w:lineRule="auto"/>
              <w:jc w:val="center"/>
              <w:rPr>
                <w:rFonts w:ascii="仿宋_GB2312"/>
                <w:sz w:val="21"/>
                <w:szCs w:val="21"/>
              </w:rPr>
            </w:pPr>
            <w:r>
              <w:rPr>
                <w:rFonts w:hint="eastAsia" w:ascii="仿宋_GB2312"/>
                <w:sz w:val="21"/>
                <w:szCs w:val="21"/>
              </w:rPr>
              <w:t>新建</w:t>
            </w:r>
          </w:p>
        </w:tc>
      </w:tr>
      <w:tr w14:paraId="214B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35C81C6">
            <w:pPr>
              <w:adjustRightInd w:val="0"/>
              <w:spacing w:line="240" w:lineRule="auto"/>
              <w:jc w:val="center"/>
              <w:rPr>
                <w:rFonts w:ascii="仿宋_GB2312"/>
                <w:sz w:val="21"/>
                <w:szCs w:val="21"/>
              </w:rPr>
            </w:pPr>
            <w:r>
              <w:rPr>
                <w:rFonts w:hint="eastAsia" w:ascii="仿宋_GB2312"/>
                <w:sz w:val="21"/>
                <w:szCs w:val="21"/>
              </w:rPr>
              <w:t>50</w:t>
            </w:r>
          </w:p>
        </w:tc>
        <w:tc>
          <w:tcPr>
            <w:tcW w:w="709" w:type="pct"/>
            <w:shd w:val="clear" w:color="auto" w:fill="auto"/>
            <w:vAlign w:val="center"/>
          </w:tcPr>
          <w:p w14:paraId="2EF71CA5">
            <w:pPr>
              <w:adjustRightInd w:val="0"/>
              <w:spacing w:line="240" w:lineRule="auto"/>
              <w:jc w:val="center"/>
              <w:rPr>
                <w:rFonts w:ascii="仿宋_GB2312"/>
                <w:sz w:val="21"/>
                <w:szCs w:val="21"/>
              </w:rPr>
            </w:pPr>
            <w:r>
              <w:rPr>
                <w:rFonts w:hint="eastAsia" w:ascii="仿宋_GB2312"/>
                <w:sz w:val="21"/>
                <w:szCs w:val="21"/>
              </w:rPr>
              <w:t>长兴清泉水厂</w:t>
            </w:r>
          </w:p>
          <w:p w14:paraId="2E70A64D">
            <w:pPr>
              <w:adjustRightInd w:val="0"/>
              <w:spacing w:line="240" w:lineRule="auto"/>
              <w:jc w:val="center"/>
              <w:rPr>
                <w:rFonts w:ascii="仿宋_GB2312"/>
                <w:sz w:val="21"/>
                <w:szCs w:val="21"/>
              </w:rPr>
            </w:pPr>
            <w:r>
              <w:rPr>
                <w:rFonts w:hint="eastAsia" w:ascii="仿宋_GB2312"/>
                <w:sz w:val="21"/>
                <w:szCs w:val="21"/>
              </w:rPr>
              <w:t>及配套工程</w:t>
            </w:r>
          </w:p>
        </w:tc>
        <w:tc>
          <w:tcPr>
            <w:tcW w:w="1394" w:type="pct"/>
            <w:shd w:val="clear" w:color="auto" w:fill="auto"/>
            <w:vAlign w:val="center"/>
          </w:tcPr>
          <w:p w14:paraId="4EA93021">
            <w:pPr>
              <w:adjustRightInd w:val="0"/>
              <w:spacing w:line="240" w:lineRule="auto"/>
              <w:rPr>
                <w:rFonts w:ascii="仿宋_GB2312"/>
                <w:sz w:val="21"/>
                <w:szCs w:val="21"/>
              </w:rPr>
            </w:pPr>
            <w:r>
              <w:rPr>
                <w:rFonts w:hint="eastAsia" w:ascii="仿宋_GB2312"/>
                <w:sz w:val="21"/>
                <w:szCs w:val="21"/>
              </w:rPr>
              <w:t>新建6万吨/天常规处理构筑物、供水泵房、废水处理设施、污泥处理设施、其他配套设施、原水管道及供水管道。</w:t>
            </w:r>
          </w:p>
        </w:tc>
        <w:tc>
          <w:tcPr>
            <w:tcW w:w="357" w:type="pct"/>
            <w:shd w:val="clear" w:color="auto" w:fill="auto"/>
            <w:vAlign w:val="center"/>
          </w:tcPr>
          <w:p w14:paraId="4259668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2020-2021</w:t>
            </w:r>
          </w:p>
        </w:tc>
        <w:tc>
          <w:tcPr>
            <w:tcW w:w="327" w:type="pct"/>
            <w:shd w:val="clear" w:color="auto" w:fill="auto"/>
            <w:vAlign w:val="center"/>
          </w:tcPr>
          <w:p w14:paraId="26E2DDB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2.62</w:t>
            </w:r>
          </w:p>
        </w:tc>
        <w:tc>
          <w:tcPr>
            <w:tcW w:w="472" w:type="pct"/>
            <w:shd w:val="clear" w:color="auto" w:fill="auto"/>
            <w:vAlign w:val="center"/>
          </w:tcPr>
          <w:p w14:paraId="3C5729E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0.62</w:t>
            </w:r>
          </w:p>
        </w:tc>
        <w:tc>
          <w:tcPr>
            <w:tcW w:w="717" w:type="pct"/>
            <w:shd w:val="clear" w:color="auto" w:fill="auto"/>
            <w:vAlign w:val="center"/>
          </w:tcPr>
          <w:p w14:paraId="7B38496E">
            <w:pPr>
              <w:adjustRightInd w:val="0"/>
              <w:spacing w:line="240" w:lineRule="auto"/>
              <w:jc w:val="center"/>
              <w:rPr>
                <w:rFonts w:ascii="仿宋_GB2312"/>
                <w:sz w:val="21"/>
                <w:szCs w:val="21"/>
              </w:rPr>
            </w:pPr>
            <w:r>
              <w:rPr>
                <w:rFonts w:hint="eastAsia" w:ascii="仿宋_GB2312"/>
                <w:sz w:val="21"/>
                <w:szCs w:val="21"/>
              </w:rPr>
              <w:t>长兴城投集团</w:t>
            </w:r>
          </w:p>
        </w:tc>
        <w:tc>
          <w:tcPr>
            <w:tcW w:w="398" w:type="pct"/>
            <w:shd w:val="clear" w:color="auto" w:fill="auto"/>
            <w:vAlign w:val="center"/>
          </w:tcPr>
          <w:p w14:paraId="49D82CFE">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115ED162">
            <w:pPr>
              <w:adjustRightInd w:val="0"/>
              <w:spacing w:line="240" w:lineRule="auto"/>
              <w:jc w:val="center"/>
              <w:rPr>
                <w:rFonts w:ascii="仿宋_GB2312"/>
                <w:sz w:val="21"/>
                <w:szCs w:val="21"/>
              </w:rPr>
            </w:pPr>
            <w:r>
              <w:rPr>
                <w:rFonts w:hint="eastAsia" w:ascii="仿宋_GB2312"/>
                <w:sz w:val="21"/>
                <w:szCs w:val="21"/>
              </w:rPr>
              <w:t>续建</w:t>
            </w:r>
          </w:p>
        </w:tc>
      </w:tr>
      <w:tr w14:paraId="3F4A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FAB4E46">
            <w:pPr>
              <w:adjustRightInd w:val="0"/>
              <w:spacing w:line="240" w:lineRule="auto"/>
              <w:jc w:val="center"/>
              <w:rPr>
                <w:rFonts w:ascii="仿宋_GB2312"/>
                <w:sz w:val="21"/>
                <w:szCs w:val="21"/>
              </w:rPr>
            </w:pPr>
            <w:r>
              <w:rPr>
                <w:rFonts w:hint="eastAsia" w:ascii="仿宋_GB2312"/>
                <w:sz w:val="21"/>
                <w:szCs w:val="21"/>
              </w:rPr>
              <w:t>51</w:t>
            </w:r>
          </w:p>
        </w:tc>
        <w:tc>
          <w:tcPr>
            <w:tcW w:w="709" w:type="pct"/>
            <w:shd w:val="clear" w:color="auto" w:fill="auto"/>
            <w:vAlign w:val="center"/>
          </w:tcPr>
          <w:p w14:paraId="5C72F6D8">
            <w:pPr>
              <w:adjustRightInd w:val="0"/>
              <w:spacing w:line="240" w:lineRule="auto"/>
              <w:jc w:val="center"/>
              <w:rPr>
                <w:rFonts w:ascii="仿宋_GB2312"/>
                <w:sz w:val="21"/>
                <w:szCs w:val="21"/>
              </w:rPr>
            </w:pPr>
            <w:r>
              <w:rPr>
                <w:rFonts w:hint="eastAsia" w:ascii="仿宋_GB2312"/>
                <w:snapToGrid w:val="0"/>
                <w:spacing w:val="-6"/>
                <w:position w:val="-6"/>
                <w:sz w:val="21"/>
                <w:szCs w:val="21"/>
              </w:rPr>
              <w:t>乡村旅游开发工程包</w:t>
            </w:r>
          </w:p>
        </w:tc>
        <w:tc>
          <w:tcPr>
            <w:tcW w:w="1394" w:type="pct"/>
            <w:shd w:val="clear" w:color="auto" w:fill="auto"/>
            <w:vAlign w:val="center"/>
          </w:tcPr>
          <w:p w14:paraId="31D73DF1">
            <w:pPr>
              <w:adjustRightInd w:val="0"/>
              <w:spacing w:line="240" w:lineRule="auto"/>
              <w:rPr>
                <w:rFonts w:ascii="仿宋_GB2312"/>
                <w:sz w:val="21"/>
                <w:szCs w:val="21"/>
              </w:rPr>
            </w:pPr>
            <w:r>
              <w:rPr>
                <w:rFonts w:hint="eastAsia" w:ascii="仿宋_GB2312"/>
                <w:sz w:val="21"/>
                <w:szCs w:val="21"/>
              </w:rPr>
              <w:t>1.长三角长青</w:t>
            </w:r>
            <w:r>
              <w:rPr>
                <w:rFonts w:hint="eastAsia" w:ascii="宋体" w:hAnsi="宋体" w:eastAsia="宋体" w:cs="宋体"/>
                <w:sz w:val="21"/>
                <w:szCs w:val="21"/>
              </w:rPr>
              <w:t>岕</w:t>
            </w:r>
            <w:r>
              <w:rPr>
                <w:rFonts w:hint="eastAsia" w:ascii="仿宋_GB2312"/>
                <w:sz w:val="21"/>
                <w:szCs w:val="21"/>
              </w:rPr>
              <w:t>旅游开发项目：富强温泉山庄，江南红谷，长三角百里红色古道等；2.仰峰村历史文化村落打造：马术基地，仰峰湖，红色主题酒店，二十大民宿等。</w:t>
            </w:r>
          </w:p>
        </w:tc>
        <w:tc>
          <w:tcPr>
            <w:tcW w:w="357" w:type="pct"/>
            <w:shd w:val="clear" w:color="auto" w:fill="auto"/>
            <w:vAlign w:val="center"/>
          </w:tcPr>
          <w:p w14:paraId="51DC72CC">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2019-2023</w:t>
            </w:r>
          </w:p>
        </w:tc>
        <w:tc>
          <w:tcPr>
            <w:tcW w:w="327" w:type="pct"/>
            <w:shd w:val="clear" w:color="auto" w:fill="auto"/>
            <w:vAlign w:val="center"/>
          </w:tcPr>
          <w:p w14:paraId="5DA6D6A5">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10</w:t>
            </w:r>
          </w:p>
        </w:tc>
        <w:tc>
          <w:tcPr>
            <w:tcW w:w="472" w:type="pct"/>
            <w:shd w:val="clear" w:color="auto" w:fill="auto"/>
            <w:vAlign w:val="center"/>
          </w:tcPr>
          <w:p w14:paraId="4F5D870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6.5</w:t>
            </w:r>
          </w:p>
        </w:tc>
        <w:tc>
          <w:tcPr>
            <w:tcW w:w="717" w:type="pct"/>
            <w:shd w:val="clear" w:color="auto" w:fill="auto"/>
            <w:vAlign w:val="center"/>
          </w:tcPr>
          <w:p w14:paraId="6F3AD8E5">
            <w:pPr>
              <w:adjustRightInd w:val="0"/>
              <w:spacing w:line="240" w:lineRule="auto"/>
              <w:jc w:val="center"/>
              <w:rPr>
                <w:rFonts w:ascii="仿宋_GB2312"/>
                <w:sz w:val="21"/>
                <w:szCs w:val="21"/>
              </w:rPr>
            </w:pPr>
            <w:r>
              <w:rPr>
                <w:rFonts w:hint="eastAsia" w:ascii="仿宋_GB2312"/>
                <w:sz w:val="21"/>
                <w:szCs w:val="21"/>
              </w:rPr>
              <w:t>煤山镇</w:t>
            </w:r>
          </w:p>
        </w:tc>
        <w:tc>
          <w:tcPr>
            <w:tcW w:w="398" w:type="pct"/>
            <w:shd w:val="clear" w:color="auto" w:fill="auto"/>
            <w:vAlign w:val="center"/>
          </w:tcPr>
          <w:p w14:paraId="72146F24">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45E98915">
            <w:pPr>
              <w:adjustRightInd w:val="0"/>
              <w:spacing w:line="240" w:lineRule="auto"/>
              <w:jc w:val="center"/>
              <w:rPr>
                <w:rFonts w:ascii="仿宋_GB2312"/>
                <w:sz w:val="21"/>
                <w:szCs w:val="21"/>
              </w:rPr>
            </w:pPr>
            <w:r>
              <w:rPr>
                <w:rFonts w:hint="eastAsia" w:ascii="仿宋_GB2312"/>
                <w:sz w:val="21"/>
                <w:szCs w:val="21"/>
              </w:rPr>
              <w:t>续建</w:t>
            </w:r>
          </w:p>
        </w:tc>
      </w:tr>
      <w:tr w14:paraId="32F3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2AD38BA">
            <w:pPr>
              <w:adjustRightInd w:val="0"/>
              <w:spacing w:line="240" w:lineRule="auto"/>
              <w:jc w:val="center"/>
              <w:rPr>
                <w:rFonts w:ascii="仿宋_GB2312"/>
                <w:sz w:val="21"/>
                <w:szCs w:val="21"/>
              </w:rPr>
            </w:pPr>
            <w:r>
              <w:rPr>
                <w:rFonts w:hint="eastAsia" w:ascii="仿宋_GB2312"/>
                <w:sz w:val="21"/>
                <w:szCs w:val="21"/>
              </w:rPr>
              <w:t>52</w:t>
            </w:r>
          </w:p>
        </w:tc>
        <w:tc>
          <w:tcPr>
            <w:tcW w:w="709" w:type="pct"/>
            <w:shd w:val="clear" w:color="auto" w:fill="auto"/>
            <w:vAlign w:val="center"/>
          </w:tcPr>
          <w:p w14:paraId="225E1D7B">
            <w:pPr>
              <w:adjustRightInd w:val="0"/>
              <w:spacing w:line="240" w:lineRule="auto"/>
              <w:jc w:val="center"/>
              <w:rPr>
                <w:rFonts w:ascii="仿宋_GB2312"/>
                <w:sz w:val="21"/>
                <w:szCs w:val="21"/>
              </w:rPr>
            </w:pPr>
            <w:r>
              <w:rPr>
                <w:rFonts w:hint="eastAsia" w:ascii="仿宋_GB2312"/>
                <w:sz w:val="21"/>
                <w:szCs w:val="21"/>
              </w:rPr>
              <w:t>长兴县湖羊</w:t>
            </w:r>
          </w:p>
          <w:p w14:paraId="3E68C8A6">
            <w:pPr>
              <w:adjustRightInd w:val="0"/>
              <w:spacing w:line="240" w:lineRule="auto"/>
              <w:jc w:val="center"/>
              <w:rPr>
                <w:rFonts w:ascii="仿宋_GB2312"/>
                <w:sz w:val="21"/>
                <w:szCs w:val="21"/>
              </w:rPr>
            </w:pPr>
            <w:r>
              <w:rPr>
                <w:rFonts w:hint="eastAsia" w:ascii="仿宋_GB2312"/>
                <w:sz w:val="21"/>
                <w:szCs w:val="21"/>
              </w:rPr>
              <w:t>智慧养殖示范园</w:t>
            </w:r>
          </w:p>
        </w:tc>
        <w:tc>
          <w:tcPr>
            <w:tcW w:w="1394" w:type="pct"/>
            <w:shd w:val="clear" w:color="auto" w:fill="auto"/>
            <w:vAlign w:val="center"/>
          </w:tcPr>
          <w:p w14:paraId="70C80C25">
            <w:pPr>
              <w:adjustRightInd w:val="0"/>
              <w:spacing w:line="240" w:lineRule="auto"/>
              <w:rPr>
                <w:rFonts w:ascii="仿宋_GB2312"/>
                <w:sz w:val="21"/>
                <w:szCs w:val="21"/>
              </w:rPr>
            </w:pPr>
            <w:r>
              <w:rPr>
                <w:rFonts w:hint="eastAsia" w:ascii="仿宋_GB2312"/>
                <w:sz w:val="21"/>
                <w:szCs w:val="21"/>
              </w:rPr>
              <w:t>总面积700亩，包含湖羊养殖区块、农业种植区块；生物有机肥加工区块；办公研发区块、餐饮休闲区块等，养殖区块建成数字化湖羊遗传资源保、引、繁、育、推基地，配套数字化管理平台、智能化展示厅、自动化粪污处理、自动喂料系统等，有效推进湖羊规模化、标准化、智能化、循环化、休闲化养殖，新增湖羊年存栏5万只，将是湖州市规模最大的湖羊基地。</w:t>
            </w:r>
          </w:p>
        </w:tc>
        <w:tc>
          <w:tcPr>
            <w:tcW w:w="357" w:type="pct"/>
            <w:shd w:val="clear" w:color="auto" w:fill="auto"/>
            <w:vAlign w:val="center"/>
          </w:tcPr>
          <w:p w14:paraId="7D2E41D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2020-2021</w:t>
            </w:r>
          </w:p>
        </w:tc>
        <w:tc>
          <w:tcPr>
            <w:tcW w:w="327" w:type="pct"/>
            <w:shd w:val="clear" w:color="auto" w:fill="auto"/>
            <w:vAlign w:val="center"/>
          </w:tcPr>
          <w:p w14:paraId="0056EAD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w:t>
            </w:r>
          </w:p>
        </w:tc>
        <w:tc>
          <w:tcPr>
            <w:tcW w:w="472" w:type="pct"/>
            <w:shd w:val="clear" w:color="auto" w:fill="auto"/>
            <w:vAlign w:val="center"/>
          </w:tcPr>
          <w:p w14:paraId="3FE88C5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w:t>
            </w:r>
          </w:p>
        </w:tc>
        <w:tc>
          <w:tcPr>
            <w:tcW w:w="717" w:type="pct"/>
            <w:shd w:val="clear" w:color="auto" w:fill="auto"/>
            <w:vAlign w:val="center"/>
          </w:tcPr>
          <w:p w14:paraId="5A7DC28A">
            <w:pPr>
              <w:adjustRightInd w:val="0"/>
              <w:spacing w:line="240" w:lineRule="auto"/>
              <w:jc w:val="center"/>
              <w:rPr>
                <w:rFonts w:ascii="仿宋_GB2312"/>
                <w:sz w:val="21"/>
                <w:szCs w:val="21"/>
              </w:rPr>
            </w:pPr>
            <w:r>
              <w:rPr>
                <w:rFonts w:hint="eastAsia" w:ascii="仿宋_GB2312"/>
                <w:sz w:val="21"/>
                <w:szCs w:val="21"/>
              </w:rPr>
              <w:t>长兴玖祥</w:t>
            </w:r>
          </w:p>
          <w:p w14:paraId="31F0455F">
            <w:pPr>
              <w:adjustRightInd w:val="0"/>
              <w:spacing w:line="240" w:lineRule="auto"/>
              <w:jc w:val="center"/>
              <w:rPr>
                <w:rFonts w:ascii="仿宋_GB2312"/>
                <w:sz w:val="21"/>
                <w:szCs w:val="21"/>
              </w:rPr>
            </w:pPr>
            <w:r>
              <w:rPr>
                <w:rFonts w:hint="eastAsia" w:ascii="仿宋_GB2312"/>
                <w:sz w:val="21"/>
                <w:szCs w:val="21"/>
              </w:rPr>
              <w:t>农业有限公司</w:t>
            </w:r>
          </w:p>
        </w:tc>
        <w:tc>
          <w:tcPr>
            <w:tcW w:w="398" w:type="pct"/>
            <w:shd w:val="clear" w:color="auto" w:fill="auto"/>
            <w:vAlign w:val="center"/>
          </w:tcPr>
          <w:p w14:paraId="6DD0F922">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5674B7A1">
            <w:pPr>
              <w:adjustRightInd w:val="0"/>
              <w:spacing w:line="240" w:lineRule="auto"/>
              <w:jc w:val="center"/>
              <w:rPr>
                <w:rFonts w:ascii="仿宋_GB2312"/>
                <w:sz w:val="21"/>
                <w:szCs w:val="21"/>
              </w:rPr>
            </w:pPr>
            <w:r>
              <w:rPr>
                <w:rFonts w:hint="eastAsia" w:ascii="仿宋_GB2312"/>
                <w:sz w:val="21"/>
                <w:szCs w:val="21"/>
              </w:rPr>
              <w:t>续建</w:t>
            </w:r>
          </w:p>
        </w:tc>
      </w:tr>
      <w:tr w14:paraId="4CFC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D180F12">
            <w:pPr>
              <w:adjustRightInd w:val="0"/>
              <w:spacing w:line="240" w:lineRule="auto"/>
              <w:jc w:val="center"/>
              <w:rPr>
                <w:rFonts w:ascii="仿宋_GB2312"/>
                <w:sz w:val="21"/>
                <w:szCs w:val="21"/>
              </w:rPr>
            </w:pPr>
            <w:r>
              <w:rPr>
                <w:rFonts w:hint="eastAsia" w:ascii="仿宋_GB2312"/>
                <w:sz w:val="21"/>
                <w:szCs w:val="21"/>
              </w:rPr>
              <w:t>53</w:t>
            </w:r>
          </w:p>
        </w:tc>
        <w:tc>
          <w:tcPr>
            <w:tcW w:w="709" w:type="pct"/>
            <w:shd w:val="clear" w:color="auto" w:fill="auto"/>
            <w:vAlign w:val="center"/>
          </w:tcPr>
          <w:p w14:paraId="57C0FD29">
            <w:pPr>
              <w:adjustRightInd w:val="0"/>
              <w:spacing w:line="240" w:lineRule="auto"/>
              <w:jc w:val="center"/>
              <w:rPr>
                <w:rFonts w:ascii="仿宋_GB2312"/>
                <w:sz w:val="21"/>
                <w:szCs w:val="21"/>
              </w:rPr>
            </w:pPr>
            <w:r>
              <w:rPr>
                <w:rFonts w:hint="eastAsia" w:ascii="仿宋_GB2312"/>
                <w:sz w:val="21"/>
                <w:szCs w:val="21"/>
              </w:rPr>
              <w:t>长兴生猪扩产</w:t>
            </w:r>
          </w:p>
          <w:p w14:paraId="58B573EA">
            <w:pPr>
              <w:adjustRightInd w:val="0"/>
              <w:spacing w:line="240" w:lineRule="auto"/>
              <w:jc w:val="center"/>
              <w:rPr>
                <w:rFonts w:ascii="仿宋_GB2312"/>
                <w:sz w:val="21"/>
                <w:szCs w:val="21"/>
              </w:rPr>
            </w:pPr>
            <w:r>
              <w:rPr>
                <w:rFonts w:hint="eastAsia" w:ascii="仿宋_GB2312"/>
                <w:sz w:val="21"/>
                <w:szCs w:val="21"/>
              </w:rPr>
              <w:t>项目工程包</w:t>
            </w:r>
          </w:p>
        </w:tc>
        <w:tc>
          <w:tcPr>
            <w:tcW w:w="1394" w:type="pct"/>
            <w:shd w:val="clear" w:color="auto" w:fill="auto"/>
            <w:vAlign w:val="center"/>
          </w:tcPr>
          <w:p w14:paraId="50E041AB">
            <w:pPr>
              <w:adjustRightInd w:val="0"/>
              <w:spacing w:line="240" w:lineRule="auto"/>
              <w:rPr>
                <w:rFonts w:ascii="仿宋_GB2312"/>
                <w:sz w:val="21"/>
                <w:szCs w:val="21"/>
              </w:rPr>
            </w:pPr>
            <w:r>
              <w:rPr>
                <w:rFonts w:hint="eastAsia" w:ascii="仿宋_GB2312"/>
                <w:sz w:val="21"/>
                <w:szCs w:val="21"/>
              </w:rPr>
              <w:t>1.长兴温氏华统林城镇年出栏12万头肉猪项目。流转土地300亩，建设育肥场，到2021年形成年出栏商品猪12万头以上的规模。</w:t>
            </w:r>
          </w:p>
          <w:p w14:paraId="21CB678C">
            <w:pPr>
              <w:adjustRightInd w:val="0"/>
              <w:spacing w:line="240" w:lineRule="auto"/>
              <w:rPr>
                <w:rFonts w:ascii="仿宋_GB2312"/>
                <w:sz w:val="21"/>
                <w:szCs w:val="21"/>
              </w:rPr>
            </w:pPr>
            <w:r>
              <w:rPr>
                <w:rFonts w:hint="eastAsia" w:ascii="仿宋_GB2312"/>
                <w:sz w:val="21"/>
                <w:szCs w:val="21"/>
              </w:rPr>
              <w:t>2.长兴温氏华统和平镇年出栏12万头仔猪项目。流转土地177.5亩左右，建设存栏6000头母猪种猪场。</w:t>
            </w:r>
          </w:p>
        </w:tc>
        <w:tc>
          <w:tcPr>
            <w:tcW w:w="357" w:type="pct"/>
            <w:shd w:val="clear" w:color="auto" w:fill="auto"/>
            <w:vAlign w:val="center"/>
          </w:tcPr>
          <w:p w14:paraId="0599454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0C04C69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9.5</w:t>
            </w:r>
          </w:p>
        </w:tc>
        <w:tc>
          <w:tcPr>
            <w:tcW w:w="472" w:type="pct"/>
            <w:shd w:val="clear" w:color="auto" w:fill="auto"/>
            <w:vAlign w:val="center"/>
          </w:tcPr>
          <w:p w14:paraId="600C7DE2">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6</w:t>
            </w:r>
          </w:p>
        </w:tc>
        <w:tc>
          <w:tcPr>
            <w:tcW w:w="717" w:type="pct"/>
            <w:shd w:val="clear" w:color="auto" w:fill="auto"/>
            <w:vAlign w:val="center"/>
          </w:tcPr>
          <w:p w14:paraId="55E50767">
            <w:pPr>
              <w:adjustRightInd w:val="0"/>
              <w:spacing w:line="240" w:lineRule="auto"/>
              <w:jc w:val="center"/>
              <w:rPr>
                <w:rFonts w:ascii="仿宋_GB2312"/>
                <w:sz w:val="21"/>
                <w:szCs w:val="21"/>
              </w:rPr>
            </w:pPr>
            <w:r>
              <w:rPr>
                <w:rFonts w:hint="eastAsia" w:ascii="仿宋_GB2312"/>
                <w:sz w:val="21"/>
                <w:szCs w:val="21"/>
              </w:rPr>
              <w:t>温氏华统有限公司</w:t>
            </w:r>
          </w:p>
        </w:tc>
        <w:tc>
          <w:tcPr>
            <w:tcW w:w="398" w:type="pct"/>
            <w:shd w:val="clear" w:color="auto" w:fill="auto"/>
            <w:vAlign w:val="center"/>
          </w:tcPr>
          <w:p w14:paraId="2D1C2B68">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61E2541A">
            <w:pPr>
              <w:adjustRightInd w:val="0"/>
              <w:spacing w:line="240" w:lineRule="auto"/>
              <w:jc w:val="center"/>
              <w:rPr>
                <w:rFonts w:ascii="仿宋_GB2312"/>
                <w:sz w:val="21"/>
                <w:szCs w:val="21"/>
              </w:rPr>
            </w:pPr>
            <w:r>
              <w:rPr>
                <w:rFonts w:hint="eastAsia" w:ascii="仿宋_GB2312"/>
                <w:sz w:val="21"/>
                <w:szCs w:val="21"/>
              </w:rPr>
              <w:t>续建</w:t>
            </w:r>
          </w:p>
        </w:tc>
      </w:tr>
      <w:tr w14:paraId="56D8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2FB7D0A7">
            <w:pPr>
              <w:adjustRightInd w:val="0"/>
              <w:spacing w:line="240" w:lineRule="auto"/>
              <w:jc w:val="center"/>
              <w:rPr>
                <w:rFonts w:ascii="仿宋_GB2312"/>
                <w:sz w:val="21"/>
                <w:szCs w:val="21"/>
              </w:rPr>
            </w:pPr>
            <w:r>
              <w:rPr>
                <w:rFonts w:hint="eastAsia" w:ascii="仿宋_GB2312"/>
                <w:sz w:val="21"/>
                <w:szCs w:val="21"/>
              </w:rPr>
              <w:t>54</w:t>
            </w:r>
          </w:p>
        </w:tc>
        <w:tc>
          <w:tcPr>
            <w:tcW w:w="709" w:type="pct"/>
            <w:shd w:val="clear" w:color="auto" w:fill="auto"/>
            <w:vAlign w:val="center"/>
          </w:tcPr>
          <w:p w14:paraId="29CDA4EA">
            <w:pPr>
              <w:adjustRightInd w:val="0"/>
              <w:spacing w:line="240" w:lineRule="auto"/>
              <w:jc w:val="center"/>
              <w:rPr>
                <w:rFonts w:ascii="仿宋_GB2312"/>
                <w:sz w:val="21"/>
                <w:szCs w:val="21"/>
              </w:rPr>
            </w:pPr>
            <w:r>
              <w:rPr>
                <w:rFonts w:hint="eastAsia" w:ascii="仿宋_GB2312"/>
                <w:sz w:val="21"/>
                <w:szCs w:val="21"/>
              </w:rPr>
              <w:t>长兴县应急化肥</w:t>
            </w:r>
          </w:p>
          <w:p w14:paraId="27523CEF">
            <w:pPr>
              <w:adjustRightInd w:val="0"/>
              <w:spacing w:line="240" w:lineRule="auto"/>
              <w:jc w:val="center"/>
              <w:rPr>
                <w:rFonts w:ascii="仿宋_GB2312"/>
                <w:sz w:val="21"/>
                <w:szCs w:val="21"/>
              </w:rPr>
            </w:pPr>
            <w:r>
              <w:rPr>
                <w:rFonts w:hint="eastAsia" w:ascii="仿宋_GB2312"/>
                <w:sz w:val="21"/>
                <w:szCs w:val="21"/>
              </w:rPr>
              <w:t>农药储备中心</w:t>
            </w:r>
          </w:p>
        </w:tc>
        <w:tc>
          <w:tcPr>
            <w:tcW w:w="1394" w:type="pct"/>
            <w:shd w:val="clear" w:color="auto" w:fill="auto"/>
            <w:vAlign w:val="center"/>
          </w:tcPr>
          <w:p w14:paraId="6700CC25">
            <w:pPr>
              <w:adjustRightInd w:val="0"/>
              <w:spacing w:line="240" w:lineRule="auto"/>
              <w:rPr>
                <w:rFonts w:ascii="仿宋_GB2312"/>
                <w:sz w:val="21"/>
                <w:szCs w:val="21"/>
              </w:rPr>
            </w:pPr>
            <w:r>
              <w:rPr>
                <w:rFonts w:hint="eastAsia" w:ascii="仿宋_GB2312"/>
                <w:sz w:val="21"/>
                <w:szCs w:val="21"/>
              </w:rPr>
              <w:t>新建县级化肥农药应急储备中心，占地20亩左右，建筑面积10000平方米。</w:t>
            </w:r>
          </w:p>
        </w:tc>
        <w:tc>
          <w:tcPr>
            <w:tcW w:w="357" w:type="pct"/>
            <w:shd w:val="clear" w:color="auto" w:fill="auto"/>
            <w:vAlign w:val="center"/>
          </w:tcPr>
          <w:p w14:paraId="1412C0F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3CC1884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0.5</w:t>
            </w:r>
          </w:p>
        </w:tc>
        <w:tc>
          <w:tcPr>
            <w:tcW w:w="472" w:type="pct"/>
            <w:shd w:val="clear" w:color="auto" w:fill="auto"/>
            <w:vAlign w:val="center"/>
          </w:tcPr>
          <w:p w14:paraId="75CA079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0.5</w:t>
            </w:r>
          </w:p>
        </w:tc>
        <w:tc>
          <w:tcPr>
            <w:tcW w:w="717" w:type="pct"/>
            <w:shd w:val="clear" w:color="auto" w:fill="auto"/>
            <w:vAlign w:val="center"/>
          </w:tcPr>
          <w:p w14:paraId="6279C28F">
            <w:pPr>
              <w:adjustRightInd w:val="0"/>
              <w:spacing w:line="240" w:lineRule="auto"/>
              <w:jc w:val="center"/>
              <w:rPr>
                <w:rFonts w:ascii="仿宋_GB2312"/>
                <w:sz w:val="21"/>
                <w:szCs w:val="21"/>
              </w:rPr>
            </w:pPr>
            <w:r>
              <w:rPr>
                <w:rFonts w:hint="eastAsia" w:ascii="仿宋_GB2312"/>
                <w:sz w:val="21"/>
                <w:szCs w:val="21"/>
              </w:rPr>
              <w:t>县供销社</w:t>
            </w:r>
          </w:p>
          <w:p w14:paraId="7BDB23AF">
            <w:pPr>
              <w:adjustRightInd w:val="0"/>
              <w:spacing w:line="240" w:lineRule="auto"/>
              <w:jc w:val="center"/>
              <w:rPr>
                <w:rFonts w:ascii="仿宋_GB2312"/>
                <w:sz w:val="21"/>
                <w:szCs w:val="21"/>
              </w:rPr>
            </w:pPr>
            <w:r>
              <w:rPr>
                <w:rFonts w:hint="eastAsia" w:ascii="仿宋_GB2312"/>
                <w:sz w:val="21"/>
                <w:szCs w:val="21"/>
              </w:rPr>
              <w:t>县农业农村局</w:t>
            </w:r>
          </w:p>
          <w:p w14:paraId="3DC0747D">
            <w:pPr>
              <w:adjustRightInd w:val="0"/>
              <w:spacing w:line="240" w:lineRule="auto"/>
              <w:jc w:val="center"/>
              <w:rPr>
                <w:rFonts w:ascii="仿宋_GB2312"/>
                <w:sz w:val="21"/>
                <w:szCs w:val="21"/>
              </w:rPr>
            </w:pPr>
            <w:r>
              <w:rPr>
                <w:rFonts w:hint="eastAsia" w:ascii="仿宋_GB2312"/>
                <w:sz w:val="21"/>
                <w:szCs w:val="21"/>
              </w:rPr>
              <w:t>长兴县惠多利农资有限公司</w:t>
            </w:r>
          </w:p>
        </w:tc>
        <w:tc>
          <w:tcPr>
            <w:tcW w:w="398" w:type="pct"/>
            <w:shd w:val="clear" w:color="auto" w:fill="auto"/>
            <w:vAlign w:val="center"/>
          </w:tcPr>
          <w:p w14:paraId="033C1CB9">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284604CB">
            <w:pPr>
              <w:adjustRightInd w:val="0"/>
              <w:spacing w:line="240" w:lineRule="auto"/>
              <w:jc w:val="center"/>
              <w:rPr>
                <w:rFonts w:ascii="仿宋_GB2312"/>
                <w:sz w:val="21"/>
                <w:szCs w:val="21"/>
              </w:rPr>
            </w:pPr>
            <w:r>
              <w:rPr>
                <w:rFonts w:hint="eastAsia" w:ascii="仿宋_GB2312"/>
                <w:sz w:val="21"/>
                <w:szCs w:val="21"/>
              </w:rPr>
              <w:t>新建</w:t>
            </w:r>
          </w:p>
        </w:tc>
      </w:tr>
      <w:tr w14:paraId="220C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2EBC501">
            <w:pPr>
              <w:adjustRightInd w:val="0"/>
              <w:spacing w:line="240" w:lineRule="auto"/>
              <w:jc w:val="center"/>
              <w:rPr>
                <w:rFonts w:ascii="仿宋_GB2312"/>
                <w:sz w:val="21"/>
                <w:szCs w:val="21"/>
              </w:rPr>
            </w:pPr>
            <w:r>
              <w:rPr>
                <w:rFonts w:hint="eastAsia" w:ascii="仿宋_GB2312"/>
                <w:sz w:val="21"/>
                <w:szCs w:val="21"/>
              </w:rPr>
              <w:t>55</w:t>
            </w:r>
          </w:p>
        </w:tc>
        <w:tc>
          <w:tcPr>
            <w:tcW w:w="709" w:type="pct"/>
            <w:shd w:val="clear" w:color="auto" w:fill="auto"/>
            <w:vAlign w:val="center"/>
          </w:tcPr>
          <w:p w14:paraId="35FB594E">
            <w:pPr>
              <w:adjustRightInd w:val="0"/>
              <w:spacing w:line="240" w:lineRule="auto"/>
              <w:jc w:val="center"/>
              <w:rPr>
                <w:rFonts w:ascii="仿宋_GB2312"/>
                <w:sz w:val="21"/>
                <w:szCs w:val="21"/>
              </w:rPr>
            </w:pPr>
            <w:r>
              <w:rPr>
                <w:rFonts w:hint="eastAsia" w:ascii="仿宋_GB2312"/>
                <w:sz w:val="21"/>
                <w:szCs w:val="21"/>
              </w:rPr>
              <w:t>长兴县气象监测</w:t>
            </w:r>
          </w:p>
          <w:p w14:paraId="104DAC24">
            <w:pPr>
              <w:adjustRightInd w:val="0"/>
              <w:spacing w:line="240" w:lineRule="auto"/>
              <w:jc w:val="center"/>
              <w:rPr>
                <w:rFonts w:ascii="仿宋_GB2312"/>
                <w:sz w:val="21"/>
                <w:szCs w:val="21"/>
              </w:rPr>
            </w:pPr>
            <w:r>
              <w:rPr>
                <w:rFonts w:hint="eastAsia" w:ascii="仿宋_GB2312"/>
                <w:sz w:val="21"/>
                <w:szCs w:val="21"/>
              </w:rPr>
              <w:t>预报能力提升工程</w:t>
            </w:r>
          </w:p>
        </w:tc>
        <w:tc>
          <w:tcPr>
            <w:tcW w:w="1394" w:type="pct"/>
            <w:shd w:val="clear" w:color="auto" w:fill="auto"/>
            <w:vAlign w:val="center"/>
          </w:tcPr>
          <w:p w14:paraId="646DBCB0">
            <w:pPr>
              <w:adjustRightInd w:val="0"/>
              <w:spacing w:line="240" w:lineRule="auto"/>
              <w:rPr>
                <w:rFonts w:ascii="仿宋_GB2312"/>
                <w:sz w:val="21"/>
                <w:szCs w:val="21"/>
              </w:rPr>
            </w:pPr>
            <w:r>
              <w:rPr>
                <w:rFonts w:hint="eastAsia" w:ascii="仿宋_GB2312"/>
                <w:sz w:val="21"/>
                <w:szCs w:val="21"/>
              </w:rPr>
              <w:t>推进地面综合气象站网升级，建设各要素自动气象站等设备44套；开展高空垂直观测系统建设，推进建设风廓线雷达1部、微波辐射计1套、毫米波云雷达1部、相控阵雷达1部。</w:t>
            </w:r>
          </w:p>
        </w:tc>
        <w:tc>
          <w:tcPr>
            <w:tcW w:w="357" w:type="pct"/>
            <w:shd w:val="clear" w:color="auto" w:fill="auto"/>
            <w:vAlign w:val="center"/>
          </w:tcPr>
          <w:p w14:paraId="51FA7B47">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28496CE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0.22</w:t>
            </w:r>
          </w:p>
        </w:tc>
        <w:tc>
          <w:tcPr>
            <w:tcW w:w="472" w:type="pct"/>
            <w:shd w:val="clear" w:color="auto" w:fill="auto"/>
            <w:vAlign w:val="center"/>
          </w:tcPr>
          <w:p w14:paraId="7F577F5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0.22</w:t>
            </w:r>
          </w:p>
        </w:tc>
        <w:tc>
          <w:tcPr>
            <w:tcW w:w="717" w:type="pct"/>
            <w:shd w:val="clear" w:color="auto" w:fill="auto"/>
            <w:vAlign w:val="center"/>
          </w:tcPr>
          <w:p w14:paraId="7D63AB05">
            <w:pPr>
              <w:adjustRightInd w:val="0"/>
              <w:spacing w:line="240" w:lineRule="auto"/>
              <w:jc w:val="center"/>
              <w:rPr>
                <w:rFonts w:ascii="仿宋_GB2312"/>
                <w:sz w:val="21"/>
                <w:szCs w:val="21"/>
              </w:rPr>
            </w:pPr>
            <w:r>
              <w:rPr>
                <w:rFonts w:hint="eastAsia" w:ascii="仿宋_GB2312"/>
                <w:sz w:val="21"/>
                <w:szCs w:val="21"/>
              </w:rPr>
              <w:t>县气象局</w:t>
            </w:r>
          </w:p>
        </w:tc>
        <w:tc>
          <w:tcPr>
            <w:tcW w:w="398" w:type="pct"/>
            <w:shd w:val="clear" w:color="auto" w:fill="auto"/>
            <w:vAlign w:val="center"/>
          </w:tcPr>
          <w:p w14:paraId="0EA2A308">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5ED818A0">
            <w:pPr>
              <w:adjustRightInd w:val="0"/>
              <w:spacing w:line="240" w:lineRule="auto"/>
              <w:jc w:val="center"/>
              <w:rPr>
                <w:rFonts w:ascii="仿宋_GB2312"/>
                <w:sz w:val="21"/>
                <w:szCs w:val="21"/>
              </w:rPr>
            </w:pPr>
            <w:r>
              <w:rPr>
                <w:rFonts w:hint="eastAsia" w:ascii="仿宋_GB2312"/>
                <w:sz w:val="21"/>
                <w:szCs w:val="21"/>
              </w:rPr>
              <w:t>新建</w:t>
            </w:r>
          </w:p>
        </w:tc>
      </w:tr>
      <w:tr w14:paraId="2E5A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729957B2">
            <w:pPr>
              <w:adjustRightInd w:val="0"/>
              <w:spacing w:line="240" w:lineRule="auto"/>
              <w:jc w:val="center"/>
              <w:rPr>
                <w:rFonts w:ascii="仿宋_GB2312"/>
                <w:sz w:val="21"/>
                <w:szCs w:val="21"/>
              </w:rPr>
            </w:pPr>
            <w:r>
              <w:rPr>
                <w:rFonts w:hint="eastAsia" w:ascii="仿宋_GB2312"/>
                <w:sz w:val="21"/>
                <w:szCs w:val="21"/>
              </w:rPr>
              <w:t>56</w:t>
            </w:r>
          </w:p>
        </w:tc>
        <w:tc>
          <w:tcPr>
            <w:tcW w:w="709" w:type="pct"/>
            <w:shd w:val="clear" w:color="auto" w:fill="auto"/>
            <w:vAlign w:val="center"/>
          </w:tcPr>
          <w:p w14:paraId="4D49F685">
            <w:pPr>
              <w:adjustRightInd w:val="0"/>
              <w:spacing w:line="240" w:lineRule="auto"/>
              <w:jc w:val="center"/>
              <w:rPr>
                <w:rFonts w:ascii="仿宋_GB2312"/>
                <w:sz w:val="21"/>
                <w:szCs w:val="21"/>
              </w:rPr>
            </w:pPr>
            <w:r>
              <w:rPr>
                <w:rFonts w:hint="eastAsia" w:ascii="仿宋_GB2312"/>
                <w:sz w:val="21"/>
                <w:szCs w:val="21"/>
              </w:rPr>
              <w:t>长兴县义务教育</w:t>
            </w:r>
          </w:p>
          <w:p w14:paraId="08765CF6">
            <w:pPr>
              <w:adjustRightInd w:val="0"/>
              <w:spacing w:line="240" w:lineRule="auto"/>
              <w:jc w:val="center"/>
              <w:rPr>
                <w:rFonts w:ascii="仿宋_GB2312"/>
                <w:sz w:val="21"/>
                <w:szCs w:val="21"/>
              </w:rPr>
            </w:pPr>
            <w:r>
              <w:rPr>
                <w:rFonts w:hint="eastAsia" w:ascii="仿宋_GB2312"/>
                <w:sz w:val="21"/>
                <w:szCs w:val="21"/>
              </w:rPr>
              <w:t>学校教学基础设施提升工程</w:t>
            </w:r>
          </w:p>
        </w:tc>
        <w:tc>
          <w:tcPr>
            <w:tcW w:w="1394" w:type="pct"/>
            <w:shd w:val="clear" w:color="auto" w:fill="auto"/>
            <w:vAlign w:val="center"/>
          </w:tcPr>
          <w:p w14:paraId="147E637A">
            <w:pPr>
              <w:adjustRightInd w:val="0"/>
              <w:spacing w:line="240" w:lineRule="auto"/>
              <w:rPr>
                <w:rFonts w:ascii="仿宋_GB2312"/>
                <w:sz w:val="21"/>
                <w:szCs w:val="21"/>
              </w:rPr>
            </w:pPr>
            <w:r>
              <w:rPr>
                <w:rFonts w:hint="eastAsia" w:ascii="仿宋_GB2312"/>
                <w:sz w:val="21"/>
                <w:szCs w:val="21"/>
              </w:rPr>
              <w:t>新建画溪街道的新能源小学，征地54亩，建设规模48班的教学、办公、生活用房25000平方米；扩建、改造和平小学等学校教学生活用房7300平方米等配套设施。</w:t>
            </w:r>
          </w:p>
        </w:tc>
        <w:tc>
          <w:tcPr>
            <w:tcW w:w="357" w:type="pct"/>
            <w:shd w:val="clear" w:color="auto" w:fill="auto"/>
            <w:vAlign w:val="center"/>
          </w:tcPr>
          <w:p w14:paraId="4A9E9ED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2C7CA5AB">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5.02</w:t>
            </w:r>
          </w:p>
        </w:tc>
        <w:tc>
          <w:tcPr>
            <w:tcW w:w="472" w:type="pct"/>
            <w:shd w:val="clear" w:color="auto" w:fill="auto"/>
            <w:vAlign w:val="center"/>
          </w:tcPr>
          <w:p w14:paraId="0D63BF0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2.32</w:t>
            </w:r>
          </w:p>
        </w:tc>
        <w:tc>
          <w:tcPr>
            <w:tcW w:w="717" w:type="pct"/>
            <w:shd w:val="clear" w:color="auto" w:fill="auto"/>
            <w:vAlign w:val="center"/>
          </w:tcPr>
          <w:p w14:paraId="237B30B3">
            <w:pPr>
              <w:adjustRightInd w:val="0"/>
              <w:spacing w:line="240" w:lineRule="auto"/>
              <w:jc w:val="center"/>
              <w:rPr>
                <w:rFonts w:ascii="仿宋_GB2312"/>
                <w:sz w:val="21"/>
                <w:szCs w:val="21"/>
              </w:rPr>
            </w:pPr>
            <w:r>
              <w:rPr>
                <w:rFonts w:hint="eastAsia" w:ascii="仿宋_GB2312"/>
                <w:sz w:val="21"/>
                <w:szCs w:val="21"/>
              </w:rPr>
              <w:t>画溪街道新能源</w:t>
            </w:r>
          </w:p>
          <w:p w14:paraId="42B69379">
            <w:pPr>
              <w:adjustRightInd w:val="0"/>
              <w:spacing w:line="240" w:lineRule="auto"/>
              <w:jc w:val="center"/>
              <w:rPr>
                <w:rFonts w:ascii="仿宋_GB2312"/>
                <w:sz w:val="21"/>
                <w:szCs w:val="21"/>
              </w:rPr>
            </w:pPr>
            <w:r>
              <w:rPr>
                <w:rFonts w:hint="eastAsia" w:ascii="仿宋_GB2312"/>
                <w:sz w:val="21"/>
                <w:szCs w:val="21"/>
              </w:rPr>
              <w:t>小镇小学筹建办</w:t>
            </w:r>
          </w:p>
          <w:p w14:paraId="5F3DB024">
            <w:pPr>
              <w:adjustRightInd w:val="0"/>
              <w:spacing w:line="240" w:lineRule="auto"/>
              <w:jc w:val="center"/>
              <w:rPr>
                <w:rFonts w:ascii="仿宋_GB2312"/>
                <w:sz w:val="21"/>
                <w:szCs w:val="21"/>
              </w:rPr>
            </w:pPr>
            <w:r>
              <w:rPr>
                <w:rFonts w:hint="eastAsia" w:ascii="仿宋_GB2312"/>
                <w:sz w:val="21"/>
                <w:szCs w:val="21"/>
              </w:rPr>
              <w:t>和平小学</w:t>
            </w:r>
          </w:p>
          <w:p w14:paraId="4757C89E">
            <w:pPr>
              <w:adjustRightInd w:val="0"/>
              <w:spacing w:line="240" w:lineRule="auto"/>
              <w:jc w:val="center"/>
              <w:rPr>
                <w:rFonts w:ascii="仿宋_GB2312"/>
                <w:sz w:val="21"/>
                <w:szCs w:val="21"/>
              </w:rPr>
            </w:pPr>
            <w:r>
              <w:rPr>
                <w:rFonts w:hint="eastAsia" w:ascii="仿宋_GB2312"/>
                <w:sz w:val="21"/>
                <w:szCs w:val="21"/>
              </w:rPr>
              <w:t>虹星桥小学等</w:t>
            </w:r>
          </w:p>
        </w:tc>
        <w:tc>
          <w:tcPr>
            <w:tcW w:w="398" w:type="pct"/>
            <w:shd w:val="clear" w:color="auto" w:fill="auto"/>
            <w:vAlign w:val="center"/>
          </w:tcPr>
          <w:p w14:paraId="24761EFD">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2BD44831">
            <w:pPr>
              <w:adjustRightInd w:val="0"/>
              <w:spacing w:line="240" w:lineRule="auto"/>
              <w:jc w:val="center"/>
              <w:rPr>
                <w:rFonts w:ascii="仿宋_GB2312"/>
                <w:sz w:val="21"/>
                <w:szCs w:val="21"/>
              </w:rPr>
            </w:pPr>
            <w:r>
              <w:rPr>
                <w:rFonts w:hint="eastAsia" w:ascii="仿宋_GB2312"/>
                <w:sz w:val="21"/>
                <w:szCs w:val="21"/>
              </w:rPr>
              <w:t>新建</w:t>
            </w:r>
          </w:p>
        </w:tc>
      </w:tr>
      <w:tr w14:paraId="190A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DF6F3E7">
            <w:pPr>
              <w:adjustRightInd w:val="0"/>
              <w:spacing w:line="240" w:lineRule="auto"/>
              <w:jc w:val="center"/>
              <w:rPr>
                <w:rFonts w:ascii="仿宋_GB2312"/>
                <w:sz w:val="21"/>
                <w:szCs w:val="21"/>
              </w:rPr>
            </w:pPr>
            <w:r>
              <w:rPr>
                <w:rFonts w:hint="eastAsia" w:ascii="仿宋_GB2312"/>
                <w:sz w:val="21"/>
                <w:szCs w:val="21"/>
              </w:rPr>
              <w:t>57</w:t>
            </w:r>
          </w:p>
        </w:tc>
        <w:tc>
          <w:tcPr>
            <w:tcW w:w="709" w:type="pct"/>
            <w:shd w:val="clear" w:color="auto" w:fill="auto"/>
            <w:vAlign w:val="center"/>
          </w:tcPr>
          <w:p w14:paraId="13B00468">
            <w:pPr>
              <w:adjustRightInd w:val="0"/>
              <w:spacing w:line="240" w:lineRule="auto"/>
              <w:jc w:val="center"/>
              <w:rPr>
                <w:rFonts w:ascii="仿宋_GB2312"/>
                <w:sz w:val="21"/>
                <w:szCs w:val="21"/>
              </w:rPr>
            </w:pPr>
            <w:r>
              <w:rPr>
                <w:rFonts w:hint="eastAsia" w:ascii="仿宋_GB2312"/>
                <w:sz w:val="21"/>
                <w:szCs w:val="21"/>
              </w:rPr>
              <w:t>城区幼儿园扩容</w:t>
            </w:r>
          </w:p>
          <w:p w14:paraId="57187195">
            <w:pPr>
              <w:adjustRightInd w:val="0"/>
              <w:spacing w:line="240" w:lineRule="auto"/>
              <w:jc w:val="center"/>
              <w:rPr>
                <w:rFonts w:ascii="仿宋_GB2312"/>
                <w:sz w:val="21"/>
                <w:szCs w:val="21"/>
              </w:rPr>
            </w:pPr>
            <w:r>
              <w:rPr>
                <w:rFonts w:hint="eastAsia" w:ascii="仿宋_GB2312"/>
                <w:sz w:val="21"/>
                <w:szCs w:val="21"/>
              </w:rPr>
              <w:t>提升工程</w:t>
            </w:r>
          </w:p>
        </w:tc>
        <w:tc>
          <w:tcPr>
            <w:tcW w:w="1394" w:type="pct"/>
            <w:shd w:val="clear" w:color="auto" w:fill="auto"/>
            <w:vAlign w:val="center"/>
          </w:tcPr>
          <w:p w14:paraId="52AD6414">
            <w:pPr>
              <w:adjustRightInd w:val="0"/>
              <w:spacing w:line="240" w:lineRule="auto"/>
              <w:rPr>
                <w:rFonts w:ascii="仿宋_GB2312"/>
                <w:sz w:val="21"/>
                <w:szCs w:val="21"/>
              </w:rPr>
            </w:pPr>
            <w:r>
              <w:rPr>
                <w:rFonts w:hint="eastAsia" w:ascii="仿宋_GB2312"/>
                <w:sz w:val="21"/>
                <w:szCs w:val="21"/>
              </w:rPr>
              <w:t>对城区规划地块征地104亩，新建幼儿园6所117班规模，建筑面积45360平方米；对龙山街道中心幼儿园等4所幼儿园征地21亩进行扩建，扩容45班，建筑面积为17000平方米。</w:t>
            </w:r>
          </w:p>
        </w:tc>
        <w:tc>
          <w:tcPr>
            <w:tcW w:w="357" w:type="pct"/>
            <w:shd w:val="clear" w:color="auto" w:fill="auto"/>
            <w:vAlign w:val="center"/>
          </w:tcPr>
          <w:p w14:paraId="398EC4F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2021-2024</w:t>
            </w:r>
          </w:p>
        </w:tc>
        <w:tc>
          <w:tcPr>
            <w:tcW w:w="327" w:type="pct"/>
            <w:shd w:val="clear" w:color="auto" w:fill="auto"/>
            <w:vAlign w:val="center"/>
          </w:tcPr>
          <w:p w14:paraId="34491C7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2.87</w:t>
            </w:r>
          </w:p>
        </w:tc>
        <w:tc>
          <w:tcPr>
            <w:tcW w:w="472" w:type="pct"/>
            <w:shd w:val="clear" w:color="auto" w:fill="auto"/>
            <w:vAlign w:val="center"/>
          </w:tcPr>
          <w:p w14:paraId="0C03D7C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2.87</w:t>
            </w:r>
          </w:p>
        </w:tc>
        <w:tc>
          <w:tcPr>
            <w:tcW w:w="717" w:type="pct"/>
            <w:shd w:val="clear" w:color="auto" w:fill="auto"/>
            <w:vAlign w:val="center"/>
          </w:tcPr>
          <w:p w14:paraId="68DD1973">
            <w:pPr>
              <w:adjustRightInd w:val="0"/>
              <w:spacing w:line="240" w:lineRule="auto"/>
              <w:jc w:val="center"/>
              <w:rPr>
                <w:rFonts w:ascii="仿宋_GB2312"/>
                <w:sz w:val="21"/>
                <w:szCs w:val="21"/>
              </w:rPr>
            </w:pPr>
            <w:r>
              <w:rPr>
                <w:rFonts w:hint="eastAsia" w:ascii="仿宋_GB2312"/>
                <w:sz w:val="21"/>
                <w:szCs w:val="21"/>
              </w:rPr>
              <w:t>龙山街道</w:t>
            </w:r>
          </w:p>
          <w:p w14:paraId="0CC7C9A9">
            <w:pPr>
              <w:adjustRightInd w:val="0"/>
              <w:spacing w:line="240" w:lineRule="auto"/>
              <w:jc w:val="center"/>
              <w:rPr>
                <w:rFonts w:ascii="仿宋_GB2312"/>
                <w:sz w:val="21"/>
                <w:szCs w:val="21"/>
              </w:rPr>
            </w:pPr>
            <w:r>
              <w:rPr>
                <w:rFonts w:hint="eastAsia" w:ascii="仿宋_GB2312"/>
                <w:sz w:val="21"/>
                <w:szCs w:val="21"/>
              </w:rPr>
              <w:t>雉城街道</w:t>
            </w:r>
          </w:p>
          <w:p w14:paraId="0E5CD9E2">
            <w:pPr>
              <w:adjustRightInd w:val="0"/>
              <w:spacing w:line="240" w:lineRule="auto"/>
              <w:jc w:val="center"/>
              <w:rPr>
                <w:rFonts w:ascii="仿宋_GB2312"/>
                <w:sz w:val="21"/>
                <w:szCs w:val="21"/>
              </w:rPr>
            </w:pPr>
            <w:r>
              <w:rPr>
                <w:rFonts w:hint="eastAsia" w:ascii="仿宋_GB2312"/>
                <w:sz w:val="21"/>
                <w:szCs w:val="21"/>
              </w:rPr>
              <w:t>太湖街道</w:t>
            </w:r>
          </w:p>
          <w:p w14:paraId="575CA1ED">
            <w:pPr>
              <w:adjustRightInd w:val="0"/>
              <w:spacing w:line="240" w:lineRule="auto"/>
              <w:jc w:val="center"/>
              <w:rPr>
                <w:rFonts w:ascii="仿宋_GB2312"/>
                <w:sz w:val="21"/>
                <w:szCs w:val="21"/>
              </w:rPr>
            </w:pPr>
            <w:r>
              <w:rPr>
                <w:rFonts w:hint="eastAsia" w:ascii="仿宋_GB2312"/>
                <w:sz w:val="21"/>
                <w:szCs w:val="21"/>
              </w:rPr>
              <w:t>画溪街道</w:t>
            </w:r>
          </w:p>
        </w:tc>
        <w:tc>
          <w:tcPr>
            <w:tcW w:w="398" w:type="pct"/>
            <w:shd w:val="clear" w:color="auto" w:fill="auto"/>
            <w:vAlign w:val="center"/>
          </w:tcPr>
          <w:p w14:paraId="49B004E1">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D7EC362">
            <w:pPr>
              <w:adjustRightInd w:val="0"/>
              <w:spacing w:line="240" w:lineRule="auto"/>
              <w:jc w:val="center"/>
              <w:rPr>
                <w:rFonts w:ascii="仿宋_GB2312"/>
                <w:sz w:val="21"/>
                <w:szCs w:val="21"/>
              </w:rPr>
            </w:pPr>
            <w:r>
              <w:rPr>
                <w:rFonts w:hint="eastAsia" w:ascii="仿宋_GB2312"/>
                <w:sz w:val="21"/>
                <w:szCs w:val="21"/>
              </w:rPr>
              <w:t>新建</w:t>
            </w:r>
          </w:p>
        </w:tc>
      </w:tr>
      <w:tr w14:paraId="44ED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8CDEF46">
            <w:pPr>
              <w:adjustRightInd w:val="0"/>
              <w:spacing w:line="240" w:lineRule="auto"/>
              <w:jc w:val="center"/>
              <w:rPr>
                <w:rFonts w:ascii="仿宋_GB2312"/>
                <w:sz w:val="21"/>
                <w:szCs w:val="21"/>
              </w:rPr>
            </w:pPr>
            <w:r>
              <w:rPr>
                <w:rFonts w:hint="eastAsia" w:ascii="仿宋_GB2312"/>
                <w:sz w:val="21"/>
                <w:szCs w:val="21"/>
              </w:rPr>
              <w:t>58</w:t>
            </w:r>
          </w:p>
        </w:tc>
        <w:tc>
          <w:tcPr>
            <w:tcW w:w="709" w:type="pct"/>
            <w:shd w:val="clear" w:color="auto" w:fill="auto"/>
            <w:vAlign w:val="center"/>
          </w:tcPr>
          <w:p w14:paraId="1050E513">
            <w:pPr>
              <w:adjustRightInd w:val="0"/>
              <w:spacing w:line="240" w:lineRule="auto"/>
              <w:jc w:val="center"/>
              <w:rPr>
                <w:rFonts w:ascii="仿宋_GB2312"/>
                <w:sz w:val="21"/>
                <w:szCs w:val="21"/>
              </w:rPr>
            </w:pPr>
            <w:r>
              <w:rPr>
                <w:rFonts w:hint="eastAsia" w:ascii="仿宋_GB2312"/>
                <w:sz w:val="21"/>
                <w:szCs w:val="21"/>
              </w:rPr>
              <w:t>长兴县公共卫生防</w:t>
            </w:r>
            <w:r>
              <w:rPr>
                <w:rFonts w:hint="eastAsia" w:ascii="仿宋_GB2312"/>
                <w:snapToGrid w:val="0"/>
                <w:spacing w:val="-6"/>
                <w:position w:val="-6"/>
                <w:sz w:val="21"/>
                <w:szCs w:val="21"/>
              </w:rPr>
              <w:t>控救治能力提升项目</w:t>
            </w:r>
          </w:p>
        </w:tc>
        <w:tc>
          <w:tcPr>
            <w:tcW w:w="1394" w:type="pct"/>
            <w:shd w:val="clear" w:color="auto" w:fill="auto"/>
            <w:vAlign w:val="center"/>
          </w:tcPr>
          <w:p w14:paraId="3D426963">
            <w:pPr>
              <w:adjustRightInd w:val="0"/>
              <w:spacing w:line="250" w:lineRule="exact"/>
              <w:rPr>
                <w:rFonts w:ascii="仿宋_GB2312"/>
                <w:sz w:val="21"/>
                <w:szCs w:val="21"/>
              </w:rPr>
            </w:pPr>
            <w:r>
              <w:rPr>
                <w:rFonts w:hint="eastAsia" w:ascii="仿宋_GB2312"/>
                <w:sz w:val="21"/>
                <w:szCs w:val="21"/>
              </w:rPr>
              <w:t>长兴县人民医院三期综合楼改扩建项目，共八层（地下二层、地上六层），占地面积12亩，总建筑面积27200平方米（其中地下面积14000平方米），设置床位150张；长兴县第三人民医院建设一幢公共健康中心大楼，共建七层（地下一层、地上六层），项目占地面积约20亩，总建筑面积 15000平方米，床位120张。县人民医院老住院楼改造工程，功能调整为内科、内镜、DSA介入、康复为主，改造面积约25000平方米。</w:t>
            </w:r>
          </w:p>
        </w:tc>
        <w:tc>
          <w:tcPr>
            <w:tcW w:w="357" w:type="pct"/>
            <w:shd w:val="clear" w:color="auto" w:fill="auto"/>
            <w:vAlign w:val="center"/>
          </w:tcPr>
          <w:p w14:paraId="33782EA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2020-2023</w:t>
            </w:r>
          </w:p>
        </w:tc>
        <w:tc>
          <w:tcPr>
            <w:tcW w:w="327" w:type="pct"/>
            <w:shd w:val="clear" w:color="auto" w:fill="auto"/>
            <w:vAlign w:val="center"/>
          </w:tcPr>
          <w:p w14:paraId="0935A6E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4.14</w:t>
            </w:r>
          </w:p>
        </w:tc>
        <w:tc>
          <w:tcPr>
            <w:tcW w:w="472" w:type="pct"/>
            <w:shd w:val="clear" w:color="auto" w:fill="auto"/>
            <w:vAlign w:val="center"/>
          </w:tcPr>
          <w:p w14:paraId="1670456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4.14</w:t>
            </w:r>
          </w:p>
        </w:tc>
        <w:tc>
          <w:tcPr>
            <w:tcW w:w="717" w:type="pct"/>
            <w:shd w:val="clear" w:color="auto" w:fill="auto"/>
            <w:vAlign w:val="center"/>
          </w:tcPr>
          <w:p w14:paraId="7F36340B">
            <w:pPr>
              <w:adjustRightInd w:val="0"/>
              <w:spacing w:line="240" w:lineRule="auto"/>
              <w:jc w:val="center"/>
              <w:rPr>
                <w:rFonts w:ascii="仿宋_GB2312"/>
                <w:sz w:val="21"/>
                <w:szCs w:val="21"/>
              </w:rPr>
            </w:pPr>
            <w:r>
              <w:rPr>
                <w:rFonts w:hint="eastAsia" w:ascii="仿宋_GB2312"/>
                <w:sz w:val="21"/>
                <w:szCs w:val="21"/>
              </w:rPr>
              <w:t>县卫生健康局</w:t>
            </w:r>
          </w:p>
        </w:tc>
        <w:tc>
          <w:tcPr>
            <w:tcW w:w="398" w:type="pct"/>
            <w:shd w:val="clear" w:color="auto" w:fill="auto"/>
            <w:vAlign w:val="center"/>
          </w:tcPr>
          <w:p w14:paraId="318ACF06">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326D037A">
            <w:pPr>
              <w:adjustRightInd w:val="0"/>
              <w:spacing w:line="240" w:lineRule="auto"/>
              <w:jc w:val="center"/>
              <w:rPr>
                <w:rFonts w:ascii="仿宋_GB2312"/>
                <w:sz w:val="21"/>
                <w:szCs w:val="21"/>
              </w:rPr>
            </w:pPr>
            <w:r>
              <w:rPr>
                <w:rFonts w:hint="eastAsia" w:ascii="仿宋_GB2312"/>
                <w:sz w:val="21"/>
                <w:szCs w:val="21"/>
              </w:rPr>
              <w:t>续建</w:t>
            </w:r>
          </w:p>
        </w:tc>
      </w:tr>
      <w:tr w14:paraId="0EA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823F4AF">
            <w:pPr>
              <w:adjustRightInd w:val="0"/>
              <w:spacing w:line="240" w:lineRule="auto"/>
              <w:jc w:val="center"/>
              <w:rPr>
                <w:rFonts w:ascii="仿宋_GB2312"/>
                <w:sz w:val="21"/>
                <w:szCs w:val="21"/>
              </w:rPr>
            </w:pPr>
            <w:r>
              <w:rPr>
                <w:rFonts w:hint="eastAsia" w:ascii="仿宋_GB2312"/>
                <w:sz w:val="21"/>
                <w:szCs w:val="21"/>
              </w:rPr>
              <w:t>59</w:t>
            </w:r>
          </w:p>
        </w:tc>
        <w:tc>
          <w:tcPr>
            <w:tcW w:w="709" w:type="pct"/>
            <w:shd w:val="clear" w:color="auto" w:fill="auto"/>
            <w:vAlign w:val="center"/>
          </w:tcPr>
          <w:p w14:paraId="77F4B8E9">
            <w:pPr>
              <w:adjustRightInd w:val="0"/>
              <w:spacing w:line="240" w:lineRule="auto"/>
              <w:jc w:val="center"/>
              <w:rPr>
                <w:rFonts w:ascii="仿宋_GB2312"/>
                <w:sz w:val="21"/>
                <w:szCs w:val="21"/>
              </w:rPr>
            </w:pPr>
            <w:r>
              <w:rPr>
                <w:rFonts w:hint="eastAsia" w:ascii="仿宋_GB2312"/>
                <w:sz w:val="21"/>
                <w:szCs w:val="21"/>
              </w:rPr>
              <w:t>基层医疗卫生服务体系能力提升项目</w:t>
            </w:r>
          </w:p>
        </w:tc>
        <w:tc>
          <w:tcPr>
            <w:tcW w:w="1394" w:type="pct"/>
            <w:shd w:val="clear" w:color="auto" w:fill="auto"/>
            <w:vAlign w:val="center"/>
          </w:tcPr>
          <w:p w14:paraId="74F0EE22">
            <w:pPr>
              <w:adjustRightInd w:val="0"/>
              <w:spacing w:line="240" w:lineRule="auto"/>
              <w:rPr>
                <w:rFonts w:ascii="仿宋_GB2312"/>
                <w:sz w:val="21"/>
                <w:szCs w:val="21"/>
              </w:rPr>
            </w:pPr>
            <w:r>
              <w:rPr>
                <w:rFonts w:hint="eastAsia" w:ascii="仿宋_GB2312"/>
                <w:sz w:val="21"/>
                <w:szCs w:val="21"/>
              </w:rPr>
              <w:t>虹星桥镇卫生院迁建项目建筑面积9000平方米、龙山街道社区卫生服务中心二期3000平方米，改造雉城街道社区卫生服务中心2800平方米，约90家社区卫生服务站标准化建设。</w:t>
            </w:r>
          </w:p>
        </w:tc>
        <w:tc>
          <w:tcPr>
            <w:tcW w:w="357" w:type="pct"/>
            <w:shd w:val="clear" w:color="auto" w:fill="auto"/>
            <w:vAlign w:val="center"/>
          </w:tcPr>
          <w:p w14:paraId="65F10AD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208D43B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1.2</w:t>
            </w:r>
          </w:p>
        </w:tc>
        <w:tc>
          <w:tcPr>
            <w:tcW w:w="472" w:type="pct"/>
            <w:shd w:val="clear" w:color="auto" w:fill="auto"/>
            <w:vAlign w:val="center"/>
          </w:tcPr>
          <w:p w14:paraId="4BCE96FA">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1.2</w:t>
            </w:r>
          </w:p>
        </w:tc>
        <w:tc>
          <w:tcPr>
            <w:tcW w:w="717" w:type="pct"/>
            <w:shd w:val="clear" w:color="auto" w:fill="auto"/>
            <w:vAlign w:val="center"/>
          </w:tcPr>
          <w:p w14:paraId="54BD3E4F">
            <w:pPr>
              <w:adjustRightInd w:val="0"/>
              <w:spacing w:line="240" w:lineRule="auto"/>
              <w:jc w:val="center"/>
              <w:rPr>
                <w:rFonts w:ascii="仿宋_GB2312"/>
                <w:sz w:val="21"/>
                <w:szCs w:val="21"/>
              </w:rPr>
            </w:pPr>
            <w:r>
              <w:rPr>
                <w:rFonts w:hint="eastAsia" w:ascii="仿宋_GB2312"/>
                <w:sz w:val="21"/>
                <w:szCs w:val="21"/>
              </w:rPr>
              <w:t>县卫生健康局</w:t>
            </w:r>
          </w:p>
        </w:tc>
        <w:tc>
          <w:tcPr>
            <w:tcW w:w="398" w:type="pct"/>
            <w:shd w:val="clear" w:color="auto" w:fill="auto"/>
            <w:vAlign w:val="center"/>
          </w:tcPr>
          <w:p w14:paraId="0B7C3395">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ED4D90E">
            <w:pPr>
              <w:adjustRightInd w:val="0"/>
              <w:spacing w:line="240" w:lineRule="auto"/>
              <w:jc w:val="center"/>
              <w:rPr>
                <w:rFonts w:ascii="仿宋_GB2312"/>
                <w:sz w:val="21"/>
                <w:szCs w:val="21"/>
              </w:rPr>
            </w:pPr>
            <w:r>
              <w:rPr>
                <w:rFonts w:hint="eastAsia" w:ascii="仿宋_GB2312"/>
                <w:sz w:val="21"/>
                <w:szCs w:val="21"/>
              </w:rPr>
              <w:t>新建</w:t>
            </w:r>
          </w:p>
        </w:tc>
      </w:tr>
      <w:tr w14:paraId="46D9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5D5A58DD">
            <w:pPr>
              <w:adjustRightInd w:val="0"/>
              <w:spacing w:line="240" w:lineRule="auto"/>
              <w:jc w:val="center"/>
              <w:rPr>
                <w:rFonts w:ascii="仿宋_GB2312"/>
                <w:sz w:val="21"/>
                <w:szCs w:val="21"/>
              </w:rPr>
            </w:pPr>
            <w:r>
              <w:rPr>
                <w:rFonts w:hint="eastAsia" w:ascii="仿宋_GB2312"/>
                <w:sz w:val="21"/>
                <w:szCs w:val="21"/>
              </w:rPr>
              <w:t>60</w:t>
            </w:r>
          </w:p>
        </w:tc>
        <w:tc>
          <w:tcPr>
            <w:tcW w:w="709" w:type="pct"/>
            <w:shd w:val="clear" w:color="auto" w:fill="auto"/>
            <w:vAlign w:val="center"/>
          </w:tcPr>
          <w:p w14:paraId="4B073154">
            <w:pPr>
              <w:adjustRightInd w:val="0"/>
              <w:spacing w:line="240" w:lineRule="auto"/>
              <w:jc w:val="center"/>
              <w:rPr>
                <w:rFonts w:ascii="仿宋_GB2312"/>
                <w:sz w:val="21"/>
                <w:szCs w:val="21"/>
              </w:rPr>
            </w:pPr>
            <w:r>
              <w:rPr>
                <w:rFonts w:hint="eastAsia" w:ascii="仿宋_GB2312"/>
                <w:sz w:val="21"/>
                <w:szCs w:val="21"/>
              </w:rPr>
              <w:t>长兴县公共卫生</w:t>
            </w:r>
          </w:p>
          <w:p w14:paraId="0586D200">
            <w:pPr>
              <w:adjustRightInd w:val="0"/>
              <w:spacing w:line="240" w:lineRule="auto"/>
              <w:jc w:val="center"/>
              <w:rPr>
                <w:rFonts w:ascii="仿宋_GB2312"/>
                <w:sz w:val="21"/>
                <w:szCs w:val="21"/>
              </w:rPr>
            </w:pPr>
            <w:r>
              <w:rPr>
                <w:rFonts w:hint="eastAsia" w:ascii="仿宋_GB2312"/>
                <w:sz w:val="21"/>
                <w:szCs w:val="21"/>
              </w:rPr>
              <w:t>应急综合保障中心</w:t>
            </w:r>
          </w:p>
        </w:tc>
        <w:tc>
          <w:tcPr>
            <w:tcW w:w="1394" w:type="pct"/>
            <w:shd w:val="clear" w:color="auto" w:fill="auto"/>
            <w:vAlign w:val="center"/>
          </w:tcPr>
          <w:p w14:paraId="60340241">
            <w:pPr>
              <w:adjustRightInd w:val="0"/>
              <w:spacing w:line="240" w:lineRule="auto"/>
              <w:rPr>
                <w:rFonts w:ascii="仿宋_GB2312"/>
                <w:sz w:val="21"/>
                <w:szCs w:val="21"/>
              </w:rPr>
            </w:pPr>
            <w:r>
              <w:rPr>
                <w:rFonts w:hint="eastAsia" w:ascii="仿宋_GB2312"/>
                <w:sz w:val="21"/>
                <w:szCs w:val="21"/>
              </w:rPr>
              <w:t>位于长兴县疾控中心大楼南侧，占地面积约4亩，总建筑面积约6000平方米，用于卫生应急指挥决策、应急监测、应急演练与培训等相关工作。</w:t>
            </w:r>
          </w:p>
        </w:tc>
        <w:tc>
          <w:tcPr>
            <w:tcW w:w="357" w:type="pct"/>
            <w:shd w:val="clear" w:color="auto" w:fill="auto"/>
            <w:vAlign w:val="center"/>
          </w:tcPr>
          <w:p w14:paraId="04F21E4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5A988E2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0.5</w:t>
            </w:r>
          </w:p>
        </w:tc>
        <w:tc>
          <w:tcPr>
            <w:tcW w:w="472" w:type="pct"/>
            <w:shd w:val="clear" w:color="auto" w:fill="auto"/>
            <w:vAlign w:val="center"/>
          </w:tcPr>
          <w:p w14:paraId="3224C389">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0.5</w:t>
            </w:r>
          </w:p>
        </w:tc>
        <w:tc>
          <w:tcPr>
            <w:tcW w:w="717" w:type="pct"/>
            <w:shd w:val="clear" w:color="auto" w:fill="auto"/>
            <w:vAlign w:val="center"/>
          </w:tcPr>
          <w:p w14:paraId="1D149E0A">
            <w:pPr>
              <w:adjustRightInd w:val="0"/>
              <w:spacing w:line="240" w:lineRule="auto"/>
              <w:jc w:val="center"/>
              <w:rPr>
                <w:rFonts w:ascii="仿宋_GB2312"/>
                <w:sz w:val="21"/>
                <w:szCs w:val="21"/>
              </w:rPr>
            </w:pPr>
            <w:r>
              <w:rPr>
                <w:rFonts w:hint="eastAsia" w:ascii="仿宋_GB2312"/>
                <w:sz w:val="21"/>
                <w:szCs w:val="21"/>
              </w:rPr>
              <w:t>县卫生健康局</w:t>
            </w:r>
          </w:p>
        </w:tc>
        <w:tc>
          <w:tcPr>
            <w:tcW w:w="398" w:type="pct"/>
            <w:shd w:val="clear" w:color="auto" w:fill="auto"/>
            <w:vAlign w:val="center"/>
          </w:tcPr>
          <w:p w14:paraId="36F98F2E">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5F6E8A32">
            <w:pPr>
              <w:adjustRightInd w:val="0"/>
              <w:spacing w:line="240" w:lineRule="auto"/>
              <w:jc w:val="center"/>
              <w:rPr>
                <w:rFonts w:ascii="仿宋_GB2312"/>
                <w:sz w:val="21"/>
                <w:szCs w:val="21"/>
              </w:rPr>
            </w:pPr>
            <w:r>
              <w:rPr>
                <w:rFonts w:hint="eastAsia" w:ascii="仿宋_GB2312"/>
                <w:sz w:val="21"/>
                <w:szCs w:val="21"/>
              </w:rPr>
              <w:t>新建</w:t>
            </w:r>
          </w:p>
        </w:tc>
      </w:tr>
      <w:tr w14:paraId="1797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1E03BE42">
            <w:pPr>
              <w:adjustRightInd w:val="0"/>
              <w:spacing w:line="240" w:lineRule="auto"/>
              <w:jc w:val="center"/>
              <w:rPr>
                <w:rFonts w:ascii="仿宋_GB2312"/>
                <w:sz w:val="21"/>
                <w:szCs w:val="21"/>
              </w:rPr>
            </w:pPr>
            <w:r>
              <w:rPr>
                <w:rFonts w:hint="eastAsia" w:ascii="仿宋_GB2312"/>
                <w:sz w:val="21"/>
                <w:szCs w:val="21"/>
              </w:rPr>
              <w:t>61</w:t>
            </w:r>
          </w:p>
        </w:tc>
        <w:tc>
          <w:tcPr>
            <w:tcW w:w="709" w:type="pct"/>
            <w:shd w:val="clear" w:color="auto" w:fill="auto"/>
            <w:vAlign w:val="center"/>
          </w:tcPr>
          <w:p w14:paraId="6F495DB6">
            <w:pPr>
              <w:adjustRightInd w:val="0"/>
              <w:spacing w:line="240" w:lineRule="auto"/>
              <w:jc w:val="center"/>
              <w:rPr>
                <w:rFonts w:ascii="仿宋_GB2312"/>
                <w:sz w:val="21"/>
                <w:szCs w:val="21"/>
              </w:rPr>
            </w:pPr>
            <w:r>
              <w:rPr>
                <w:rFonts w:hint="eastAsia" w:ascii="仿宋_GB2312"/>
                <w:snapToGrid w:val="0"/>
                <w:spacing w:val="-6"/>
                <w:position w:val="-6"/>
                <w:sz w:val="21"/>
                <w:szCs w:val="21"/>
              </w:rPr>
              <w:t>长兴康宁护理院二期</w:t>
            </w:r>
          </w:p>
        </w:tc>
        <w:tc>
          <w:tcPr>
            <w:tcW w:w="1394" w:type="pct"/>
            <w:shd w:val="clear" w:color="auto" w:fill="auto"/>
            <w:vAlign w:val="center"/>
          </w:tcPr>
          <w:p w14:paraId="4A6CFD9C">
            <w:pPr>
              <w:adjustRightInd w:val="0"/>
              <w:spacing w:line="240" w:lineRule="auto"/>
              <w:rPr>
                <w:rFonts w:ascii="仿宋_GB2312"/>
                <w:sz w:val="21"/>
                <w:szCs w:val="21"/>
              </w:rPr>
            </w:pPr>
            <w:r>
              <w:rPr>
                <w:rFonts w:hint="eastAsia" w:ascii="仿宋_GB2312"/>
                <w:sz w:val="21"/>
                <w:szCs w:val="21"/>
              </w:rPr>
              <w:t>钮店湾居委会两幢大楼改造面积5600平方米，设置养老床位230床左右。</w:t>
            </w:r>
          </w:p>
        </w:tc>
        <w:tc>
          <w:tcPr>
            <w:tcW w:w="357" w:type="pct"/>
            <w:shd w:val="clear" w:color="auto" w:fill="auto"/>
            <w:vAlign w:val="center"/>
          </w:tcPr>
          <w:p w14:paraId="09A8B316">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2021-2022</w:t>
            </w:r>
          </w:p>
        </w:tc>
        <w:tc>
          <w:tcPr>
            <w:tcW w:w="327" w:type="pct"/>
            <w:shd w:val="clear" w:color="auto" w:fill="auto"/>
            <w:vAlign w:val="center"/>
          </w:tcPr>
          <w:p w14:paraId="3EBF259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0.6</w:t>
            </w:r>
          </w:p>
        </w:tc>
        <w:tc>
          <w:tcPr>
            <w:tcW w:w="472" w:type="pct"/>
            <w:shd w:val="clear" w:color="auto" w:fill="auto"/>
            <w:vAlign w:val="center"/>
          </w:tcPr>
          <w:p w14:paraId="720A247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0.6</w:t>
            </w:r>
          </w:p>
        </w:tc>
        <w:tc>
          <w:tcPr>
            <w:tcW w:w="717" w:type="pct"/>
            <w:shd w:val="clear" w:color="auto" w:fill="auto"/>
            <w:vAlign w:val="center"/>
          </w:tcPr>
          <w:p w14:paraId="30624F02">
            <w:pPr>
              <w:adjustRightInd w:val="0"/>
              <w:spacing w:line="240" w:lineRule="auto"/>
              <w:jc w:val="center"/>
              <w:rPr>
                <w:rFonts w:ascii="仿宋_GB2312"/>
                <w:sz w:val="21"/>
                <w:szCs w:val="21"/>
              </w:rPr>
            </w:pPr>
            <w:r>
              <w:rPr>
                <w:rFonts w:hint="eastAsia" w:ascii="仿宋_GB2312"/>
                <w:sz w:val="21"/>
                <w:szCs w:val="21"/>
              </w:rPr>
              <w:t>长兴康宁</w:t>
            </w:r>
          </w:p>
          <w:p w14:paraId="21714229">
            <w:pPr>
              <w:adjustRightInd w:val="0"/>
              <w:spacing w:line="240" w:lineRule="auto"/>
              <w:jc w:val="center"/>
              <w:rPr>
                <w:rFonts w:ascii="仿宋_GB2312"/>
                <w:sz w:val="21"/>
                <w:szCs w:val="21"/>
              </w:rPr>
            </w:pPr>
            <w:r>
              <w:rPr>
                <w:rFonts w:hint="eastAsia" w:ascii="仿宋_GB2312"/>
                <w:sz w:val="21"/>
                <w:szCs w:val="21"/>
              </w:rPr>
              <w:t>护理院有限公司</w:t>
            </w:r>
          </w:p>
        </w:tc>
        <w:tc>
          <w:tcPr>
            <w:tcW w:w="398" w:type="pct"/>
            <w:shd w:val="clear" w:color="auto" w:fill="auto"/>
            <w:vAlign w:val="center"/>
          </w:tcPr>
          <w:p w14:paraId="50AFD5FC">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C23CF27">
            <w:pPr>
              <w:adjustRightInd w:val="0"/>
              <w:spacing w:line="240" w:lineRule="auto"/>
              <w:jc w:val="center"/>
              <w:rPr>
                <w:rFonts w:ascii="仿宋_GB2312"/>
                <w:sz w:val="21"/>
                <w:szCs w:val="21"/>
              </w:rPr>
            </w:pPr>
            <w:r>
              <w:rPr>
                <w:rFonts w:hint="eastAsia" w:ascii="仿宋_GB2312"/>
                <w:sz w:val="21"/>
                <w:szCs w:val="21"/>
              </w:rPr>
              <w:t>新建</w:t>
            </w:r>
          </w:p>
        </w:tc>
      </w:tr>
      <w:tr w14:paraId="6D5E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3BA279AA">
            <w:pPr>
              <w:adjustRightInd w:val="0"/>
              <w:spacing w:line="240" w:lineRule="auto"/>
              <w:jc w:val="center"/>
              <w:rPr>
                <w:rFonts w:ascii="仿宋_GB2312"/>
                <w:sz w:val="21"/>
                <w:szCs w:val="21"/>
              </w:rPr>
            </w:pPr>
            <w:r>
              <w:rPr>
                <w:rFonts w:hint="eastAsia" w:ascii="仿宋_GB2312"/>
                <w:sz w:val="21"/>
                <w:szCs w:val="21"/>
              </w:rPr>
              <w:t>62</w:t>
            </w:r>
          </w:p>
        </w:tc>
        <w:tc>
          <w:tcPr>
            <w:tcW w:w="709" w:type="pct"/>
            <w:shd w:val="clear" w:color="auto" w:fill="auto"/>
            <w:vAlign w:val="center"/>
          </w:tcPr>
          <w:p w14:paraId="26FD2615">
            <w:pPr>
              <w:adjustRightInd w:val="0"/>
              <w:spacing w:line="240" w:lineRule="auto"/>
              <w:jc w:val="center"/>
              <w:rPr>
                <w:rFonts w:ascii="仿宋_GB2312"/>
                <w:sz w:val="21"/>
                <w:szCs w:val="21"/>
              </w:rPr>
            </w:pPr>
            <w:r>
              <w:rPr>
                <w:rFonts w:hint="eastAsia" w:ascii="仿宋_GB2312"/>
                <w:sz w:val="21"/>
                <w:szCs w:val="21"/>
              </w:rPr>
              <w:t>浙北医疗</w:t>
            </w:r>
          </w:p>
          <w:p w14:paraId="3D8A5C43">
            <w:pPr>
              <w:adjustRightInd w:val="0"/>
              <w:spacing w:line="240" w:lineRule="auto"/>
              <w:jc w:val="center"/>
              <w:rPr>
                <w:rFonts w:ascii="仿宋_GB2312"/>
                <w:sz w:val="21"/>
                <w:szCs w:val="21"/>
              </w:rPr>
            </w:pPr>
            <w:r>
              <w:rPr>
                <w:rFonts w:hint="eastAsia" w:ascii="仿宋_GB2312"/>
                <w:sz w:val="21"/>
                <w:szCs w:val="21"/>
              </w:rPr>
              <w:t>康复中心二期</w:t>
            </w:r>
          </w:p>
        </w:tc>
        <w:tc>
          <w:tcPr>
            <w:tcW w:w="1394" w:type="pct"/>
            <w:shd w:val="clear" w:color="auto" w:fill="auto"/>
            <w:vAlign w:val="center"/>
          </w:tcPr>
          <w:p w14:paraId="68FA0168">
            <w:pPr>
              <w:adjustRightInd w:val="0"/>
              <w:spacing w:line="240" w:lineRule="auto"/>
              <w:rPr>
                <w:rFonts w:ascii="仿宋_GB2312"/>
                <w:sz w:val="21"/>
                <w:szCs w:val="21"/>
              </w:rPr>
            </w:pPr>
            <w:r>
              <w:rPr>
                <w:rFonts w:hint="eastAsia" w:ascii="仿宋_GB2312"/>
                <w:sz w:val="21"/>
                <w:szCs w:val="21"/>
              </w:rPr>
              <w:t>暂定建设各类型养老、养生公寓和配套项目，建设用地约34422平方米，规划总建筑面积约67000平方米。</w:t>
            </w:r>
          </w:p>
        </w:tc>
        <w:tc>
          <w:tcPr>
            <w:tcW w:w="357" w:type="pct"/>
            <w:shd w:val="clear" w:color="auto" w:fill="auto"/>
            <w:vAlign w:val="center"/>
          </w:tcPr>
          <w:p w14:paraId="205F60FD">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2023-2026</w:t>
            </w:r>
          </w:p>
        </w:tc>
        <w:tc>
          <w:tcPr>
            <w:tcW w:w="327" w:type="pct"/>
            <w:shd w:val="clear" w:color="auto" w:fill="auto"/>
            <w:vAlign w:val="center"/>
          </w:tcPr>
          <w:p w14:paraId="73BA795D">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3.26</w:t>
            </w:r>
          </w:p>
        </w:tc>
        <w:tc>
          <w:tcPr>
            <w:tcW w:w="472" w:type="pct"/>
            <w:shd w:val="clear" w:color="auto" w:fill="auto"/>
            <w:vAlign w:val="center"/>
          </w:tcPr>
          <w:p w14:paraId="59CD0E9E">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2</w:t>
            </w:r>
          </w:p>
        </w:tc>
        <w:tc>
          <w:tcPr>
            <w:tcW w:w="717" w:type="pct"/>
            <w:shd w:val="clear" w:color="auto" w:fill="auto"/>
            <w:vAlign w:val="center"/>
          </w:tcPr>
          <w:p w14:paraId="468339D4">
            <w:pPr>
              <w:adjustRightInd w:val="0"/>
              <w:spacing w:line="240" w:lineRule="auto"/>
              <w:jc w:val="center"/>
              <w:rPr>
                <w:rFonts w:ascii="仿宋_GB2312"/>
                <w:sz w:val="21"/>
                <w:szCs w:val="21"/>
              </w:rPr>
            </w:pPr>
            <w:r>
              <w:rPr>
                <w:rFonts w:hint="eastAsia" w:ascii="仿宋_GB2312"/>
                <w:sz w:val="21"/>
                <w:szCs w:val="21"/>
              </w:rPr>
              <w:t>浙江长兴浙北</w:t>
            </w:r>
          </w:p>
          <w:p w14:paraId="1AABE8D2">
            <w:pPr>
              <w:adjustRightInd w:val="0"/>
              <w:spacing w:line="240" w:lineRule="auto"/>
              <w:jc w:val="center"/>
              <w:rPr>
                <w:rFonts w:ascii="仿宋_GB2312"/>
                <w:sz w:val="21"/>
                <w:szCs w:val="21"/>
              </w:rPr>
            </w:pPr>
            <w:r>
              <w:rPr>
                <w:rFonts w:hint="eastAsia" w:ascii="仿宋_GB2312"/>
                <w:sz w:val="21"/>
                <w:szCs w:val="21"/>
              </w:rPr>
              <w:t>医疗康复有限公司</w:t>
            </w:r>
          </w:p>
        </w:tc>
        <w:tc>
          <w:tcPr>
            <w:tcW w:w="398" w:type="pct"/>
            <w:shd w:val="clear" w:color="auto" w:fill="auto"/>
            <w:vAlign w:val="center"/>
          </w:tcPr>
          <w:p w14:paraId="475455F7">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46CA16EB">
            <w:pPr>
              <w:adjustRightInd w:val="0"/>
              <w:spacing w:line="240" w:lineRule="auto"/>
              <w:jc w:val="center"/>
              <w:rPr>
                <w:rFonts w:ascii="仿宋_GB2312"/>
                <w:sz w:val="21"/>
                <w:szCs w:val="21"/>
              </w:rPr>
            </w:pPr>
            <w:r>
              <w:rPr>
                <w:rFonts w:hint="eastAsia" w:ascii="仿宋_GB2312"/>
                <w:sz w:val="21"/>
                <w:szCs w:val="21"/>
              </w:rPr>
              <w:t>新建</w:t>
            </w:r>
          </w:p>
        </w:tc>
      </w:tr>
      <w:tr w14:paraId="735E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4568C69D">
            <w:pPr>
              <w:adjustRightInd w:val="0"/>
              <w:spacing w:line="240" w:lineRule="auto"/>
              <w:jc w:val="center"/>
              <w:rPr>
                <w:rFonts w:ascii="仿宋_GB2312"/>
                <w:sz w:val="21"/>
                <w:szCs w:val="21"/>
              </w:rPr>
            </w:pPr>
            <w:r>
              <w:rPr>
                <w:rFonts w:hint="eastAsia" w:ascii="仿宋_GB2312"/>
                <w:sz w:val="21"/>
                <w:szCs w:val="21"/>
              </w:rPr>
              <w:t>63</w:t>
            </w:r>
          </w:p>
        </w:tc>
        <w:tc>
          <w:tcPr>
            <w:tcW w:w="709" w:type="pct"/>
            <w:shd w:val="clear" w:color="auto" w:fill="auto"/>
            <w:vAlign w:val="center"/>
          </w:tcPr>
          <w:p w14:paraId="4EA2733F">
            <w:pPr>
              <w:adjustRightInd w:val="0"/>
              <w:spacing w:line="240" w:lineRule="auto"/>
              <w:jc w:val="center"/>
              <w:rPr>
                <w:rFonts w:ascii="仿宋_GB2312"/>
                <w:sz w:val="21"/>
                <w:szCs w:val="21"/>
              </w:rPr>
            </w:pPr>
            <w:r>
              <w:rPr>
                <w:rFonts w:hint="eastAsia" w:ascii="仿宋_GB2312"/>
                <w:sz w:val="21"/>
                <w:szCs w:val="21"/>
              </w:rPr>
              <w:t>长兴全民体育中心</w:t>
            </w:r>
          </w:p>
        </w:tc>
        <w:tc>
          <w:tcPr>
            <w:tcW w:w="1394" w:type="pct"/>
            <w:shd w:val="clear" w:color="auto" w:fill="auto"/>
            <w:vAlign w:val="center"/>
          </w:tcPr>
          <w:p w14:paraId="474191BD">
            <w:pPr>
              <w:adjustRightInd w:val="0"/>
              <w:spacing w:line="240" w:lineRule="auto"/>
              <w:rPr>
                <w:rFonts w:ascii="仿宋_GB2312"/>
                <w:sz w:val="21"/>
                <w:szCs w:val="21"/>
              </w:rPr>
            </w:pPr>
            <w:r>
              <w:rPr>
                <w:rFonts w:hint="eastAsia" w:ascii="仿宋_GB2312"/>
                <w:sz w:val="21"/>
                <w:szCs w:val="21"/>
              </w:rPr>
              <w:t>初步规划占地约235亩，建筑总面积为75000平方米，主要建设体育场、体育馆、全民健身中心及少体校等设施。</w:t>
            </w:r>
          </w:p>
        </w:tc>
        <w:tc>
          <w:tcPr>
            <w:tcW w:w="357" w:type="pct"/>
            <w:shd w:val="clear" w:color="auto" w:fill="auto"/>
            <w:vAlign w:val="center"/>
          </w:tcPr>
          <w:p w14:paraId="4E005665">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2021-2025</w:t>
            </w:r>
          </w:p>
        </w:tc>
        <w:tc>
          <w:tcPr>
            <w:tcW w:w="327" w:type="pct"/>
            <w:shd w:val="clear" w:color="auto" w:fill="auto"/>
            <w:vAlign w:val="center"/>
          </w:tcPr>
          <w:p w14:paraId="03911D30">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5.45</w:t>
            </w:r>
          </w:p>
        </w:tc>
        <w:tc>
          <w:tcPr>
            <w:tcW w:w="472" w:type="pct"/>
            <w:shd w:val="clear" w:color="auto" w:fill="auto"/>
            <w:vAlign w:val="center"/>
          </w:tcPr>
          <w:p w14:paraId="2360DBD8">
            <w:pPr>
              <w:adjustRightInd w:val="0"/>
              <w:spacing w:line="240" w:lineRule="auto"/>
              <w:jc w:val="center"/>
              <w:rPr>
                <w:rFonts w:ascii="仿宋_GB2312"/>
                <w:snapToGrid w:val="0"/>
                <w:spacing w:val="-16"/>
                <w:sz w:val="21"/>
                <w:szCs w:val="21"/>
                <w:highlight w:val="yellow"/>
              </w:rPr>
            </w:pPr>
            <w:r>
              <w:rPr>
                <w:rFonts w:hint="eastAsia" w:ascii="仿宋_GB2312"/>
                <w:snapToGrid w:val="0"/>
                <w:spacing w:val="-16"/>
                <w:sz w:val="21"/>
                <w:szCs w:val="21"/>
              </w:rPr>
              <w:t>5.45</w:t>
            </w:r>
          </w:p>
        </w:tc>
        <w:tc>
          <w:tcPr>
            <w:tcW w:w="717" w:type="pct"/>
            <w:shd w:val="clear" w:color="auto" w:fill="auto"/>
            <w:vAlign w:val="center"/>
          </w:tcPr>
          <w:p w14:paraId="1B99E4DC">
            <w:pPr>
              <w:adjustRightInd w:val="0"/>
              <w:spacing w:line="240" w:lineRule="auto"/>
              <w:jc w:val="center"/>
              <w:rPr>
                <w:rFonts w:ascii="仿宋_GB2312"/>
                <w:sz w:val="21"/>
                <w:szCs w:val="21"/>
              </w:rPr>
            </w:pPr>
            <w:r>
              <w:rPr>
                <w:rFonts w:hint="eastAsia" w:ascii="仿宋_GB2312"/>
                <w:sz w:val="21"/>
                <w:szCs w:val="21"/>
              </w:rPr>
              <w:t>县文广旅体局</w:t>
            </w:r>
          </w:p>
        </w:tc>
        <w:tc>
          <w:tcPr>
            <w:tcW w:w="398" w:type="pct"/>
            <w:shd w:val="clear" w:color="auto" w:fill="auto"/>
            <w:vAlign w:val="center"/>
          </w:tcPr>
          <w:p w14:paraId="139535AA">
            <w:pPr>
              <w:adjustRightInd w:val="0"/>
              <w:spacing w:line="240" w:lineRule="auto"/>
              <w:jc w:val="center"/>
              <w:rPr>
                <w:rFonts w:ascii="仿宋_GB2312"/>
                <w:sz w:val="21"/>
                <w:szCs w:val="21"/>
              </w:rPr>
            </w:pPr>
            <w:r>
              <w:rPr>
                <w:rFonts w:hint="eastAsia" w:ascii="仿宋_GB2312"/>
                <w:sz w:val="21"/>
                <w:szCs w:val="21"/>
              </w:rPr>
              <w:t>谋划类</w:t>
            </w:r>
          </w:p>
        </w:tc>
        <w:tc>
          <w:tcPr>
            <w:tcW w:w="440" w:type="pct"/>
            <w:shd w:val="clear" w:color="auto" w:fill="auto"/>
            <w:vAlign w:val="center"/>
          </w:tcPr>
          <w:p w14:paraId="3D0508AF">
            <w:pPr>
              <w:adjustRightInd w:val="0"/>
              <w:spacing w:line="240" w:lineRule="auto"/>
              <w:jc w:val="center"/>
              <w:rPr>
                <w:rFonts w:ascii="仿宋_GB2312"/>
                <w:sz w:val="21"/>
                <w:szCs w:val="21"/>
              </w:rPr>
            </w:pPr>
            <w:r>
              <w:rPr>
                <w:rFonts w:hint="eastAsia" w:ascii="仿宋_GB2312"/>
                <w:sz w:val="21"/>
                <w:szCs w:val="21"/>
              </w:rPr>
              <w:t>新建</w:t>
            </w:r>
          </w:p>
        </w:tc>
      </w:tr>
      <w:tr w14:paraId="635C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shd w:val="clear" w:color="auto" w:fill="auto"/>
            <w:vAlign w:val="center"/>
          </w:tcPr>
          <w:p w14:paraId="0197C106">
            <w:pPr>
              <w:adjustRightInd w:val="0"/>
              <w:spacing w:line="240" w:lineRule="auto"/>
              <w:jc w:val="center"/>
              <w:rPr>
                <w:rFonts w:ascii="仿宋_GB2312"/>
                <w:sz w:val="21"/>
                <w:szCs w:val="21"/>
              </w:rPr>
            </w:pPr>
            <w:r>
              <w:rPr>
                <w:rFonts w:hint="eastAsia" w:ascii="仿宋_GB2312"/>
                <w:sz w:val="21"/>
                <w:szCs w:val="21"/>
              </w:rPr>
              <w:t>64</w:t>
            </w:r>
          </w:p>
        </w:tc>
        <w:tc>
          <w:tcPr>
            <w:tcW w:w="709" w:type="pct"/>
            <w:shd w:val="clear" w:color="auto" w:fill="auto"/>
            <w:vAlign w:val="center"/>
          </w:tcPr>
          <w:p w14:paraId="793C4297">
            <w:pPr>
              <w:adjustRightInd w:val="0"/>
              <w:spacing w:line="240" w:lineRule="auto"/>
              <w:jc w:val="center"/>
              <w:rPr>
                <w:rFonts w:ascii="仿宋_GB2312"/>
                <w:sz w:val="21"/>
                <w:szCs w:val="21"/>
              </w:rPr>
            </w:pPr>
            <w:r>
              <w:rPr>
                <w:rFonts w:hint="eastAsia" w:ascii="仿宋_GB2312"/>
                <w:sz w:val="21"/>
                <w:szCs w:val="21"/>
              </w:rPr>
              <w:t>全民健身设施</w:t>
            </w:r>
          </w:p>
          <w:p w14:paraId="17B6B544">
            <w:pPr>
              <w:adjustRightInd w:val="0"/>
              <w:spacing w:line="240" w:lineRule="auto"/>
              <w:jc w:val="center"/>
              <w:rPr>
                <w:rFonts w:ascii="仿宋_GB2312"/>
                <w:sz w:val="21"/>
                <w:szCs w:val="21"/>
              </w:rPr>
            </w:pPr>
            <w:r>
              <w:rPr>
                <w:rFonts w:hint="eastAsia" w:ascii="仿宋_GB2312"/>
                <w:sz w:val="21"/>
                <w:szCs w:val="21"/>
              </w:rPr>
              <w:t>建设项目</w:t>
            </w:r>
          </w:p>
        </w:tc>
        <w:tc>
          <w:tcPr>
            <w:tcW w:w="1394" w:type="pct"/>
            <w:shd w:val="clear" w:color="auto" w:fill="auto"/>
            <w:vAlign w:val="center"/>
          </w:tcPr>
          <w:p w14:paraId="66FE9969">
            <w:pPr>
              <w:adjustRightInd w:val="0"/>
              <w:spacing w:line="240" w:lineRule="auto"/>
              <w:rPr>
                <w:rFonts w:ascii="仿宋_GB2312"/>
                <w:sz w:val="21"/>
                <w:szCs w:val="21"/>
              </w:rPr>
            </w:pPr>
            <w:r>
              <w:rPr>
                <w:rFonts w:hint="eastAsia" w:ascii="仿宋_GB2312"/>
                <w:sz w:val="21"/>
                <w:szCs w:val="21"/>
              </w:rPr>
              <w:t>重点建设龙山公园健身步道、三河湾体育公园、画溪湿地体育公园、台基山体育公园、体育中心体育馆提升维修、体育中心室外篮球场提升改造、全民健身运动中心等体育设施。</w:t>
            </w:r>
          </w:p>
        </w:tc>
        <w:tc>
          <w:tcPr>
            <w:tcW w:w="357" w:type="pct"/>
            <w:shd w:val="clear" w:color="auto" w:fill="auto"/>
            <w:vAlign w:val="center"/>
          </w:tcPr>
          <w:p w14:paraId="7BB3EE0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2021-2023</w:t>
            </w:r>
          </w:p>
        </w:tc>
        <w:tc>
          <w:tcPr>
            <w:tcW w:w="327" w:type="pct"/>
            <w:shd w:val="clear" w:color="auto" w:fill="auto"/>
            <w:vAlign w:val="center"/>
          </w:tcPr>
          <w:p w14:paraId="263201EE">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0.168</w:t>
            </w:r>
          </w:p>
        </w:tc>
        <w:tc>
          <w:tcPr>
            <w:tcW w:w="472" w:type="pct"/>
            <w:shd w:val="clear" w:color="auto" w:fill="auto"/>
            <w:vAlign w:val="center"/>
          </w:tcPr>
          <w:p w14:paraId="3443BA23">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0.168</w:t>
            </w:r>
          </w:p>
        </w:tc>
        <w:tc>
          <w:tcPr>
            <w:tcW w:w="717" w:type="pct"/>
            <w:shd w:val="clear" w:color="auto" w:fill="auto"/>
            <w:vAlign w:val="center"/>
          </w:tcPr>
          <w:p w14:paraId="1CDAD430">
            <w:pPr>
              <w:adjustRightInd w:val="0"/>
              <w:spacing w:line="240" w:lineRule="auto"/>
              <w:jc w:val="center"/>
              <w:rPr>
                <w:rFonts w:ascii="仿宋_GB2312"/>
                <w:sz w:val="21"/>
                <w:szCs w:val="21"/>
              </w:rPr>
            </w:pPr>
            <w:r>
              <w:rPr>
                <w:rFonts w:hint="eastAsia" w:ascii="仿宋_GB2312"/>
                <w:sz w:val="21"/>
                <w:szCs w:val="21"/>
              </w:rPr>
              <w:t>各相关乡镇</w:t>
            </w:r>
          </w:p>
          <w:p w14:paraId="103952AB">
            <w:pPr>
              <w:adjustRightInd w:val="0"/>
              <w:spacing w:line="240" w:lineRule="auto"/>
              <w:jc w:val="center"/>
              <w:rPr>
                <w:rFonts w:ascii="仿宋_GB2312"/>
                <w:sz w:val="21"/>
                <w:szCs w:val="21"/>
              </w:rPr>
            </w:pPr>
            <w:r>
              <w:rPr>
                <w:rFonts w:hint="eastAsia" w:ascii="仿宋_GB2312"/>
                <w:sz w:val="21"/>
                <w:szCs w:val="21"/>
              </w:rPr>
              <w:t>（街道、园区）等</w:t>
            </w:r>
          </w:p>
        </w:tc>
        <w:tc>
          <w:tcPr>
            <w:tcW w:w="398" w:type="pct"/>
            <w:shd w:val="clear" w:color="auto" w:fill="auto"/>
            <w:vAlign w:val="center"/>
          </w:tcPr>
          <w:p w14:paraId="60DE1C23">
            <w:pPr>
              <w:adjustRightInd w:val="0"/>
              <w:spacing w:line="240" w:lineRule="auto"/>
              <w:jc w:val="center"/>
              <w:rPr>
                <w:rFonts w:ascii="仿宋_GB2312"/>
                <w:sz w:val="21"/>
                <w:szCs w:val="21"/>
              </w:rPr>
            </w:pPr>
            <w:r>
              <w:rPr>
                <w:rFonts w:hint="eastAsia" w:ascii="仿宋_GB2312"/>
                <w:sz w:val="21"/>
                <w:szCs w:val="21"/>
              </w:rPr>
              <w:t>实施类</w:t>
            </w:r>
          </w:p>
        </w:tc>
        <w:tc>
          <w:tcPr>
            <w:tcW w:w="440" w:type="pct"/>
            <w:shd w:val="clear" w:color="auto" w:fill="auto"/>
            <w:vAlign w:val="center"/>
          </w:tcPr>
          <w:p w14:paraId="30B8AAEE">
            <w:pPr>
              <w:adjustRightInd w:val="0"/>
              <w:spacing w:line="240" w:lineRule="auto"/>
              <w:jc w:val="center"/>
              <w:rPr>
                <w:rFonts w:ascii="仿宋_GB2312"/>
                <w:sz w:val="21"/>
                <w:szCs w:val="21"/>
              </w:rPr>
            </w:pPr>
            <w:r>
              <w:rPr>
                <w:rFonts w:hint="eastAsia" w:ascii="仿宋_GB2312"/>
                <w:sz w:val="21"/>
                <w:szCs w:val="21"/>
              </w:rPr>
              <w:t>新建</w:t>
            </w:r>
          </w:p>
        </w:tc>
      </w:tr>
      <w:tr w14:paraId="1F6C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14:paraId="490A0C49">
            <w:pPr>
              <w:adjustRightInd w:val="0"/>
              <w:spacing w:line="240" w:lineRule="auto"/>
              <w:jc w:val="center"/>
              <w:rPr>
                <w:rFonts w:ascii="仿宋_GB2312"/>
                <w:sz w:val="21"/>
                <w:szCs w:val="21"/>
              </w:rPr>
            </w:pPr>
            <w:r>
              <w:rPr>
                <w:rFonts w:hint="eastAsia" w:ascii="仿宋_GB2312"/>
                <w:sz w:val="21"/>
                <w:szCs w:val="21"/>
              </w:rPr>
              <w:t>65</w:t>
            </w:r>
          </w:p>
        </w:tc>
        <w:tc>
          <w:tcPr>
            <w:tcW w:w="709" w:type="pct"/>
            <w:vAlign w:val="center"/>
          </w:tcPr>
          <w:p w14:paraId="6F91E08C">
            <w:pPr>
              <w:adjustRightInd w:val="0"/>
              <w:spacing w:line="240" w:lineRule="auto"/>
              <w:jc w:val="center"/>
              <w:rPr>
                <w:rFonts w:ascii="仿宋_GB2312"/>
                <w:sz w:val="21"/>
                <w:szCs w:val="21"/>
              </w:rPr>
            </w:pPr>
            <w:r>
              <w:rPr>
                <w:rFonts w:hint="eastAsia" w:ascii="仿宋_GB2312"/>
                <w:snapToGrid w:val="0"/>
                <w:spacing w:val="-6"/>
                <w:position w:val="-6"/>
                <w:sz w:val="21"/>
                <w:szCs w:val="21"/>
              </w:rPr>
              <w:t>城市消防站建设项目</w:t>
            </w:r>
          </w:p>
        </w:tc>
        <w:tc>
          <w:tcPr>
            <w:tcW w:w="1394" w:type="pct"/>
            <w:vAlign w:val="center"/>
          </w:tcPr>
          <w:p w14:paraId="6CDA59EF">
            <w:pPr>
              <w:adjustRightInd w:val="0"/>
              <w:spacing w:line="240" w:lineRule="auto"/>
              <w:rPr>
                <w:rFonts w:ascii="仿宋_GB2312"/>
                <w:sz w:val="21"/>
                <w:szCs w:val="21"/>
              </w:rPr>
            </w:pPr>
            <w:r>
              <w:rPr>
                <w:rFonts w:hint="eastAsia" w:ascii="仿宋_GB2312"/>
                <w:sz w:val="21"/>
                <w:szCs w:val="21"/>
              </w:rPr>
              <w:t>新建或改建中心城区城市消防站2座，配套消防执勤、办公、生活用房。</w:t>
            </w:r>
          </w:p>
        </w:tc>
        <w:tc>
          <w:tcPr>
            <w:tcW w:w="357" w:type="pct"/>
            <w:vAlign w:val="center"/>
          </w:tcPr>
          <w:p w14:paraId="4F12826F">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2021-2024</w:t>
            </w:r>
          </w:p>
        </w:tc>
        <w:tc>
          <w:tcPr>
            <w:tcW w:w="327" w:type="pct"/>
            <w:vAlign w:val="center"/>
          </w:tcPr>
          <w:p w14:paraId="409F1998">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0.8</w:t>
            </w:r>
          </w:p>
        </w:tc>
        <w:tc>
          <w:tcPr>
            <w:tcW w:w="472" w:type="pct"/>
            <w:vAlign w:val="center"/>
          </w:tcPr>
          <w:p w14:paraId="563620B1">
            <w:pPr>
              <w:adjustRightInd w:val="0"/>
              <w:spacing w:line="240" w:lineRule="auto"/>
              <w:jc w:val="center"/>
              <w:rPr>
                <w:rFonts w:ascii="仿宋_GB2312"/>
                <w:snapToGrid w:val="0"/>
                <w:spacing w:val="-16"/>
                <w:sz w:val="21"/>
                <w:szCs w:val="21"/>
              </w:rPr>
            </w:pPr>
            <w:r>
              <w:rPr>
                <w:rFonts w:hint="eastAsia" w:ascii="仿宋_GB2312"/>
                <w:snapToGrid w:val="0"/>
                <w:spacing w:val="-16"/>
                <w:sz w:val="21"/>
                <w:szCs w:val="21"/>
              </w:rPr>
              <w:t>0.8</w:t>
            </w:r>
          </w:p>
        </w:tc>
        <w:tc>
          <w:tcPr>
            <w:tcW w:w="717" w:type="pct"/>
            <w:vAlign w:val="center"/>
          </w:tcPr>
          <w:p w14:paraId="455982DF">
            <w:pPr>
              <w:adjustRightInd w:val="0"/>
              <w:spacing w:line="240" w:lineRule="auto"/>
              <w:jc w:val="center"/>
              <w:rPr>
                <w:rFonts w:ascii="仿宋_GB2312"/>
                <w:snapToGrid w:val="0"/>
                <w:spacing w:val="-6"/>
                <w:position w:val="-6"/>
                <w:sz w:val="21"/>
                <w:szCs w:val="21"/>
              </w:rPr>
            </w:pPr>
            <w:r>
              <w:rPr>
                <w:rFonts w:hint="eastAsia" w:ascii="仿宋_GB2312"/>
                <w:snapToGrid w:val="0"/>
                <w:spacing w:val="-6"/>
                <w:position w:val="-6"/>
                <w:sz w:val="21"/>
                <w:szCs w:val="21"/>
              </w:rPr>
              <w:t>县消防救援大队</w:t>
            </w:r>
          </w:p>
        </w:tc>
        <w:tc>
          <w:tcPr>
            <w:tcW w:w="398" w:type="pct"/>
            <w:vAlign w:val="center"/>
          </w:tcPr>
          <w:p w14:paraId="7A14F820">
            <w:pPr>
              <w:adjustRightInd w:val="0"/>
              <w:spacing w:line="240" w:lineRule="auto"/>
              <w:jc w:val="center"/>
              <w:rPr>
                <w:rFonts w:ascii="仿宋_GB2312"/>
                <w:sz w:val="21"/>
                <w:szCs w:val="21"/>
              </w:rPr>
            </w:pPr>
            <w:r>
              <w:rPr>
                <w:rFonts w:hint="eastAsia" w:ascii="仿宋_GB2312"/>
                <w:sz w:val="21"/>
                <w:szCs w:val="21"/>
              </w:rPr>
              <w:t>实施类</w:t>
            </w:r>
          </w:p>
        </w:tc>
        <w:tc>
          <w:tcPr>
            <w:tcW w:w="440" w:type="pct"/>
            <w:vAlign w:val="center"/>
          </w:tcPr>
          <w:p w14:paraId="0F0F1E18">
            <w:pPr>
              <w:adjustRightInd w:val="0"/>
              <w:spacing w:line="240" w:lineRule="auto"/>
              <w:jc w:val="center"/>
              <w:rPr>
                <w:rFonts w:ascii="仿宋_GB2312"/>
                <w:sz w:val="21"/>
                <w:szCs w:val="21"/>
              </w:rPr>
            </w:pPr>
            <w:r>
              <w:rPr>
                <w:rFonts w:hint="eastAsia" w:ascii="仿宋_GB2312"/>
                <w:sz w:val="21"/>
                <w:szCs w:val="21"/>
              </w:rPr>
              <w:t>新建</w:t>
            </w:r>
          </w:p>
        </w:tc>
      </w:tr>
    </w:tbl>
    <w:p w14:paraId="224499CE">
      <w:pPr>
        <w:autoSpaceDE w:val="0"/>
        <w:autoSpaceDN w:val="0"/>
        <w:adjustRightInd w:val="0"/>
        <w:spacing w:line="220" w:lineRule="exact"/>
        <w:ind w:firstLine="400" w:firstLineChars="200"/>
        <w:rPr>
          <w:sz w:val="20"/>
        </w:rPr>
      </w:pPr>
    </w:p>
    <w:p w14:paraId="25660393">
      <w:pPr>
        <w:overflowPunct w:val="0"/>
        <w:adjustRightInd w:val="0"/>
        <w:spacing w:line="324" w:lineRule="auto"/>
        <w:ind w:firstLine="880" w:firstLineChars="200"/>
        <w:rPr>
          <w:rFonts w:ascii="方正小标宋简体" w:eastAsia="方正小标宋简体"/>
          <w:bCs/>
          <w:snapToGrid w:val="0"/>
          <w:kern w:val="44"/>
          <w:sz w:val="44"/>
          <w:szCs w:val="44"/>
        </w:rPr>
      </w:pPr>
    </w:p>
    <w:p w14:paraId="1E805242">
      <w:pPr>
        <w:overflowPunct w:val="0"/>
        <w:adjustRightInd w:val="0"/>
        <w:spacing w:line="324" w:lineRule="auto"/>
        <w:ind w:firstLine="880" w:firstLineChars="200"/>
        <w:rPr>
          <w:rFonts w:ascii="方正小标宋简体" w:eastAsia="方正小标宋简体"/>
          <w:bCs/>
          <w:snapToGrid w:val="0"/>
          <w:kern w:val="44"/>
          <w:sz w:val="44"/>
          <w:szCs w:val="44"/>
        </w:rPr>
        <w:sectPr>
          <w:footnotePr>
            <w:numFmt w:val="decimalEnclosedCircleChinese"/>
          </w:footnotePr>
          <w:pgSz w:w="16838" w:h="11906" w:orient="landscape"/>
          <w:pgMar w:top="1531" w:right="1701" w:bottom="1531" w:left="1701" w:header="851" w:footer="1304" w:gutter="0"/>
          <w:cols w:space="720" w:num="1"/>
          <w:docGrid w:type="lines" w:linePitch="632" w:charSpace="-1065"/>
        </w:sectPr>
      </w:pPr>
    </w:p>
    <w:p w14:paraId="077050C6">
      <w:pPr>
        <w:overflowPunct w:val="0"/>
        <w:adjustRightInd w:val="0"/>
        <w:spacing w:line="324" w:lineRule="auto"/>
        <w:ind w:firstLine="870" w:firstLineChars="200"/>
        <w:rPr>
          <w:rFonts w:ascii="方正小标宋简体" w:eastAsia="方正小标宋简体"/>
          <w:bCs/>
          <w:snapToGrid w:val="0"/>
          <w:kern w:val="44"/>
          <w:sz w:val="44"/>
          <w:szCs w:val="44"/>
        </w:rPr>
      </w:pPr>
    </w:p>
    <w:p w14:paraId="04A7ADF1">
      <w:pPr>
        <w:overflowPunct w:val="0"/>
        <w:adjustRightInd w:val="0"/>
        <w:spacing w:line="324" w:lineRule="auto"/>
        <w:ind w:firstLine="870" w:firstLineChars="200"/>
        <w:rPr>
          <w:rFonts w:ascii="方正小标宋简体" w:eastAsia="方正小标宋简体"/>
          <w:bCs/>
          <w:snapToGrid w:val="0"/>
          <w:kern w:val="44"/>
          <w:sz w:val="44"/>
          <w:szCs w:val="44"/>
        </w:rPr>
      </w:pPr>
    </w:p>
    <w:p w14:paraId="2518B52E">
      <w:pPr>
        <w:overflowPunct w:val="0"/>
        <w:adjustRightInd w:val="0"/>
        <w:spacing w:line="324" w:lineRule="auto"/>
        <w:ind w:firstLine="870" w:firstLineChars="200"/>
        <w:rPr>
          <w:rFonts w:ascii="方正小标宋简体" w:eastAsia="方正小标宋简体"/>
          <w:bCs/>
          <w:snapToGrid w:val="0"/>
          <w:kern w:val="44"/>
          <w:sz w:val="44"/>
          <w:szCs w:val="44"/>
        </w:rPr>
      </w:pPr>
    </w:p>
    <w:p w14:paraId="4D9B52BA">
      <w:pPr>
        <w:overflowPunct w:val="0"/>
        <w:adjustRightInd w:val="0"/>
        <w:spacing w:line="324" w:lineRule="auto"/>
        <w:ind w:firstLine="870" w:firstLineChars="200"/>
        <w:rPr>
          <w:rFonts w:ascii="方正小标宋简体" w:eastAsia="方正小标宋简体"/>
          <w:bCs/>
          <w:snapToGrid w:val="0"/>
          <w:kern w:val="44"/>
          <w:sz w:val="44"/>
          <w:szCs w:val="44"/>
        </w:rPr>
      </w:pPr>
    </w:p>
    <w:p w14:paraId="416603FF">
      <w:pPr>
        <w:overflowPunct w:val="0"/>
        <w:adjustRightInd w:val="0"/>
        <w:spacing w:line="324" w:lineRule="auto"/>
        <w:ind w:firstLine="870" w:firstLineChars="200"/>
        <w:rPr>
          <w:rFonts w:ascii="方正小标宋简体" w:eastAsia="方正小标宋简体"/>
          <w:bCs/>
          <w:snapToGrid w:val="0"/>
          <w:kern w:val="44"/>
          <w:sz w:val="44"/>
          <w:szCs w:val="44"/>
        </w:rPr>
      </w:pPr>
    </w:p>
    <w:p w14:paraId="05AAF32C">
      <w:pPr>
        <w:overflowPunct w:val="0"/>
        <w:adjustRightInd w:val="0"/>
        <w:spacing w:line="324" w:lineRule="auto"/>
        <w:ind w:firstLine="870" w:firstLineChars="200"/>
        <w:rPr>
          <w:rFonts w:ascii="方正小标宋简体" w:eastAsia="方正小标宋简体"/>
          <w:bCs/>
          <w:snapToGrid w:val="0"/>
          <w:kern w:val="44"/>
          <w:sz w:val="44"/>
          <w:szCs w:val="44"/>
        </w:rPr>
      </w:pPr>
    </w:p>
    <w:p w14:paraId="599C9138">
      <w:pPr>
        <w:overflowPunct w:val="0"/>
        <w:adjustRightInd w:val="0"/>
        <w:spacing w:line="324" w:lineRule="auto"/>
        <w:ind w:firstLine="870" w:firstLineChars="200"/>
        <w:rPr>
          <w:rFonts w:ascii="方正小标宋简体" w:eastAsia="方正小标宋简体"/>
          <w:bCs/>
          <w:snapToGrid w:val="0"/>
          <w:kern w:val="44"/>
          <w:sz w:val="44"/>
          <w:szCs w:val="44"/>
        </w:rPr>
      </w:pPr>
    </w:p>
    <w:p w14:paraId="1C8261A6">
      <w:pPr>
        <w:overflowPunct w:val="0"/>
        <w:adjustRightInd w:val="0"/>
        <w:spacing w:line="324" w:lineRule="auto"/>
        <w:ind w:firstLine="870" w:firstLineChars="200"/>
        <w:rPr>
          <w:rFonts w:ascii="方正小标宋简体" w:eastAsia="方正小标宋简体"/>
          <w:bCs/>
          <w:snapToGrid w:val="0"/>
          <w:kern w:val="44"/>
          <w:sz w:val="44"/>
          <w:szCs w:val="44"/>
        </w:rPr>
      </w:pPr>
    </w:p>
    <w:p w14:paraId="497E63DF">
      <w:pPr>
        <w:overflowPunct w:val="0"/>
        <w:adjustRightInd w:val="0"/>
        <w:spacing w:line="324" w:lineRule="auto"/>
        <w:ind w:firstLine="870" w:firstLineChars="200"/>
        <w:rPr>
          <w:rFonts w:ascii="方正小标宋简体" w:eastAsia="方正小标宋简体"/>
          <w:bCs/>
          <w:snapToGrid w:val="0"/>
          <w:kern w:val="44"/>
          <w:sz w:val="44"/>
          <w:szCs w:val="44"/>
        </w:rPr>
      </w:pPr>
    </w:p>
    <w:p w14:paraId="1991E81C">
      <w:pPr>
        <w:overflowPunct w:val="0"/>
        <w:adjustRightInd w:val="0"/>
        <w:spacing w:line="324" w:lineRule="auto"/>
        <w:ind w:firstLine="870" w:firstLineChars="200"/>
        <w:rPr>
          <w:rFonts w:ascii="方正小标宋简体" w:eastAsia="方正小标宋简体"/>
          <w:bCs/>
          <w:snapToGrid w:val="0"/>
          <w:kern w:val="44"/>
          <w:sz w:val="44"/>
          <w:szCs w:val="44"/>
        </w:rPr>
      </w:pPr>
    </w:p>
    <w:p w14:paraId="038D88DE">
      <w:pPr>
        <w:overflowPunct w:val="0"/>
        <w:adjustRightInd w:val="0"/>
        <w:spacing w:line="324" w:lineRule="auto"/>
        <w:ind w:firstLine="290" w:firstLineChars="200"/>
        <w:rPr>
          <w:rFonts w:ascii="方正小标宋简体" w:eastAsia="方正小标宋简体"/>
          <w:bCs/>
          <w:snapToGrid w:val="0"/>
          <w:kern w:val="44"/>
          <w:sz w:val="15"/>
          <w:szCs w:val="15"/>
        </w:rPr>
      </w:pPr>
    </w:p>
    <w:p w14:paraId="2E0F4357">
      <w:pPr>
        <w:overflowPunct w:val="0"/>
        <w:adjustRightInd w:val="0"/>
        <w:spacing w:line="324" w:lineRule="auto"/>
        <w:ind w:firstLine="870" w:firstLineChars="200"/>
        <w:rPr>
          <w:rFonts w:ascii="方正小标宋简体" w:eastAsia="方正小标宋简体"/>
          <w:bCs/>
          <w:snapToGrid w:val="0"/>
          <w:kern w:val="44"/>
          <w:sz w:val="44"/>
          <w:szCs w:val="44"/>
        </w:rPr>
      </w:pPr>
    </w:p>
    <w:p w14:paraId="6E914183">
      <w:pPr>
        <w:overflowPunct w:val="0"/>
        <w:adjustRightInd w:val="0"/>
        <w:spacing w:line="324" w:lineRule="auto"/>
        <w:ind w:firstLine="290" w:firstLineChars="200"/>
        <w:rPr>
          <w:rFonts w:ascii="仿宋_GB2312"/>
          <w:snapToGrid w:val="0"/>
          <w:sz w:val="15"/>
          <w:szCs w:val="15"/>
        </w:rPr>
      </w:pPr>
    </w:p>
    <w:p w14:paraId="34922A9D">
      <w:pPr>
        <w:overflowPunct w:val="0"/>
        <w:adjustRightInd w:val="0"/>
        <w:spacing w:line="324" w:lineRule="auto"/>
        <w:ind w:firstLine="290" w:firstLineChars="200"/>
        <w:rPr>
          <w:rFonts w:ascii="仿宋_GB2312"/>
          <w:snapToGrid w:val="0"/>
          <w:sz w:val="15"/>
          <w:szCs w:val="15"/>
        </w:rPr>
      </w:pPr>
    </w:p>
    <w:p w14:paraId="773434B4">
      <w:pPr>
        <w:overflowPunct w:val="0"/>
        <w:adjustRightInd w:val="0"/>
        <w:spacing w:line="324" w:lineRule="auto"/>
        <w:ind w:firstLine="870" w:firstLineChars="200"/>
        <w:rPr>
          <w:rFonts w:ascii="仿宋_GB2312"/>
          <w:snapToGrid w:val="0"/>
          <w:sz w:val="44"/>
          <w:szCs w:val="44"/>
        </w:rPr>
      </w:pPr>
    </w:p>
    <w:p w14:paraId="2A1BCE06">
      <w:pPr>
        <w:pBdr>
          <w:top w:val="single" w:color="auto" w:sz="4" w:space="2"/>
        </w:pBdr>
        <w:adjustRightInd w:val="0"/>
        <w:spacing w:line="324" w:lineRule="auto"/>
        <w:ind w:firstLine="275" w:firstLineChars="100"/>
        <w:rPr>
          <w:rFonts w:ascii="仿宋_GB2312" w:hAnsi="仿宋_GB2312"/>
          <w:sz w:val="28"/>
          <w:szCs w:val="28"/>
        </w:rPr>
      </w:pPr>
      <w:r>
        <w:rPr>
          <w:rFonts w:hint="eastAsia" w:ascii="仿宋_GB2312" w:hAnsi="仿宋_GB2312"/>
          <w:sz w:val="28"/>
          <w:szCs w:val="28"/>
        </w:rPr>
        <w:t>抄送：县委各部门，县人大常委会、县政协办公室，县纪委监委，县</w:t>
      </w:r>
    </w:p>
    <w:p w14:paraId="1C41363F">
      <w:pPr>
        <w:pBdr>
          <w:top w:val="single" w:color="auto" w:sz="4" w:space="2"/>
        </w:pBdr>
        <w:overflowPunct w:val="0"/>
        <w:adjustRightInd w:val="0"/>
        <w:spacing w:line="324" w:lineRule="auto"/>
        <w:ind w:firstLine="1128" w:firstLineChars="410"/>
        <w:rPr>
          <w:rFonts w:ascii="仿宋_GB2312" w:hAnsi="仿宋_GB2312"/>
          <w:sz w:val="28"/>
          <w:szCs w:val="28"/>
        </w:rPr>
      </w:pPr>
      <w:r>
        <w:rPr>
          <w:rFonts w:hint="eastAsia" w:ascii="仿宋_GB2312" w:hAnsi="仿宋_GB2312"/>
          <w:sz w:val="28"/>
          <w:szCs w:val="28"/>
        </w:rPr>
        <w:t>人武部，县法院，县检察院，各群众团体。</w:t>
      </w:r>
    </w:p>
    <w:p w14:paraId="5766FAEE">
      <w:pPr>
        <w:pBdr>
          <w:top w:val="single" w:color="auto" w:sz="4" w:space="1"/>
          <w:bottom w:val="single" w:color="auto" w:sz="4" w:space="1"/>
          <w:between w:val="single" w:color="auto" w:sz="4" w:space="1"/>
        </w:pBdr>
        <w:overflowPunct w:val="0"/>
        <w:adjustRightInd w:val="0"/>
        <w:spacing w:line="324" w:lineRule="auto"/>
        <w:ind w:firstLine="275" w:firstLineChars="100"/>
        <w:rPr>
          <w:sz w:val="28"/>
          <w:szCs w:val="28"/>
        </w:rPr>
      </w:pPr>
      <w:r>
        <w:rPr>
          <w:rFonts w:hint="eastAsia" w:ascii="仿宋_GB2312"/>
          <w:sz w:val="28"/>
          <w:szCs w:val="28"/>
        </w:rPr>
        <w:t>长兴县人民政府办公室                     2021年3月25日印发</w:t>
      </w:r>
    </w:p>
    <w:sectPr>
      <w:footnotePr>
        <w:numFmt w:val="decimalEnclosedCircleChinese"/>
      </w:footnotePr>
      <w:pgSz w:w="11906" w:h="16838"/>
      <w:pgMar w:top="1701" w:right="1531" w:bottom="1701" w:left="1531" w:header="851" w:footer="1304" w:gutter="0"/>
      <w:cols w:space="720" w:num="1"/>
      <w:docGrid w:type="linesAndChars" w:linePitch="632" w:charSpace="-10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79364"/>
      <w:docPartObj>
        <w:docPartGallery w:val="AutoText"/>
      </w:docPartObj>
    </w:sdtPr>
    <w:sdtContent>
      <w:p w14:paraId="4266F1EE">
        <w:pPr>
          <w:pStyle w:val="8"/>
          <w:adjustRightInd w:val="0"/>
          <w:ind w:right="320" w:rightChars="100"/>
          <w:jc w:val="right"/>
          <w:rPr>
            <w:sz w:val="32"/>
          </w:rPr>
        </w:pPr>
        <w:r>
          <w:rPr>
            <w:rStyle w:val="18"/>
            <w:rFonts w:hint="eastAsia" w:ascii="宋体" w:hAnsi="宋体"/>
            <w:sz w:val="28"/>
          </w:rPr>
          <w:t xml:space="preserve">— </w:t>
        </w:r>
        <w:r>
          <w:rPr>
            <w:rFonts w:hint="eastAsia" w:ascii="宋体" w:hAnsi="宋体" w:eastAsia="宋体"/>
            <w:sz w:val="28"/>
          </w:rPr>
          <w:fldChar w:fldCharType="begin"/>
        </w:r>
        <w:r>
          <w:rPr>
            <w:rStyle w:val="18"/>
            <w:rFonts w:hint="eastAsia" w:ascii="宋体" w:hAnsi="宋体"/>
            <w:sz w:val="28"/>
          </w:rPr>
          <w:instrText xml:space="preserve"> PAGE  </w:instrText>
        </w:r>
        <w:r>
          <w:rPr>
            <w:rFonts w:hint="eastAsia" w:ascii="宋体" w:hAnsi="宋体" w:eastAsia="宋体"/>
            <w:sz w:val="28"/>
          </w:rPr>
          <w:fldChar w:fldCharType="separate"/>
        </w:r>
        <w:r>
          <w:rPr>
            <w:rStyle w:val="18"/>
            <w:rFonts w:ascii="宋体" w:hAnsi="宋体"/>
            <w:sz w:val="28"/>
          </w:rPr>
          <w:t>1</w:t>
        </w:r>
        <w:r>
          <w:rPr>
            <w:rFonts w:hint="eastAsia" w:ascii="宋体" w:hAnsi="宋体" w:eastAsia="宋体"/>
            <w:sz w:val="28"/>
          </w:rPr>
          <w:fldChar w:fldCharType="end"/>
        </w:r>
        <w:r>
          <w:rPr>
            <w:rStyle w:val="18"/>
            <w:rFonts w:hint="eastAsia" w:ascii="宋体" w:hAnsi="宋体"/>
            <w:sz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082955"/>
      <w:docPartObj>
        <w:docPartGallery w:val="AutoText"/>
      </w:docPartObj>
    </w:sdtPr>
    <w:sdtContent>
      <w:p w14:paraId="44AB7497">
        <w:pPr>
          <w:pStyle w:val="8"/>
          <w:adjustRightInd w:val="0"/>
          <w:ind w:left="320" w:leftChars="100"/>
        </w:pPr>
        <w:r>
          <w:rPr>
            <w:rStyle w:val="18"/>
            <w:rFonts w:hint="eastAsia" w:ascii="宋体" w:hAnsi="宋体"/>
            <w:sz w:val="28"/>
          </w:rPr>
          <w:t xml:space="preserve">— </w:t>
        </w:r>
        <w:r>
          <w:rPr>
            <w:rFonts w:hint="eastAsia" w:ascii="宋体" w:hAnsi="宋体" w:eastAsia="宋体"/>
            <w:sz w:val="28"/>
          </w:rPr>
          <w:fldChar w:fldCharType="begin"/>
        </w:r>
        <w:r>
          <w:rPr>
            <w:rStyle w:val="18"/>
            <w:rFonts w:hint="eastAsia" w:ascii="宋体" w:hAnsi="宋体"/>
            <w:sz w:val="28"/>
          </w:rPr>
          <w:instrText xml:space="preserve"> PAGE  </w:instrText>
        </w:r>
        <w:r>
          <w:rPr>
            <w:rFonts w:hint="eastAsia" w:ascii="宋体" w:hAnsi="宋体" w:eastAsia="宋体"/>
            <w:sz w:val="28"/>
          </w:rPr>
          <w:fldChar w:fldCharType="separate"/>
        </w:r>
        <w:r>
          <w:rPr>
            <w:rStyle w:val="18"/>
            <w:rFonts w:ascii="宋体" w:hAnsi="宋体"/>
            <w:sz w:val="28"/>
          </w:rPr>
          <w:t>86</w:t>
        </w:r>
        <w:r>
          <w:rPr>
            <w:rFonts w:hint="eastAsia" w:ascii="宋体" w:hAnsi="宋体" w:eastAsia="宋体"/>
            <w:sz w:val="28"/>
          </w:rPr>
          <w:fldChar w:fldCharType="end"/>
        </w:r>
        <w:r>
          <w:rPr>
            <w:rStyle w:val="18"/>
            <w:rFonts w:hint="eastAsia" w:ascii="宋体" w:hAnsi="宋体"/>
            <w:sz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evenAndOddHeaders w:val="1"/>
  <w:drawingGridHorizontalSpacing w:val="315"/>
  <w:drawingGridVerticalSpacing w:val="31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97"/>
    <w:rsid w:val="000317D4"/>
    <w:rsid w:val="00037231"/>
    <w:rsid w:val="00056B9F"/>
    <w:rsid w:val="00064991"/>
    <w:rsid w:val="000A77C5"/>
    <w:rsid w:val="00143493"/>
    <w:rsid w:val="00170EF3"/>
    <w:rsid w:val="00174064"/>
    <w:rsid w:val="00180C8E"/>
    <w:rsid w:val="001D0592"/>
    <w:rsid w:val="002023FB"/>
    <w:rsid w:val="00284C12"/>
    <w:rsid w:val="0029722A"/>
    <w:rsid w:val="002C0E8B"/>
    <w:rsid w:val="002C4AEE"/>
    <w:rsid w:val="003502EF"/>
    <w:rsid w:val="0039377C"/>
    <w:rsid w:val="00395730"/>
    <w:rsid w:val="003C191B"/>
    <w:rsid w:val="003C3948"/>
    <w:rsid w:val="003D6357"/>
    <w:rsid w:val="0041660C"/>
    <w:rsid w:val="004174E4"/>
    <w:rsid w:val="00425DEE"/>
    <w:rsid w:val="0046676A"/>
    <w:rsid w:val="0049575D"/>
    <w:rsid w:val="00496FBE"/>
    <w:rsid w:val="004A2DE5"/>
    <w:rsid w:val="004C34F6"/>
    <w:rsid w:val="00504C24"/>
    <w:rsid w:val="00521C30"/>
    <w:rsid w:val="00522BFB"/>
    <w:rsid w:val="00536305"/>
    <w:rsid w:val="00560F82"/>
    <w:rsid w:val="00596F38"/>
    <w:rsid w:val="005C3F1B"/>
    <w:rsid w:val="005C4552"/>
    <w:rsid w:val="005E242D"/>
    <w:rsid w:val="00623FA2"/>
    <w:rsid w:val="00656997"/>
    <w:rsid w:val="00663E51"/>
    <w:rsid w:val="006719B7"/>
    <w:rsid w:val="006F3DCD"/>
    <w:rsid w:val="007136C2"/>
    <w:rsid w:val="0072134B"/>
    <w:rsid w:val="007C6A48"/>
    <w:rsid w:val="007F4523"/>
    <w:rsid w:val="008263B1"/>
    <w:rsid w:val="00883FF4"/>
    <w:rsid w:val="008A2248"/>
    <w:rsid w:val="008A2DFF"/>
    <w:rsid w:val="008D2033"/>
    <w:rsid w:val="008E332D"/>
    <w:rsid w:val="008F2B93"/>
    <w:rsid w:val="00906BAA"/>
    <w:rsid w:val="0092149B"/>
    <w:rsid w:val="00924A23"/>
    <w:rsid w:val="00927304"/>
    <w:rsid w:val="009966B8"/>
    <w:rsid w:val="00A0770A"/>
    <w:rsid w:val="00A27BF3"/>
    <w:rsid w:val="00A601EE"/>
    <w:rsid w:val="00AC4735"/>
    <w:rsid w:val="00AD6D67"/>
    <w:rsid w:val="00AE02DA"/>
    <w:rsid w:val="00AE7B1F"/>
    <w:rsid w:val="00B15A13"/>
    <w:rsid w:val="00B323BA"/>
    <w:rsid w:val="00B41DB7"/>
    <w:rsid w:val="00BB2138"/>
    <w:rsid w:val="00BC12D0"/>
    <w:rsid w:val="00BF1C38"/>
    <w:rsid w:val="00BF7409"/>
    <w:rsid w:val="00C2478D"/>
    <w:rsid w:val="00C30F62"/>
    <w:rsid w:val="00C46632"/>
    <w:rsid w:val="00C847E0"/>
    <w:rsid w:val="00CD5D63"/>
    <w:rsid w:val="00DE0420"/>
    <w:rsid w:val="00E00F84"/>
    <w:rsid w:val="00EC3E5A"/>
    <w:rsid w:val="00EE63CF"/>
    <w:rsid w:val="00EF2711"/>
    <w:rsid w:val="00F35C9E"/>
    <w:rsid w:val="00F916DC"/>
    <w:rsid w:val="00F95191"/>
    <w:rsid w:val="00FC06AD"/>
    <w:rsid w:val="00FC6933"/>
    <w:rsid w:val="00FE5921"/>
    <w:rsid w:val="00FF5E28"/>
    <w:rsid w:val="4FC7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12" w:lineRule="auto"/>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3"/>
    <w:qFormat/>
    <w:uiPriority w:val="9"/>
    <w:pPr>
      <w:keepNext/>
      <w:keepLines/>
      <w:snapToGrid/>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4"/>
    <w:unhideWhenUsed/>
    <w:qFormat/>
    <w:uiPriority w:val="9"/>
    <w:pPr>
      <w:keepNext/>
      <w:keepLines/>
      <w:snapToGrid/>
      <w:spacing w:before="260" w:after="260" w:line="416" w:lineRule="auto"/>
      <w:outlineLvl w:val="1"/>
    </w:pPr>
    <w:rPr>
      <w:rFonts w:asciiTheme="majorHAnsi" w:hAnsiTheme="majorHAnsi" w:eastAsiaTheme="majorEastAsia" w:cstheme="majorBidi"/>
      <w:b/>
      <w:bCs/>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25"/>
    <w:semiHidden/>
    <w:unhideWhenUsed/>
    <w:uiPriority w:val="99"/>
    <w:pPr>
      <w:spacing w:after="120"/>
      <w:ind w:left="420" w:leftChars="200"/>
    </w:pPr>
  </w:style>
  <w:style w:type="paragraph" w:styleId="5">
    <w:name w:val="toc 3"/>
    <w:basedOn w:val="1"/>
    <w:next w:val="1"/>
    <w:autoRedefine/>
    <w:semiHidden/>
    <w:unhideWhenUsed/>
    <w:qFormat/>
    <w:uiPriority w:val="39"/>
    <w:pPr>
      <w:widowControl/>
      <w:snapToGrid/>
      <w:spacing w:after="100" w:line="276" w:lineRule="auto"/>
      <w:ind w:left="440"/>
      <w:jc w:val="left"/>
    </w:pPr>
    <w:rPr>
      <w:rFonts w:asciiTheme="minorHAnsi" w:hAnsiTheme="minorHAnsi" w:eastAsiaTheme="minorEastAsia" w:cstheme="minorBidi"/>
      <w:kern w:val="0"/>
      <w:sz w:val="22"/>
      <w:szCs w:val="22"/>
    </w:rPr>
  </w:style>
  <w:style w:type="paragraph" w:styleId="6">
    <w:name w:val="Plain Text"/>
    <w:basedOn w:val="1"/>
    <w:link w:val="29"/>
    <w:unhideWhenUsed/>
    <w:qFormat/>
    <w:uiPriority w:val="99"/>
    <w:pPr>
      <w:snapToGrid/>
      <w:spacing w:line="240" w:lineRule="auto"/>
    </w:pPr>
    <w:rPr>
      <w:rFonts w:ascii="宋体" w:hAnsi="Courier New" w:eastAsia="宋体"/>
      <w:sz w:val="21"/>
    </w:rPr>
  </w:style>
  <w:style w:type="paragraph" w:styleId="7">
    <w:name w:val="Balloon Text"/>
    <w:basedOn w:val="1"/>
    <w:link w:val="30"/>
    <w:semiHidden/>
    <w:unhideWhenUsed/>
    <w:uiPriority w:val="99"/>
    <w:pPr>
      <w:spacing w:line="240" w:lineRule="auto"/>
    </w:pPr>
    <w:rPr>
      <w:sz w:val="18"/>
      <w:szCs w:val="18"/>
    </w:rPr>
  </w:style>
  <w:style w:type="paragraph" w:styleId="8">
    <w:name w:val="footer"/>
    <w:basedOn w:val="1"/>
    <w:link w:val="21"/>
    <w:uiPriority w:val="99"/>
    <w:pPr>
      <w:tabs>
        <w:tab w:val="center" w:pos="4153"/>
        <w:tab w:val="right" w:pos="8306"/>
      </w:tabs>
      <w:jc w:val="left"/>
    </w:pPr>
    <w:rPr>
      <w:sz w:val="18"/>
    </w:rPr>
  </w:style>
  <w:style w:type="paragraph" w:styleId="9">
    <w:name w:val="header"/>
    <w:basedOn w:val="1"/>
    <w:link w:val="22"/>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10">
    <w:name w:val="toc 1"/>
    <w:basedOn w:val="1"/>
    <w:next w:val="1"/>
    <w:autoRedefine/>
    <w:unhideWhenUsed/>
    <w:qFormat/>
    <w:uiPriority w:val="39"/>
    <w:pPr>
      <w:widowControl/>
      <w:snapToGrid/>
      <w:spacing w:after="100" w:line="276" w:lineRule="auto"/>
      <w:jc w:val="left"/>
    </w:pPr>
    <w:rPr>
      <w:rFonts w:asciiTheme="minorHAnsi" w:hAnsiTheme="minorHAnsi" w:eastAsiaTheme="minorEastAsia" w:cstheme="minorBidi"/>
      <w:kern w:val="0"/>
      <w:sz w:val="22"/>
      <w:szCs w:val="22"/>
    </w:rPr>
  </w:style>
  <w:style w:type="paragraph" w:styleId="11">
    <w:name w:val="footnote text"/>
    <w:basedOn w:val="1"/>
    <w:link w:val="28"/>
    <w:unhideWhenUsed/>
    <w:qFormat/>
    <w:uiPriority w:val="99"/>
    <w:pPr>
      <w:spacing w:line="240" w:lineRule="auto"/>
      <w:jc w:val="left"/>
    </w:pPr>
    <w:rPr>
      <w:rFonts w:asciiTheme="minorHAnsi" w:hAnsiTheme="minorHAnsi" w:eastAsiaTheme="minorEastAsia" w:cstheme="minorBidi"/>
      <w:sz w:val="18"/>
      <w:szCs w:val="18"/>
    </w:rPr>
  </w:style>
  <w:style w:type="paragraph" w:styleId="12">
    <w:name w:val="toc 2"/>
    <w:basedOn w:val="1"/>
    <w:next w:val="1"/>
    <w:autoRedefine/>
    <w:unhideWhenUsed/>
    <w:qFormat/>
    <w:uiPriority w:val="39"/>
    <w:pPr>
      <w:widowControl/>
      <w:tabs>
        <w:tab w:val="right" w:leader="dot" w:pos="8834"/>
      </w:tabs>
      <w:adjustRightInd w:val="0"/>
      <w:spacing w:after="100" w:line="324" w:lineRule="auto"/>
      <w:ind w:firstLine="430" w:firstLineChars="200"/>
      <w:jc w:val="left"/>
    </w:pPr>
    <w:rPr>
      <w:rFonts w:asciiTheme="minorHAnsi" w:hAnsiTheme="minorHAnsi" w:eastAsiaTheme="minorEastAsia" w:cstheme="minorBidi"/>
      <w:kern w:val="0"/>
      <w:sz w:val="22"/>
      <w:szCs w:val="22"/>
    </w:rPr>
  </w:style>
  <w:style w:type="paragraph" w:styleId="13">
    <w:name w:val="Body Text First Indent 2"/>
    <w:basedOn w:val="4"/>
    <w:link w:val="26"/>
    <w:uiPriority w:val="0"/>
    <w:pPr>
      <w:widowControl/>
      <w:snapToGrid/>
      <w:spacing w:line="300" w:lineRule="exact"/>
      <w:ind w:firstLine="420" w:firstLineChars="200"/>
      <w:jc w:val="left"/>
    </w:pPr>
    <w:rPr>
      <w:rFonts w:ascii="Calibri" w:hAnsi="Calibri" w:eastAsia="宋体"/>
      <w:sz w:val="21"/>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uiPriority w:val="0"/>
    <w:rPr>
      <w:rFonts w:ascii="Times New Roman" w:hAnsi="Times New Roman" w:eastAsia="宋体"/>
      <w:sz w:val="24"/>
    </w:rPr>
  </w:style>
  <w:style w:type="character" w:styleId="19">
    <w:name w:val="Hyperlink"/>
    <w:basedOn w:val="16"/>
    <w:unhideWhenUsed/>
    <w:uiPriority w:val="99"/>
    <w:rPr>
      <w:color w:val="0000FF" w:themeColor="hyperlink"/>
      <w:u w:val="single"/>
      <w14:textFill>
        <w14:solidFill>
          <w14:schemeClr w14:val="hlink"/>
        </w14:solidFill>
      </w14:textFill>
    </w:rPr>
  </w:style>
  <w:style w:type="character" w:styleId="20">
    <w:name w:val="footnote reference"/>
    <w:basedOn w:val="16"/>
    <w:unhideWhenUsed/>
    <w:qFormat/>
    <w:uiPriority w:val="99"/>
    <w:rPr>
      <w:vertAlign w:val="superscript"/>
    </w:rPr>
  </w:style>
  <w:style w:type="character" w:customStyle="1" w:styleId="21">
    <w:name w:val="页脚 Char"/>
    <w:basedOn w:val="16"/>
    <w:link w:val="8"/>
    <w:uiPriority w:val="99"/>
    <w:rPr>
      <w:rFonts w:ascii="Times New Roman" w:hAnsi="Times New Roman" w:eastAsia="仿宋_GB2312" w:cs="Times New Roman"/>
      <w:sz w:val="18"/>
      <w:szCs w:val="20"/>
    </w:rPr>
  </w:style>
  <w:style w:type="character" w:customStyle="1" w:styleId="22">
    <w:name w:val="页眉 Char"/>
    <w:basedOn w:val="16"/>
    <w:link w:val="9"/>
    <w:uiPriority w:val="99"/>
    <w:rPr>
      <w:rFonts w:ascii="Times New Roman" w:hAnsi="Times New Roman" w:eastAsia="仿宋_GB2312" w:cs="Times New Roman"/>
      <w:sz w:val="18"/>
      <w:szCs w:val="18"/>
    </w:rPr>
  </w:style>
  <w:style w:type="character" w:customStyle="1" w:styleId="23">
    <w:name w:val="标题 1 Char"/>
    <w:basedOn w:val="16"/>
    <w:link w:val="2"/>
    <w:uiPriority w:val="9"/>
    <w:rPr>
      <w:b/>
      <w:bCs/>
      <w:kern w:val="44"/>
      <w:sz w:val="44"/>
      <w:szCs w:val="44"/>
    </w:rPr>
  </w:style>
  <w:style w:type="character" w:customStyle="1" w:styleId="24">
    <w:name w:val="标题 2 Char"/>
    <w:basedOn w:val="16"/>
    <w:link w:val="3"/>
    <w:uiPriority w:val="9"/>
    <w:rPr>
      <w:rFonts w:asciiTheme="majorHAnsi" w:hAnsiTheme="majorHAnsi" w:eastAsiaTheme="majorEastAsia" w:cstheme="majorBidi"/>
      <w:b/>
      <w:bCs/>
      <w:sz w:val="32"/>
      <w:szCs w:val="32"/>
    </w:rPr>
  </w:style>
  <w:style w:type="character" w:customStyle="1" w:styleId="25">
    <w:name w:val="正文文本缩进 Char"/>
    <w:basedOn w:val="16"/>
    <w:link w:val="4"/>
    <w:semiHidden/>
    <w:uiPriority w:val="99"/>
    <w:rPr>
      <w:rFonts w:ascii="Times New Roman" w:hAnsi="Times New Roman" w:eastAsia="仿宋_GB2312" w:cs="Times New Roman"/>
      <w:sz w:val="32"/>
      <w:szCs w:val="20"/>
    </w:rPr>
  </w:style>
  <w:style w:type="character" w:customStyle="1" w:styleId="26">
    <w:name w:val="正文首行缩进 2 Char"/>
    <w:basedOn w:val="25"/>
    <w:link w:val="13"/>
    <w:uiPriority w:val="0"/>
    <w:rPr>
      <w:rFonts w:ascii="Calibri" w:hAnsi="Calibri" w:eastAsia="宋体" w:cs="Times New Roman"/>
      <w:sz w:val="32"/>
      <w:szCs w:val="24"/>
    </w:rPr>
  </w:style>
  <w:style w:type="character" w:customStyle="1" w:styleId="27">
    <w:name w:val="font11"/>
    <w:basedOn w:val="16"/>
    <w:qFormat/>
    <w:uiPriority w:val="0"/>
    <w:rPr>
      <w:rFonts w:hint="eastAsia" w:ascii="宋体" w:hAnsi="宋体" w:eastAsia="宋体" w:cs="宋体"/>
      <w:color w:val="000000"/>
      <w:sz w:val="21"/>
      <w:szCs w:val="21"/>
      <w:u w:val="none"/>
    </w:rPr>
  </w:style>
  <w:style w:type="character" w:customStyle="1" w:styleId="28">
    <w:name w:val="脚注文本 Char"/>
    <w:basedOn w:val="16"/>
    <w:link w:val="11"/>
    <w:qFormat/>
    <w:uiPriority w:val="99"/>
    <w:rPr>
      <w:sz w:val="18"/>
      <w:szCs w:val="18"/>
    </w:rPr>
  </w:style>
  <w:style w:type="character" w:customStyle="1" w:styleId="29">
    <w:name w:val="纯文本 Char"/>
    <w:basedOn w:val="16"/>
    <w:link w:val="6"/>
    <w:uiPriority w:val="99"/>
    <w:rPr>
      <w:rFonts w:ascii="宋体" w:hAnsi="Courier New" w:eastAsia="宋体" w:cs="Times New Roman"/>
      <w:szCs w:val="20"/>
    </w:rPr>
  </w:style>
  <w:style w:type="character" w:customStyle="1" w:styleId="30">
    <w:name w:val="批注框文本 Char"/>
    <w:basedOn w:val="16"/>
    <w:link w:val="7"/>
    <w:semiHidden/>
    <w:uiPriority w:val="99"/>
    <w:rPr>
      <w:rFonts w:ascii="Times New Roman" w:hAnsi="Times New Roman" w:eastAsia="仿宋_GB2312" w:cs="Times New Roman"/>
      <w:sz w:val="18"/>
      <w:szCs w:val="18"/>
    </w:rPr>
  </w:style>
  <w:style w:type="paragraph" w:styleId="31">
    <w:name w:val="List Paragraph"/>
    <w:basedOn w:val="1"/>
    <w:qFormat/>
    <w:uiPriority w:val="34"/>
    <w:pPr>
      <w:ind w:firstLine="420" w:firstLineChars="200"/>
    </w:pPr>
  </w:style>
  <w:style w:type="paragraph" w:customStyle="1" w:styleId="32">
    <w:name w:val="Default"/>
    <w:qFormat/>
    <w:uiPriority w:val="0"/>
    <w:pPr>
      <w:widowControl w:val="0"/>
      <w:autoSpaceDE w:val="0"/>
      <w:autoSpaceDN w:val="0"/>
      <w:adjustRightInd w:val="0"/>
    </w:pPr>
    <w:rPr>
      <w:rFonts w:ascii="Calibri" w:hAnsi="Calibri" w:eastAsia="微软雅黑" w:cs="Calibri"/>
      <w:color w:val="000000"/>
      <w:kern w:val="0"/>
      <w:sz w:val="24"/>
      <w:szCs w:val="24"/>
      <w:lang w:val="en-US" w:eastAsia="zh-CN" w:bidi="ar-SA"/>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image" Target="media/image1.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0840-3D41-47E7-B067-8ED59AD7F087}">
  <ds:schemaRefs/>
</ds:datastoreItem>
</file>

<file path=docProps/app.xml><?xml version="1.0" encoding="utf-8"?>
<Properties xmlns="http://schemas.openxmlformats.org/officeDocument/2006/extended-properties" xmlns:vt="http://schemas.openxmlformats.org/officeDocument/2006/docPropsVTypes">
  <Template>Normal</Template>
  <Company>micosoft.com</Company>
  <Pages>86</Pages>
  <Words>203</Words>
  <Characters>211</Characters>
  <Lines>388</Lines>
  <Paragraphs>109</Paragraphs>
  <TotalTime>373</TotalTime>
  <ScaleCrop>false</ScaleCrop>
  <LinksUpToDate>false</LinksUpToDate>
  <CharactersWithSpaces>213</CharactersWithSpaces>
  <Application>WPS Office_12.1.0.19770_F1E327BC-269C-435d-A152-05C5408002CA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2021-03-25T03:20:00Z</dcterms:created>
  <dc:creator>micosoft</dc:creator>
  <lastModifiedBy>蔡丽娟</lastModifiedBy>
  <lastPrinted>2021-04-07T07:13:00Z</lastPrinted>
  <dcterms:modified xsi:type="dcterms:W3CDTF">2025-02-12T02:00:09Z</dcterms:modified>
  <revision>57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eyJoZGlkIjoiNmFkMGI0YTc5ZTE2MWZkOTIxYTRiMjA4YzM1ZjEwMjgiLCJ1c2VySWQiOiIxNjEzNzUxMDI3In0=</vt:lpwstr>
  </property>
  <property fmtid="{D5CDD505-2E9C-101B-9397-08002B2CF9AE}" pid="3" name="KSOProductBuildVer">
    <vt:lpwstr>2052-12.1.0.19770</vt:lpwstr>
  </property>
  <property fmtid="{D5CDD505-2E9C-101B-9397-08002B2CF9AE}" pid="4" name="ICV">
    <vt:lpwstr>E33A41A503C74D69A290380DE511DB50_12</vt:lpwstr>
  </property>
</Properties>
</file>