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5B74C">
      <w:pPr>
        <w:pStyle w:val="4"/>
        <w:bidi w:val="0"/>
        <w:jc w:val="center"/>
        <w:rPr>
          <w:rFonts w:hint="eastAsia" w:ascii="方正小标宋简体" w:hAnsi="方正小标宋简体" w:eastAsia="方正小标宋简体" w:cs="方正小标宋简体"/>
          <w:b w:val="0"/>
          <w:bCs/>
          <w:snapToGrid w:val="0"/>
          <w:color w:val="000000"/>
          <w:kern w:val="0"/>
          <w:sz w:val="36"/>
          <w:szCs w:val="36"/>
          <w:lang w:val="en-US" w:eastAsia="zh-CN"/>
        </w:rPr>
      </w:pPr>
      <w:r>
        <w:rPr>
          <w:rFonts w:hint="eastAsia" w:ascii="方正小标宋简体" w:hAnsi="方正小标宋简体" w:eastAsia="方正小标宋简体" w:cs="方正小标宋简体"/>
          <w:b w:val="0"/>
          <w:bCs/>
          <w:snapToGrid w:val="0"/>
          <w:color w:val="000000"/>
          <w:kern w:val="0"/>
          <w:sz w:val="36"/>
          <w:szCs w:val="36"/>
          <w:lang w:val="en-US" w:eastAsia="zh-CN"/>
        </w:rPr>
        <w:t>专题培训提技能  政务服务强效能</w:t>
      </w:r>
    </w:p>
    <w:p w14:paraId="47F603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今年以来，南浔区积极推进政务服务延伸至基层，为进一步提高医保政务服务事项的经办能力及水平，夯实“15分钟医保服务圈”，近日，区政务办组织医保窗口为全区医疗机构的医保科科长及业务骨干们开展医保业务经办专题培训。</w:t>
      </w:r>
    </w:p>
    <w:p w14:paraId="4ACF0C68">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4146550" cy="2497455"/>
            <wp:effectExtent l="0" t="0" r="6350" b="17145"/>
            <wp:docPr id="1" name="图片 1" descr="7b0a202020202266696c746572223a202230220a7d0a"/>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119015b7-64a8-4f9a-b6a0-424541d95b71}"/>
                  </s:tag>
                </a:ext>
              </a:extLst>
            </wp:cNvGraphicFramePr>
            <a:graphic xmlns:a="http://schemas.openxmlformats.org/drawingml/2006/main">
              <a:graphicData uri="http://schemas.openxmlformats.org/drawingml/2006/picture">
                <pic:pic xmlns:pic="http://schemas.openxmlformats.org/drawingml/2006/picture">
                  <pic:nvPicPr>
                    <pic:cNvPr id="1" name="图片 1" descr="7b0a202020202266696c746572223a202230220a7d0a"/>
                    <pic:cNvPicPr>
                      <a:picLocks noChangeAspect="1"/>
                    </pic:cNvPicPr>
                  </pic:nvPicPr>
                  <pic:blipFill>
                    <a:blip r:embed="rId4"/>
                    <a:srcRect l="13999" t="20829" r="12439" b="20093"/>
                    <a:stretch>
                      <a:fillRect/>
                    </a:stretch>
                  </pic:blipFill>
                  <pic:spPr>
                    <a:xfrm>
                      <a:off x="0" y="0"/>
                      <a:ext cx="4146550" cy="2497455"/>
                    </a:xfrm>
                    <a:prstGeom prst="rect">
                      <a:avLst/>
                    </a:prstGeom>
                  </pic:spPr>
                </pic:pic>
              </a:graphicData>
            </a:graphic>
          </wp:inline>
        </w:drawing>
      </w:r>
    </w:p>
    <w:p w14:paraId="0C749071">
      <w:pPr>
        <w:pStyle w:val="2"/>
        <w:pageBreakBefore w:val="0"/>
        <w:wordWrap/>
        <w:overflowPunct/>
        <w:topLinePunct w:val="0"/>
        <w:bidi w:val="0"/>
        <w:ind w:firstLine="0" w:firstLineChars="0"/>
        <w:rPr>
          <w:rFonts w:hint="eastAsia"/>
          <w:lang w:val="en-US" w:eastAsia="zh-CN"/>
        </w:rPr>
      </w:pPr>
    </w:p>
    <w:p w14:paraId="723887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培训会上，医保窗口工作人员解读城乡居民医保及职工</w:t>
      </w:r>
      <w:bookmarkStart w:id="0" w:name="_GoBack"/>
      <w:bookmarkEnd w:id="0"/>
      <w:r>
        <w:rPr>
          <w:rFonts w:hint="eastAsia" w:ascii="仿宋_GB2312" w:hAnsi="仿宋_GB2312" w:eastAsia="仿宋_GB2312" w:cs="仿宋_GB2312"/>
          <w:snapToGrid w:val="0"/>
          <w:color w:val="000000"/>
          <w:kern w:val="0"/>
          <w:sz w:val="32"/>
          <w:szCs w:val="32"/>
          <w:lang w:val="en-US" w:eastAsia="zh-CN"/>
        </w:rPr>
        <w:t>基本医保的相关政策，详细讲解下沉至医院医保工作站城乡居民医保参保登记、参保人员信息变更、家庭共济备案、门诊费用报销等19项医保政务服务事项的窗口经办流程，现场进行经办系统线下办、“浙里办”APP线上办操作演示，积极探讨窗口经办工作中遇到的高频、难点问题。通过本次专项培训，积极助推医保事项掌办、网办、就近办。</w:t>
      </w:r>
    </w:p>
    <w:p w14:paraId="273AEBD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下阶段，区政务办将组织各窗口继续开展各类业务技能培训，不断提升窗口工作人员的服务意识、业务能力和办事效率，更好满足企业和群众办事需求。</w:t>
      </w:r>
    </w:p>
    <w:p w14:paraId="412597B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43834B9A-AF07-46FB-9C57-90EACF7FE446}"/>
  </w:font>
  <w:font w:name="仿宋_GB2312">
    <w:panose1 w:val="02010609030101010101"/>
    <w:charset w:val="86"/>
    <w:family w:val="modern"/>
    <w:pitch w:val="default"/>
    <w:sig w:usb0="00000001" w:usb1="080E0000" w:usb2="00000000" w:usb3="00000000" w:csb0="00040000" w:csb1="00000000"/>
    <w:embedRegular r:id="rId2" w:fontKey="{BCABF590-4ABF-4876-BC9D-A3FC618E26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mFlMmUwYTBkYTFlM2VhMTBhNzBhOTVhNzExNjQifQ=="/>
  </w:docVars>
  <w:rsids>
    <w:rsidRoot w:val="00000000"/>
    <w:rsid w:val="0331330B"/>
    <w:rsid w:val="078D3AE9"/>
    <w:rsid w:val="0855192A"/>
    <w:rsid w:val="08FA33FF"/>
    <w:rsid w:val="09171939"/>
    <w:rsid w:val="0919300B"/>
    <w:rsid w:val="0B112D05"/>
    <w:rsid w:val="0DB2045A"/>
    <w:rsid w:val="0F4253B7"/>
    <w:rsid w:val="2049484D"/>
    <w:rsid w:val="271B299E"/>
    <w:rsid w:val="30A62100"/>
    <w:rsid w:val="333A59F3"/>
    <w:rsid w:val="34261E30"/>
    <w:rsid w:val="36B92D3B"/>
    <w:rsid w:val="396D4233"/>
    <w:rsid w:val="3CCA3132"/>
    <w:rsid w:val="3D753957"/>
    <w:rsid w:val="56783EAD"/>
    <w:rsid w:val="5B4A3759"/>
    <w:rsid w:val="63CB2A7A"/>
    <w:rsid w:val="73E4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adjustRightInd w:val="0"/>
      <w:snapToGrid w:val="0"/>
      <w:ind w:firstLine="420" w:firstLineChars="200"/>
      <w:jc w:val="left"/>
    </w:pPr>
    <w:rPr>
      <w:u w:val="none" w:color="auto"/>
    </w:rPr>
  </w:style>
  <w:style w:type="paragraph" w:styleId="3">
    <w:name w:val="Body Text Indent"/>
    <w:basedOn w:val="1"/>
    <w:qFormat/>
    <w:uiPriority w:val="0"/>
    <w:pPr>
      <w:ind w:left="1119" w:leftChars="266" w:hanging="560" w:hanging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385</Characters>
  <Lines>0</Lines>
  <Paragraphs>0</Paragraphs>
  <TotalTime>13</TotalTime>
  <ScaleCrop>false</ScaleCrop>
  <LinksUpToDate>false</LinksUpToDate>
  <CharactersWithSpaces>387</CharactersWithSpaces>
  <Application>WPS Office_12.1.0.18608_F1E327BC-269C-435d-A152-05C5408002CA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2024-11-07T00:35:00Z</dcterms:created>
  <dc:creator>Administrator</dc:creator>
  <lastModifiedBy>上善*文</lastModifiedBy>
  <dcterms:modified xsi:type="dcterms:W3CDTF">2024-11-18T01:07:37Z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B9F380449B6D4C469E0ECFFFD2902EDA_12</vt:lpwstr>
  </property>
</Properties>
</file>