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方正小标宋简体" w:hAnsi="方正小标宋简体" w:eastAsia="方正小标宋简体" w:cs="方正小标宋简体"/>
          <w:sz w:val="44"/>
          <w:szCs w:val="24"/>
          <w:lang w:val="en-US" w:eastAsia="zh-CN"/>
        </w:rPr>
      </w:pPr>
      <w:r>
        <w:rPr>
          <w:rFonts w:hint="eastAsia" w:ascii="方正小标宋简体" w:hAnsi="方正小标宋简体" w:eastAsia="方正小标宋简体" w:cs="方正小标宋简体"/>
          <w:sz w:val="44"/>
          <w:szCs w:val="24"/>
        </w:rPr>
        <w:t>湖州市生态环境局</w:t>
      </w:r>
      <w:r>
        <w:rPr>
          <w:rFonts w:hint="eastAsia" w:ascii="方正小标宋简体" w:hAnsi="方正小标宋简体" w:eastAsia="方正小标宋简体" w:cs="方正小标宋简体"/>
          <w:sz w:val="44"/>
          <w:szCs w:val="24"/>
          <w:lang w:val="en-US" w:eastAsia="zh-CN"/>
        </w:rPr>
        <w:t>划转</w:t>
      </w:r>
      <w:r>
        <w:rPr>
          <w:rFonts w:hint="eastAsia" w:ascii="方正小标宋简体" w:hAnsi="方正小标宋简体" w:eastAsia="方正小标宋简体" w:cs="方正小标宋简体"/>
          <w:sz w:val="44"/>
          <w:szCs w:val="24"/>
        </w:rPr>
        <w:t>综合行政执法</w:t>
      </w:r>
      <w:r>
        <w:rPr>
          <w:rFonts w:hint="eastAsia" w:ascii="方正小标宋简体" w:hAnsi="方正小标宋简体" w:eastAsia="方正小标宋简体" w:cs="方正小标宋简体"/>
          <w:sz w:val="44"/>
          <w:szCs w:val="24"/>
          <w:lang w:val="en-US" w:eastAsia="zh-CN"/>
        </w:rPr>
        <w:t>行政处罚</w:t>
      </w:r>
      <w:r>
        <w:rPr>
          <w:rFonts w:hint="eastAsia" w:ascii="方正小标宋简体" w:hAnsi="方正小标宋简体" w:eastAsia="方正小标宋简体" w:cs="方正小标宋简体"/>
          <w:sz w:val="44"/>
          <w:szCs w:val="24"/>
        </w:rPr>
        <w:t>事项及自由裁量基准</w:t>
      </w:r>
      <w:r>
        <w:rPr>
          <w:rFonts w:hint="eastAsia" w:ascii="方正小标宋简体" w:hAnsi="方正小标宋简体" w:eastAsia="方正小标宋简体" w:cs="方正小标宋简体"/>
          <w:sz w:val="44"/>
          <w:szCs w:val="24"/>
          <w:lang w:val="en-US" w:eastAsia="zh-CN"/>
        </w:rPr>
        <w:t>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
        <w:gridCol w:w="1144"/>
        <w:gridCol w:w="1320"/>
        <w:gridCol w:w="1214"/>
        <w:gridCol w:w="927"/>
        <w:gridCol w:w="2937"/>
        <w:gridCol w:w="3340"/>
        <w:gridCol w:w="154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Merge w:val="restart"/>
            <w:shd w:val="clear" w:color="000000" w:fill="FFFFFF"/>
            <w:noWrap w:val="0"/>
            <w:vAlign w:val="center"/>
          </w:tcPr>
          <w:p>
            <w:pPr>
              <w:spacing w:line="300" w:lineRule="exact"/>
              <w:ind w:right="-96" w:rightChars="-30" w:firstLine="0" w:firstLineChars="0"/>
              <w:jc w:val="center"/>
              <w:rPr>
                <w:rFonts w:eastAsia="黑体"/>
                <w:bCs/>
                <w:sz w:val="20"/>
                <w:szCs w:val="20"/>
              </w:rPr>
            </w:pPr>
            <w:r>
              <w:rPr>
                <w:rFonts w:eastAsia="黑体"/>
                <w:bCs/>
                <w:sz w:val="20"/>
                <w:szCs w:val="20"/>
              </w:rPr>
              <w:t>序号</w:t>
            </w:r>
          </w:p>
        </w:tc>
        <w:tc>
          <w:tcPr>
            <w:tcW w:w="0" w:type="auto"/>
            <w:vMerge w:val="restart"/>
            <w:noWrap w:val="0"/>
            <w:vAlign w:val="center"/>
          </w:tcPr>
          <w:p>
            <w:pPr>
              <w:spacing w:line="300" w:lineRule="exact"/>
              <w:ind w:right="-96" w:rightChars="-30" w:firstLine="0" w:firstLineChars="0"/>
              <w:jc w:val="center"/>
              <w:rPr>
                <w:rFonts w:hint="eastAsia" w:eastAsia="黑体"/>
                <w:bCs/>
                <w:sz w:val="20"/>
                <w:szCs w:val="20"/>
                <w:lang w:val="en-US" w:eastAsia="zh-CN"/>
              </w:rPr>
            </w:pPr>
            <w:r>
              <w:rPr>
                <w:rFonts w:hint="eastAsia" w:eastAsia="黑体"/>
                <w:bCs/>
                <w:sz w:val="20"/>
                <w:szCs w:val="20"/>
                <w:lang w:val="en-US" w:eastAsia="zh-CN"/>
              </w:rPr>
              <w:t>部门名称</w:t>
            </w:r>
          </w:p>
        </w:tc>
        <w:tc>
          <w:tcPr>
            <w:tcW w:w="0" w:type="auto"/>
            <w:vMerge w:val="restart"/>
            <w:noWrap w:val="0"/>
            <w:vAlign w:val="center"/>
          </w:tcPr>
          <w:p>
            <w:pPr>
              <w:spacing w:line="300" w:lineRule="exact"/>
              <w:ind w:right="-96" w:rightChars="-30" w:firstLine="0" w:firstLineChars="0"/>
              <w:jc w:val="center"/>
              <w:rPr>
                <w:rFonts w:hint="default" w:eastAsia="黑体"/>
                <w:bCs/>
                <w:sz w:val="20"/>
                <w:szCs w:val="20"/>
                <w:lang w:val="en-US" w:eastAsia="zh-CN"/>
              </w:rPr>
            </w:pPr>
            <w:r>
              <w:rPr>
                <w:rFonts w:hint="eastAsia" w:eastAsia="黑体"/>
                <w:bCs/>
                <w:sz w:val="20"/>
                <w:szCs w:val="20"/>
                <w:lang w:val="en-US" w:eastAsia="zh-CN"/>
              </w:rPr>
              <w:t>事项代码</w:t>
            </w:r>
          </w:p>
        </w:tc>
        <w:tc>
          <w:tcPr>
            <w:tcW w:w="1214" w:type="dxa"/>
            <w:vMerge w:val="restart"/>
            <w:noWrap w:val="0"/>
            <w:vAlign w:val="center"/>
          </w:tcPr>
          <w:p>
            <w:pPr>
              <w:spacing w:line="300" w:lineRule="exact"/>
              <w:ind w:right="-96" w:rightChars="-30" w:firstLine="0" w:firstLineChars="0"/>
              <w:jc w:val="center"/>
              <w:rPr>
                <w:rFonts w:eastAsia="黑体"/>
                <w:bCs/>
                <w:sz w:val="20"/>
                <w:szCs w:val="20"/>
              </w:rPr>
            </w:pPr>
            <w:r>
              <w:rPr>
                <w:rFonts w:hint="eastAsia" w:eastAsia="黑体"/>
                <w:bCs/>
                <w:sz w:val="20"/>
                <w:szCs w:val="20"/>
                <w:lang w:val="en-US" w:eastAsia="zh-CN"/>
              </w:rPr>
              <w:t>目录名称</w:t>
            </w:r>
            <w:bookmarkStart w:id="0" w:name="_GoBack"/>
            <w:bookmarkEnd w:id="0"/>
          </w:p>
        </w:tc>
        <w:tc>
          <w:tcPr>
            <w:tcW w:w="927" w:type="dxa"/>
            <w:vMerge w:val="restart"/>
            <w:noWrap w:val="0"/>
            <w:vAlign w:val="center"/>
          </w:tcPr>
          <w:p>
            <w:pPr>
              <w:spacing w:line="300" w:lineRule="exact"/>
              <w:ind w:right="-96" w:rightChars="-30" w:firstLine="0" w:firstLineChars="0"/>
              <w:jc w:val="center"/>
              <w:rPr>
                <w:rFonts w:hint="default" w:eastAsia="黑体"/>
                <w:bCs/>
                <w:sz w:val="20"/>
                <w:szCs w:val="20"/>
                <w:lang w:val="en-US" w:eastAsia="zh-CN"/>
              </w:rPr>
            </w:pPr>
            <w:r>
              <w:rPr>
                <w:rFonts w:hint="eastAsia" w:eastAsia="黑体"/>
                <w:bCs/>
                <w:sz w:val="20"/>
                <w:szCs w:val="20"/>
                <w:lang w:val="en-US" w:eastAsia="zh-CN"/>
              </w:rPr>
              <w:t>监管层级</w:t>
            </w:r>
          </w:p>
        </w:tc>
        <w:tc>
          <w:tcPr>
            <w:tcW w:w="0" w:type="auto"/>
            <w:gridSpan w:val="2"/>
            <w:noWrap w:val="0"/>
            <w:vAlign w:val="center"/>
          </w:tcPr>
          <w:p>
            <w:pPr>
              <w:spacing w:line="300" w:lineRule="exact"/>
              <w:ind w:right="-96" w:rightChars="-30" w:firstLine="0" w:firstLineChars="0"/>
              <w:jc w:val="center"/>
              <w:rPr>
                <w:rFonts w:hint="eastAsia" w:eastAsia="黑体"/>
                <w:bCs/>
                <w:sz w:val="20"/>
                <w:szCs w:val="20"/>
                <w:lang w:val="en-US" w:eastAsia="zh-CN"/>
              </w:rPr>
            </w:pPr>
            <w:r>
              <w:rPr>
                <w:rFonts w:hint="eastAsia" w:eastAsia="黑体"/>
                <w:bCs/>
                <w:sz w:val="20"/>
                <w:szCs w:val="20"/>
                <w:lang w:val="en-US" w:eastAsia="zh-CN"/>
              </w:rPr>
              <w:t>实施依据</w:t>
            </w:r>
          </w:p>
        </w:tc>
        <w:tc>
          <w:tcPr>
            <w:tcW w:w="0" w:type="auto"/>
            <w:vMerge w:val="restart"/>
            <w:noWrap w:val="0"/>
            <w:vAlign w:val="center"/>
          </w:tcPr>
          <w:p>
            <w:pPr>
              <w:spacing w:line="300" w:lineRule="exact"/>
              <w:ind w:right="-96" w:rightChars="-30" w:firstLine="0" w:firstLineChars="0"/>
              <w:jc w:val="center"/>
              <w:rPr>
                <w:rFonts w:hint="eastAsia" w:eastAsia="黑体"/>
                <w:bCs/>
                <w:sz w:val="20"/>
                <w:szCs w:val="20"/>
                <w:lang w:val="en-US" w:eastAsia="zh-CN"/>
              </w:rPr>
            </w:pPr>
            <w:r>
              <w:rPr>
                <w:rFonts w:hint="eastAsia" w:eastAsia="黑体"/>
                <w:bCs/>
                <w:sz w:val="20"/>
                <w:szCs w:val="20"/>
                <w:lang w:val="en-US" w:eastAsia="zh-CN"/>
              </w:rPr>
              <w:t>裁量依据名称</w:t>
            </w:r>
          </w:p>
        </w:tc>
        <w:tc>
          <w:tcPr>
            <w:tcW w:w="0" w:type="auto"/>
            <w:vMerge w:val="restart"/>
            <w:noWrap w:val="0"/>
            <w:vAlign w:val="center"/>
          </w:tcPr>
          <w:p>
            <w:pPr>
              <w:spacing w:line="300" w:lineRule="exact"/>
              <w:ind w:right="-96" w:rightChars="-30" w:firstLine="0" w:firstLineChars="0"/>
              <w:jc w:val="center"/>
              <w:rPr>
                <w:rFonts w:hint="eastAsia" w:eastAsia="黑体"/>
                <w:bCs/>
                <w:sz w:val="20"/>
                <w:szCs w:val="20"/>
                <w:lang w:val="en-US" w:eastAsia="zh-CN"/>
              </w:rPr>
            </w:pPr>
            <w:r>
              <w:rPr>
                <w:rFonts w:hint="eastAsia" w:eastAsia="黑体"/>
                <w:bCs/>
                <w:sz w:val="20"/>
                <w:szCs w:val="20"/>
                <w:lang w:val="en-US" w:eastAsia="zh-CN"/>
              </w:rPr>
              <w:t>行政处罚自由裁量基准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0" w:type="auto"/>
            <w:vMerge w:val="continue"/>
            <w:noWrap w:val="0"/>
            <w:vAlign w:val="center"/>
          </w:tcPr>
          <w:p>
            <w:pPr>
              <w:spacing w:line="300" w:lineRule="exact"/>
              <w:ind w:right="-96" w:rightChars="-30" w:firstLine="0" w:firstLineChars="0"/>
              <w:rPr>
                <w:rFonts w:eastAsia="黑体"/>
                <w:bCs/>
                <w:sz w:val="20"/>
                <w:szCs w:val="20"/>
              </w:rPr>
            </w:pPr>
          </w:p>
        </w:tc>
        <w:tc>
          <w:tcPr>
            <w:tcW w:w="0" w:type="auto"/>
            <w:vMerge w:val="continue"/>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0" w:type="auto"/>
            <w:vMerge w:val="continue"/>
            <w:noWrap w:val="0"/>
            <w:vAlign w:val="center"/>
          </w:tcPr>
          <w:p>
            <w:pPr>
              <w:spacing w:line="300" w:lineRule="exact"/>
              <w:ind w:right="-96" w:rightChars="-30" w:firstLine="0" w:firstLineChars="0"/>
              <w:rPr>
                <w:rFonts w:eastAsia="黑体"/>
                <w:bCs/>
                <w:sz w:val="20"/>
                <w:szCs w:val="20"/>
              </w:rPr>
            </w:pPr>
          </w:p>
        </w:tc>
        <w:tc>
          <w:tcPr>
            <w:tcW w:w="1214" w:type="dxa"/>
            <w:vMerge w:val="continue"/>
            <w:tcBorders/>
            <w:noWrap w:val="0"/>
            <w:vAlign w:val="center"/>
          </w:tcPr>
          <w:p>
            <w:pPr>
              <w:spacing w:line="300" w:lineRule="exact"/>
              <w:ind w:right="-96" w:rightChars="-30" w:firstLine="0" w:firstLineChars="0"/>
              <w:rPr>
                <w:rFonts w:eastAsia="黑体"/>
                <w:bCs/>
                <w:sz w:val="20"/>
                <w:szCs w:val="20"/>
              </w:rPr>
            </w:pPr>
          </w:p>
        </w:tc>
        <w:tc>
          <w:tcPr>
            <w:tcW w:w="927" w:type="dxa"/>
            <w:vMerge w:val="continue"/>
            <w:noWrap w:val="0"/>
            <w:vAlign w:val="center"/>
          </w:tcPr>
          <w:p>
            <w:pPr>
              <w:spacing w:line="300" w:lineRule="exact"/>
              <w:ind w:right="-96" w:rightChars="-30" w:firstLine="0" w:firstLineChars="0"/>
              <w:rPr>
                <w:rFonts w:eastAsia="黑体"/>
                <w:bCs/>
                <w:sz w:val="20"/>
                <w:szCs w:val="20"/>
              </w:rPr>
            </w:pPr>
          </w:p>
        </w:tc>
        <w:tc>
          <w:tcPr>
            <w:tcW w:w="0" w:type="auto"/>
            <w:noWrap w:val="0"/>
            <w:vAlign w:val="center"/>
          </w:tcPr>
          <w:p>
            <w:pPr>
              <w:spacing w:line="300" w:lineRule="exact"/>
              <w:ind w:right="-96" w:rightChars="-30" w:firstLine="0" w:firstLineChars="0"/>
              <w:jc w:val="center"/>
              <w:rPr>
                <w:rFonts w:eastAsia="黑体"/>
                <w:bCs/>
                <w:sz w:val="20"/>
                <w:szCs w:val="20"/>
              </w:rPr>
            </w:pPr>
            <w:r>
              <w:rPr>
                <w:rFonts w:eastAsia="黑体"/>
                <w:bCs/>
                <w:sz w:val="20"/>
                <w:szCs w:val="20"/>
              </w:rPr>
              <w:t>违则</w:t>
            </w:r>
          </w:p>
        </w:tc>
        <w:tc>
          <w:tcPr>
            <w:tcW w:w="0" w:type="auto"/>
            <w:noWrap w:val="0"/>
            <w:vAlign w:val="center"/>
          </w:tcPr>
          <w:p>
            <w:pPr>
              <w:spacing w:line="300" w:lineRule="exact"/>
              <w:ind w:right="-96" w:rightChars="-30" w:firstLine="0" w:firstLineChars="0"/>
              <w:jc w:val="center"/>
              <w:rPr>
                <w:rFonts w:eastAsia="黑体"/>
                <w:bCs/>
                <w:sz w:val="20"/>
                <w:szCs w:val="20"/>
              </w:rPr>
            </w:pPr>
            <w:r>
              <w:rPr>
                <w:rFonts w:eastAsia="黑体"/>
                <w:bCs/>
                <w:sz w:val="20"/>
                <w:szCs w:val="20"/>
              </w:rPr>
              <w:t>罚则</w:t>
            </w:r>
          </w:p>
        </w:tc>
        <w:tc>
          <w:tcPr>
            <w:tcW w:w="0" w:type="auto"/>
            <w:vMerge w:val="continue"/>
            <w:tcBorders/>
            <w:noWrap w:val="0"/>
            <w:vAlign w:val="center"/>
          </w:tcPr>
          <w:p>
            <w:pPr>
              <w:spacing w:line="300" w:lineRule="exact"/>
              <w:ind w:right="-96" w:rightChars="-30" w:firstLine="0" w:firstLineChars="0"/>
              <w:rPr>
                <w:rFonts w:eastAsia="黑体"/>
                <w:bCs/>
                <w:sz w:val="20"/>
                <w:szCs w:val="20"/>
              </w:rPr>
            </w:pPr>
          </w:p>
        </w:tc>
        <w:tc>
          <w:tcPr>
            <w:tcW w:w="0" w:type="auto"/>
            <w:vMerge w:val="continue"/>
            <w:tcBorders/>
            <w:noWrap w:val="0"/>
            <w:vAlign w:val="center"/>
          </w:tcPr>
          <w:p>
            <w:pPr>
              <w:spacing w:line="300" w:lineRule="exact"/>
              <w:ind w:right="-96" w:rightChars="-30" w:firstLine="0" w:firstLineChars="0"/>
              <w:rPr>
                <w:rFonts w:eastAsia="黑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w:t>
            </w:r>
          </w:p>
        </w:tc>
        <w:tc>
          <w:tcPr>
            <w:tcW w:w="0" w:type="auto"/>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330216132002</w:t>
            </w:r>
          </w:p>
        </w:tc>
        <w:tc>
          <w:tcPr>
            <w:tcW w:w="1214" w:type="dxa"/>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对向水体排放、倾倒工业废渣、城镇垃圾或者其他废弃物等违法行为的行政处罚</w:t>
            </w:r>
          </w:p>
        </w:tc>
        <w:tc>
          <w:tcPr>
            <w:tcW w:w="927" w:type="dxa"/>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《中华人民共和国水污染防治法》第三十七条第一款  禁止向水体排放、倾倒工业废渣、城镇垃圾和其他废弃物。</w:t>
            </w:r>
            <w:r>
              <w:rPr>
                <w:rFonts w:hint="eastAsia" w:ascii="宋体" w:hAnsi="宋体" w:eastAsia="宋体" w:cs="宋体"/>
                <w:sz w:val="20"/>
                <w:szCs w:val="20"/>
              </w:rPr>
              <w:br w:type="textWrapping"/>
            </w:r>
            <w:r>
              <w:rPr>
                <w:rFonts w:hint="eastAsia" w:ascii="宋体" w:hAnsi="宋体" w:eastAsia="宋体" w:cs="宋体"/>
                <w:sz w:val="20"/>
                <w:szCs w:val="20"/>
              </w:rPr>
              <w:t>第三十八条  禁止在江河、湖泊、运河、渠道、水库最高水位线以下的滩地和岸坡堆放、存贮固体废弃物和其他污染物。</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《中华人民共和国水污染防治法》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第八十五条第一款第四项  有下列行为之一的，由</w:t>
            </w:r>
            <w:r>
              <w:rPr>
                <w:rFonts w:hint="eastAsia" w:ascii="宋体" w:hAnsi="宋体" w:eastAsia="宋体" w:cs="宋体"/>
                <w:bCs/>
                <w:sz w:val="20"/>
                <w:szCs w:val="20"/>
              </w:rPr>
              <w:t>县级以上地方人民政府环境保护主管部门</w:t>
            </w:r>
            <w:r>
              <w:rPr>
                <w:rFonts w:hint="eastAsia" w:ascii="宋体" w:hAnsi="宋体" w:eastAsia="宋体" w:cs="宋体"/>
                <w:sz w:val="20"/>
                <w:szCs w:val="20"/>
              </w:rPr>
              <w:t>责令停止违法行为，限期采取治理措施，消除污染，处以罚款；逾期不采取治理措施的，环境保护主管部门可以指定有治理能力的单位代为治理，所需费用由违法者承担：</w:t>
            </w:r>
            <w:r>
              <w:rPr>
                <w:rFonts w:hint="eastAsia" w:ascii="宋体" w:hAnsi="宋体" w:eastAsia="宋体" w:cs="宋体"/>
                <w:sz w:val="20"/>
                <w:szCs w:val="20"/>
              </w:rPr>
              <w:br w:type="textWrapping"/>
            </w:r>
            <w:r>
              <w:rPr>
                <w:rFonts w:hint="eastAsia" w:ascii="宋体" w:hAnsi="宋体" w:eastAsia="宋体" w:cs="宋体"/>
                <w:sz w:val="20"/>
                <w:szCs w:val="20"/>
              </w:rPr>
              <w:t>（四）向水体排放、倾倒工业废渣、城镇垃圾或者其他废弃物，或者在江河、湖泊、运河、渠道、水库最高水位线以下的滩地、岸坡堆放、存贮固体废弃物或者其他污染物的；</w:t>
            </w:r>
          </w:p>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2</w:t>
            </w:r>
          </w:p>
        </w:tc>
        <w:tc>
          <w:tcPr>
            <w:tcW w:w="0" w:type="auto"/>
            <w:shd w:val="clear" w:color="auto" w:fill="auto"/>
            <w:noWrap w:val="0"/>
            <w:vAlign w:val="center"/>
          </w:tcPr>
          <w:p>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330216107002</w:t>
            </w:r>
          </w:p>
        </w:tc>
        <w:tc>
          <w:tcPr>
            <w:tcW w:w="1214" w:type="dxa"/>
            <w:shd w:val="clear" w:color="auto" w:fill="auto"/>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对个人未按照规定停止燃用高污染燃料的行政处罚</w:t>
            </w:r>
          </w:p>
        </w:tc>
        <w:tc>
          <w:tcPr>
            <w:tcW w:w="927" w:type="dxa"/>
            <w:shd w:val="clear" w:color="auto" w:fill="auto"/>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auto" w:fill="auto"/>
            <w:noWrap w:val="0"/>
            <w:vAlign w:val="center"/>
          </w:tcPr>
          <w:p>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第三十八条第二款  在禁燃区内，禁止销售、燃用高污染燃料；禁止新建、扩建燃用高污染燃料的设施，已建成的，应当在城市人民政府规定的期限内改用天然气、页岩气、液化石油气、电或者其他清洁能源。</w:t>
            </w:r>
            <w:r>
              <w:rPr>
                <w:rFonts w:hint="eastAsia" w:ascii="宋体" w:hAnsi="宋体" w:eastAsia="宋体" w:cs="宋体"/>
                <w:sz w:val="20"/>
                <w:szCs w:val="20"/>
              </w:rPr>
              <w:br w:type="textWrapping"/>
            </w:r>
            <w:r>
              <w:rPr>
                <w:rFonts w:hint="eastAsia" w:ascii="宋体" w:hAnsi="宋体" w:eastAsia="宋体" w:cs="宋体"/>
                <w:sz w:val="20"/>
                <w:szCs w:val="20"/>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0" w:type="auto"/>
            <w:shd w:val="clear" w:color="auto" w:fill="auto"/>
            <w:noWrap w:val="0"/>
            <w:vAlign w:val="center"/>
          </w:tcPr>
          <w:p>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eastAsia" w:ascii="宋体" w:hAnsi="宋体" w:eastAsia="宋体" w:cs="宋体"/>
                <w:bCs/>
                <w:sz w:val="20"/>
                <w:szCs w:val="20"/>
              </w:rPr>
              <w:t>县级以上地方人民政府生态环境主管部门</w:t>
            </w:r>
            <w:r>
              <w:rPr>
                <w:rFonts w:hint="eastAsia" w:ascii="宋体" w:hAnsi="宋体" w:eastAsia="宋体" w:cs="宋体"/>
                <w:sz w:val="20"/>
                <w:szCs w:val="20"/>
              </w:rPr>
              <w:t>没收燃用高污染燃料的设施，组织拆除燃煤供热锅炉，并处二万元以上二十万元以下的罚款。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3</w:t>
            </w:r>
          </w:p>
        </w:tc>
        <w:tc>
          <w:tcPr>
            <w:tcW w:w="0" w:type="auto"/>
            <w:shd w:val="clear" w:color="auto" w:fill="auto"/>
            <w:noWrap w:val="0"/>
            <w:vAlign w:val="center"/>
          </w:tcPr>
          <w:p>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330616181000</w:t>
            </w:r>
          </w:p>
        </w:tc>
        <w:tc>
          <w:tcPr>
            <w:tcW w:w="1214" w:type="dxa"/>
            <w:shd w:val="clear" w:color="auto" w:fill="auto"/>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对个人存放煤炭、煤矸石、煤渣、煤灰等物料，未采取防燃措施的行政处罚</w:t>
            </w:r>
          </w:p>
        </w:tc>
        <w:tc>
          <w:tcPr>
            <w:tcW w:w="927" w:type="dxa"/>
            <w:shd w:val="clear" w:color="auto" w:fill="auto"/>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auto" w:fill="auto"/>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第三十五条第二款  单位存放煤炭、煤矸石、煤渣、煤灰等物料，应当采取防燃措施，防止大气污染。</w:t>
            </w:r>
          </w:p>
        </w:tc>
        <w:tc>
          <w:tcPr>
            <w:tcW w:w="0" w:type="auto"/>
            <w:shd w:val="clear" w:color="auto" w:fill="auto"/>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第一百一十七条  违反本法规定，有下列行为之一的，由</w:t>
            </w:r>
            <w:r>
              <w:rPr>
                <w:rFonts w:hint="eastAsia" w:ascii="宋体" w:hAnsi="宋体" w:eastAsia="宋体" w:cs="宋体"/>
                <w:bCs/>
                <w:sz w:val="20"/>
                <w:szCs w:val="20"/>
              </w:rPr>
              <w:t>县级以上人民政府生态环境等主管部门</w:t>
            </w:r>
            <w:r>
              <w:rPr>
                <w:rFonts w:hint="eastAsia" w:ascii="宋体" w:hAnsi="宋体" w:eastAsia="宋体" w:cs="宋体"/>
                <w:sz w:val="20"/>
                <w:szCs w:val="20"/>
              </w:rPr>
              <w:t>按照职责责令改正，处一万元以上十万元以下的罚款；拒不改正的，责令停工整治或者停业整治：</w:t>
            </w:r>
            <w:r>
              <w:rPr>
                <w:rFonts w:hint="eastAsia" w:ascii="宋体" w:hAnsi="宋体" w:eastAsia="宋体" w:cs="宋体"/>
                <w:sz w:val="20"/>
                <w:szCs w:val="20"/>
              </w:rPr>
              <w:br w:type="textWrapping"/>
            </w:r>
            <w:r>
              <w:rPr>
                <w:rFonts w:hint="eastAsia" w:ascii="宋体" w:hAnsi="宋体" w:eastAsia="宋体" w:cs="宋体"/>
                <w:sz w:val="20"/>
                <w:szCs w:val="20"/>
              </w:rPr>
              <w:t>（四）存放煤炭、煤矸石、煤渣、煤灰等物料，未采取防燃措施的。</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4</w:t>
            </w:r>
          </w:p>
        </w:tc>
        <w:tc>
          <w:tcPr>
            <w:tcW w:w="0" w:type="auto"/>
            <w:shd w:val="clear" w:color="000000" w:fill="FFFFFF"/>
            <w:noWrap w:val="0"/>
            <w:vAlign w:val="center"/>
          </w:tcPr>
          <w:p>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330216277002</w:t>
            </w:r>
          </w:p>
        </w:tc>
        <w:tc>
          <w:tcPr>
            <w:tcW w:w="1214" w:type="dxa"/>
            <w:shd w:val="clear" w:color="auto" w:fill="auto"/>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对露天焚烧秸秆、落叶等产生烟尘污染物质的行政处罚</w:t>
            </w:r>
          </w:p>
        </w:tc>
        <w:tc>
          <w:tcPr>
            <w:tcW w:w="927" w:type="dxa"/>
            <w:shd w:val="clear" w:color="auto" w:fill="auto"/>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第七十七条  省、自治区、直辖市人民政府应当划定区域，禁止露天焚烧秸秆、落叶等产生烟尘污染的物质。</w:t>
            </w:r>
          </w:p>
        </w:tc>
        <w:tc>
          <w:tcPr>
            <w:tcW w:w="0" w:type="auto"/>
            <w:shd w:val="clear" w:color="000000" w:fill="FFFFFF"/>
            <w:noWrap w:val="0"/>
            <w:vAlign w:val="center"/>
          </w:tcPr>
          <w:p>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第一百一十九条第一款  违反本法规定，在人口集中地区对树木、花草喷洒剧毒、高毒农药，或者露天焚烧秸秆、落叶等产生烟尘污染的物质的，由</w:t>
            </w:r>
            <w:r>
              <w:rPr>
                <w:rFonts w:hint="eastAsia" w:ascii="宋体" w:hAnsi="宋体" w:eastAsia="宋体" w:cs="宋体"/>
                <w:bCs/>
                <w:sz w:val="20"/>
                <w:szCs w:val="20"/>
              </w:rPr>
              <w:t>县级以上地方人民政府确定的监督管理部门</w:t>
            </w:r>
            <w:r>
              <w:rPr>
                <w:rFonts w:hint="eastAsia" w:ascii="宋体" w:hAnsi="宋体" w:eastAsia="宋体" w:cs="宋体"/>
                <w:sz w:val="20"/>
                <w:szCs w:val="20"/>
              </w:rPr>
              <w:t>责令改正，并可以处五百元以上二千元以下的罚款。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5</w:t>
            </w:r>
          </w:p>
        </w:tc>
        <w:tc>
          <w:tcPr>
            <w:tcW w:w="0" w:type="auto"/>
            <w:shd w:val="clear" w:color="000000" w:fill="FFFFFF"/>
            <w:noWrap w:val="0"/>
            <w:vAlign w:val="center"/>
          </w:tcPr>
          <w:p>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330216279004</w:t>
            </w:r>
          </w:p>
        </w:tc>
        <w:tc>
          <w:tcPr>
            <w:tcW w:w="1214" w:type="dxa"/>
            <w:shd w:val="clear" w:color="auto" w:fill="auto"/>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对经营者未安装净化设施、不正常使用净化设施的行政处罚</w:t>
            </w:r>
          </w:p>
        </w:tc>
        <w:tc>
          <w:tcPr>
            <w:tcW w:w="927" w:type="dxa"/>
            <w:shd w:val="clear" w:color="auto" w:fill="auto"/>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第八十一条第一款  排放油烟的餐饮服务业经营者应当安装油烟净化设施并保持正常使用，或者采取其他油烟净化措施，使油烟达标排放，并防止对附近居民的正常生活环境造成污染。</w:t>
            </w:r>
          </w:p>
        </w:tc>
        <w:tc>
          <w:tcPr>
            <w:tcW w:w="0" w:type="auto"/>
            <w:shd w:val="clear" w:color="000000" w:fill="FFFFFF"/>
            <w:noWrap w:val="0"/>
            <w:vAlign w:val="center"/>
          </w:tcPr>
          <w:p>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第一百一十八条第一款  违反本法规定，排放油烟的餐饮服务业经营者未安装油烟净化设施、不正常使用油烟净化设施或者未采取其他油烟净化措施，超过排放标准排放油烟的，由</w:t>
            </w:r>
            <w:r>
              <w:rPr>
                <w:rFonts w:hint="eastAsia" w:ascii="宋体" w:hAnsi="宋体" w:eastAsia="宋体" w:cs="宋体"/>
                <w:bCs/>
                <w:sz w:val="20"/>
                <w:szCs w:val="20"/>
              </w:rPr>
              <w:t>县级以上地方人民政府确定的监督管理部门</w:t>
            </w:r>
            <w:r>
              <w:rPr>
                <w:rFonts w:hint="eastAsia" w:ascii="宋体" w:hAnsi="宋体" w:eastAsia="宋体" w:cs="宋体"/>
                <w:sz w:val="20"/>
                <w:szCs w:val="20"/>
              </w:rPr>
              <w:t>责令改正，处五千元以上五万元以下的罚款；拒不改正的，责令停业整治。</w:t>
            </w:r>
          </w:p>
        </w:tc>
        <w:tc>
          <w:tcPr>
            <w:tcW w:w="0" w:type="auto"/>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1"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6</w:t>
            </w:r>
          </w:p>
        </w:tc>
        <w:tc>
          <w:tcPr>
            <w:tcW w:w="0" w:type="auto"/>
            <w:shd w:val="clear" w:color="000000" w:fill="FFFFFF"/>
            <w:noWrap w:val="0"/>
            <w:vAlign w:val="center"/>
          </w:tcPr>
          <w:p>
            <w:pPr>
              <w:spacing w:line="27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27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330216310004</w:t>
            </w:r>
          </w:p>
        </w:tc>
        <w:tc>
          <w:tcPr>
            <w:tcW w:w="1214" w:type="dxa"/>
            <w:shd w:val="clear" w:color="000000" w:fill="FFFFFF"/>
            <w:noWrap w:val="0"/>
            <w:vAlign w:val="center"/>
          </w:tcPr>
          <w:p>
            <w:pPr>
              <w:spacing w:line="27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对运输过程中沿途丢弃、遗撒工业固体废物的行政处罚</w:t>
            </w:r>
          </w:p>
        </w:tc>
        <w:tc>
          <w:tcPr>
            <w:tcW w:w="927" w:type="dxa"/>
            <w:shd w:val="clear" w:color="000000" w:fill="FFFFFF"/>
            <w:noWrap w:val="0"/>
            <w:vAlign w:val="center"/>
          </w:tcPr>
          <w:p>
            <w:pPr>
              <w:spacing w:line="27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《中华人民共和国固体废物污染环境防治法》(2020年版)</w:t>
            </w:r>
            <w:r>
              <w:rPr>
                <w:rFonts w:hint="eastAsia" w:ascii="宋体" w:hAnsi="宋体" w:eastAsia="宋体" w:cs="宋体"/>
                <w:sz w:val="20"/>
                <w:szCs w:val="20"/>
              </w:rPr>
              <w:br w:type="textWrapping"/>
            </w:r>
            <w:r>
              <w:rPr>
                <w:rFonts w:hint="eastAsia" w:ascii="宋体" w:hAnsi="宋体" w:eastAsia="宋体" w:cs="宋体"/>
                <w:sz w:val="20"/>
                <w:szCs w:val="20"/>
              </w:rPr>
              <w:t>第二十条第一款  产生、收集、贮存、运输、利用、处置固体废物的单位和其他生产经营者，应当采取防扬散、防流失、防渗漏或者其他防止污染环境的措施，不得擅自倾倒、堆放、丢弃、遗撒固体废物。</w:t>
            </w:r>
          </w:p>
        </w:tc>
        <w:tc>
          <w:tcPr>
            <w:tcW w:w="0" w:type="auto"/>
            <w:shd w:val="clear" w:color="000000" w:fill="FFFFFF"/>
            <w:noWrap w:val="0"/>
            <w:vAlign w:val="center"/>
          </w:tcPr>
          <w:p>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《中华人民共和国固体废物污染环境防治法》（2020年版）</w:t>
            </w:r>
            <w:r>
              <w:rPr>
                <w:rFonts w:hint="eastAsia" w:ascii="宋体" w:hAnsi="宋体" w:eastAsia="宋体" w:cs="宋体"/>
                <w:sz w:val="20"/>
                <w:szCs w:val="20"/>
              </w:rPr>
              <w:br w:type="textWrapping"/>
            </w:r>
            <w:r>
              <w:rPr>
                <w:rFonts w:hint="eastAsia" w:ascii="宋体" w:hAnsi="宋体" w:eastAsia="宋体" w:cs="宋体"/>
                <w:sz w:val="20"/>
                <w:szCs w:val="20"/>
              </w:rPr>
              <w:t>第一百零二条第一款第七项  违反本法规定，有下列行为之一，由</w:t>
            </w:r>
            <w:r>
              <w:rPr>
                <w:rFonts w:hint="eastAsia" w:ascii="宋体" w:hAnsi="宋体" w:eastAsia="宋体" w:cs="宋体"/>
                <w:bCs/>
                <w:sz w:val="20"/>
                <w:szCs w:val="20"/>
              </w:rPr>
              <w:t>生态环境主管部门</w:t>
            </w:r>
            <w:r>
              <w:rPr>
                <w:rFonts w:hint="eastAsia" w:ascii="宋体" w:hAnsi="宋体" w:eastAsia="宋体" w:cs="宋体"/>
                <w:sz w:val="20"/>
                <w:szCs w:val="20"/>
              </w:rPr>
              <w:t>责令改正，处以罚款，没收违法所得；情节严重的，报经有批准权的人民政府批准，可以责令停业或者关闭：</w:t>
            </w:r>
            <w:r>
              <w:rPr>
                <w:rFonts w:hint="eastAsia" w:ascii="宋体" w:hAnsi="宋体" w:eastAsia="宋体" w:cs="宋体"/>
                <w:sz w:val="20"/>
                <w:szCs w:val="20"/>
              </w:rPr>
              <w:br w:type="textWrapping"/>
            </w:r>
            <w:r>
              <w:rPr>
                <w:rFonts w:hint="eastAsia" w:ascii="宋体" w:hAnsi="宋体" w:eastAsia="宋体" w:cs="宋体"/>
                <w:sz w:val="20"/>
                <w:szCs w:val="20"/>
              </w:rPr>
              <w:t>（七）擅自倾倒、堆放、丢弃、遗撒工业固体废物，或者未采取相应防范措施，造成工业固体废物扬散、流失、渗漏或者其他环境污染的；</w:t>
            </w:r>
            <w:r>
              <w:rPr>
                <w:rFonts w:hint="eastAsia" w:ascii="宋体" w:hAnsi="宋体" w:eastAsia="宋体" w:cs="宋体"/>
                <w:sz w:val="20"/>
                <w:szCs w:val="20"/>
              </w:rPr>
              <w:br w:type="textWrapping"/>
            </w:r>
            <w:r>
              <w:rPr>
                <w:rFonts w:hint="eastAsia" w:ascii="宋体" w:hAnsi="宋体" w:eastAsia="宋体" w:cs="宋体"/>
                <w:sz w:val="20"/>
                <w:szCs w:val="20"/>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4"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7</w:t>
            </w:r>
          </w:p>
        </w:tc>
        <w:tc>
          <w:tcPr>
            <w:tcW w:w="0" w:type="auto"/>
            <w:shd w:val="clear" w:color="000000" w:fill="FFFFFF"/>
            <w:noWrap w:val="0"/>
            <w:vAlign w:val="center"/>
          </w:tcPr>
          <w:p>
            <w:pPr>
              <w:spacing w:line="28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28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330216227000</w:t>
            </w:r>
          </w:p>
        </w:tc>
        <w:tc>
          <w:tcPr>
            <w:tcW w:w="1214" w:type="dxa"/>
            <w:shd w:val="clear" w:color="auto" w:fill="auto"/>
            <w:noWrap w:val="0"/>
            <w:vAlign w:val="center"/>
          </w:tcPr>
          <w:p>
            <w:pPr>
              <w:spacing w:line="28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对饮用水水源一级保护区从事可能污染水体的活动以及个人从事可能污染水体活动的行政处罚</w:t>
            </w:r>
          </w:p>
        </w:tc>
        <w:tc>
          <w:tcPr>
            <w:tcW w:w="927" w:type="dxa"/>
            <w:shd w:val="clear" w:color="auto" w:fill="auto"/>
            <w:noWrap w:val="0"/>
            <w:vAlign w:val="center"/>
          </w:tcPr>
          <w:p>
            <w:pPr>
              <w:spacing w:line="28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auto" w:fill="auto"/>
            <w:noWrap w:val="0"/>
            <w:vAlign w:val="center"/>
          </w:tcPr>
          <w:p>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《中华人民共和国水污染防治法》</w:t>
            </w:r>
            <w:r>
              <w:rPr>
                <w:rFonts w:hint="eastAsia" w:ascii="宋体" w:hAnsi="宋体" w:eastAsia="宋体" w:cs="宋体"/>
                <w:sz w:val="20"/>
                <w:szCs w:val="20"/>
              </w:rPr>
              <w:br w:type="textWrapping"/>
            </w:r>
            <w:r>
              <w:rPr>
                <w:rFonts w:hint="eastAsia" w:ascii="宋体" w:hAnsi="宋体" w:eastAsia="宋体" w:cs="宋体"/>
                <w:sz w:val="20"/>
                <w:szCs w:val="20"/>
              </w:rPr>
              <w:t>第六十五条第二款  禁止在饮用水水源一级保护区内从事网箱养殖、旅游、游泳、垂钓或者其他可能污染饮用水水体的活动。</w:t>
            </w:r>
          </w:p>
        </w:tc>
        <w:tc>
          <w:tcPr>
            <w:tcW w:w="0" w:type="auto"/>
            <w:shd w:val="clear" w:color="auto" w:fill="auto"/>
            <w:noWrap w:val="0"/>
            <w:vAlign w:val="center"/>
          </w:tcPr>
          <w:p>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《中华人民共和国水污染防治法》</w:t>
            </w:r>
            <w:r>
              <w:rPr>
                <w:rFonts w:hint="eastAsia" w:ascii="宋体" w:hAnsi="宋体" w:eastAsia="宋体" w:cs="宋体"/>
                <w:sz w:val="20"/>
                <w:szCs w:val="20"/>
              </w:rPr>
              <w:br w:type="textWrapping"/>
            </w:r>
            <w:r>
              <w:rPr>
                <w:rFonts w:hint="eastAsia" w:ascii="宋体" w:hAnsi="宋体" w:eastAsia="宋体" w:cs="宋体"/>
                <w:sz w:val="20"/>
                <w:szCs w:val="20"/>
              </w:rPr>
              <w:t>第九十一条第二款  在饮用水水源一级保护区内从事网箱养殖或者组织进行旅游、垂钓或者其他可能污染饮用水水体的活动的，由</w:t>
            </w:r>
            <w:r>
              <w:rPr>
                <w:rFonts w:hint="eastAsia" w:ascii="宋体" w:hAnsi="宋体" w:eastAsia="宋体" w:cs="宋体"/>
                <w:bCs/>
                <w:sz w:val="20"/>
                <w:szCs w:val="20"/>
              </w:rPr>
              <w:t>县级以上地方人民政府环境保护主管部门</w:t>
            </w:r>
            <w:r>
              <w:rPr>
                <w:rFonts w:hint="eastAsia" w:ascii="宋体" w:hAnsi="宋体" w:eastAsia="宋体" w:cs="宋体"/>
                <w:sz w:val="20"/>
                <w:szCs w:val="20"/>
              </w:rPr>
              <w:t>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8</w:t>
            </w:r>
          </w:p>
        </w:tc>
        <w:tc>
          <w:tcPr>
            <w:tcW w:w="0" w:type="auto"/>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330216282000</w:t>
            </w:r>
          </w:p>
        </w:tc>
        <w:tc>
          <w:tcPr>
            <w:tcW w:w="1214" w:type="dxa"/>
            <w:shd w:val="clear" w:color="auto" w:fill="auto"/>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对违法在人口集中和其他需特殊保护区域焚烧产生有毒有害烟尘和恶臭气体的行政处罚</w:t>
            </w:r>
          </w:p>
        </w:tc>
        <w:tc>
          <w:tcPr>
            <w:tcW w:w="927" w:type="dxa"/>
            <w:shd w:val="clear" w:color="auto" w:fill="auto"/>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第八十二条第一款  禁止在人口集中地区和其他依法需要特殊保护的区域内焚烧沥青、油毡、橡胶、塑料、皮革、垃圾以及其他产生有毒有害烟尘和恶臭气体的物质。</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第一百一十九条第二款  违反本法规定，在人口集中地区和其他依法需要特殊保护的区域内，焚烧沥青、油毡、橡胶、塑料、皮革、垃圾以及其他产生有毒有害烟尘和恶臭气体的物质的，由</w:t>
            </w:r>
            <w:r>
              <w:rPr>
                <w:rFonts w:hint="eastAsia" w:ascii="宋体" w:hAnsi="宋体" w:eastAsia="宋体" w:cs="宋体"/>
                <w:bCs/>
                <w:sz w:val="20"/>
                <w:szCs w:val="20"/>
              </w:rPr>
              <w:t>县级人民政府确定的监督管理部门</w:t>
            </w:r>
            <w:r>
              <w:rPr>
                <w:rFonts w:hint="eastAsia" w:ascii="宋体" w:hAnsi="宋体" w:eastAsia="宋体" w:cs="宋体"/>
                <w:sz w:val="20"/>
                <w:szCs w:val="20"/>
              </w:rPr>
              <w:t>责令改正，对单位处一万元以上十万元以下的罚款，对个人处五百元以上二千元以下的罚款。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9</w:t>
            </w:r>
          </w:p>
        </w:tc>
        <w:tc>
          <w:tcPr>
            <w:tcW w:w="0" w:type="auto"/>
            <w:shd w:val="clear" w:color="000000" w:fill="FFFFFF"/>
            <w:noWrap w:val="0"/>
            <w:vAlign w:val="center"/>
          </w:tcPr>
          <w:p>
            <w:pPr>
              <w:spacing w:line="26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330216281000</w:t>
            </w:r>
          </w:p>
        </w:tc>
        <w:tc>
          <w:tcPr>
            <w:tcW w:w="1214" w:type="dxa"/>
            <w:shd w:val="clear" w:color="auto" w:fill="auto"/>
            <w:noWrap w:val="0"/>
            <w:vAlign w:val="center"/>
          </w:tcPr>
          <w:p>
            <w:pPr>
              <w:spacing w:line="26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对在居民住宅楼、未配套设立专用烟道的商住综合楼、商住综合楼内与居住层相邻的商业楼层内新改扩建产生油烟、异味、废气的餐饮服务项目的行政处罚</w:t>
            </w:r>
          </w:p>
        </w:tc>
        <w:tc>
          <w:tcPr>
            <w:tcW w:w="927" w:type="dxa"/>
            <w:shd w:val="clear" w:color="auto" w:fill="auto"/>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第八十一条第二款  禁止在居民住宅楼、未配套设立专用烟道的商住综合楼以及商住综合楼内与居住层相邻的商业楼层内新建、改建、扩建产生油烟、异味、废气的餐饮服务项目。</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第一百一十八条第二款  违反本法规定，在居民住宅楼、未配套设立专用烟道的商住综合楼、商住综合楼内与居住层相邻的商业楼层内新建、改建、扩建产生油烟、异味、废气的餐饮服务项目的，由</w:t>
            </w:r>
            <w:r>
              <w:rPr>
                <w:rFonts w:hint="eastAsia" w:ascii="宋体" w:hAnsi="宋体" w:eastAsia="宋体" w:cs="宋体"/>
                <w:bCs/>
                <w:sz w:val="20"/>
                <w:szCs w:val="20"/>
              </w:rPr>
              <w:t>县级以上地方人民政府确定的监督管理部门</w:t>
            </w:r>
            <w:r>
              <w:rPr>
                <w:rFonts w:hint="eastAsia" w:ascii="宋体" w:hAnsi="宋体" w:eastAsia="宋体" w:cs="宋体"/>
                <w:sz w:val="20"/>
                <w:szCs w:val="20"/>
              </w:rPr>
              <w:t>责令改正；拒不改正的，予以关闭，并处一万元以上十万元以下的罚款。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10</w:t>
            </w:r>
          </w:p>
        </w:tc>
        <w:tc>
          <w:tcPr>
            <w:tcW w:w="0" w:type="auto"/>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330216280000</w:t>
            </w:r>
          </w:p>
        </w:tc>
        <w:tc>
          <w:tcPr>
            <w:tcW w:w="1214" w:type="dxa"/>
            <w:shd w:val="clear" w:color="auto" w:fill="auto"/>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对在当地人民政府禁止的时段和区域内露天烧烤食品或者为露天烧烤食品提供场地的行政处罚</w:t>
            </w:r>
          </w:p>
        </w:tc>
        <w:tc>
          <w:tcPr>
            <w:tcW w:w="927" w:type="dxa"/>
            <w:shd w:val="clear" w:color="auto" w:fill="auto"/>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第八十一条第三款  任何单位和个人不得在当地人民政府禁止的区域内露天烧烤食品或者为露天烧烤食品提供场地。</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第一百一十八条第三款  违反本法规定，在当地人民政府禁止的时段和区域内露天烧烤食品或者为露天烧烤食品提供场地的，由</w:t>
            </w:r>
            <w:r>
              <w:rPr>
                <w:rFonts w:hint="eastAsia" w:ascii="宋体" w:hAnsi="宋体" w:eastAsia="宋体" w:cs="宋体"/>
                <w:bCs/>
                <w:sz w:val="20"/>
                <w:szCs w:val="20"/>
              </w:rPr>
              <w:t>县级以上地方人民政府确定的监督管理部门</w:t>
            </w:r>
            <w:r>
              <w:rPr>
                <w:rFonts w:hint="eastAsia" w:ascii="宋体" w:hAnsi="宋体" w:eastAsia="宋体" w:cs="宋体"/>
                <w:sz w:val="20"/>
                <w:szCs w:val="20"/>
              </w:rPr>
              <w:t>责令改正，没收烧烤工具和违法所得，并处五百元以上二万元以下的罚款。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11</w:t>
            </w:r>
          </w:p>
        </w:tc>
        <w:tc>
          <w:tcPr>
            <w:tcW w:w="0" w:type="auto"/>
            <w:shd w:val="clear" w:color="000000" w:fill="FFFFFF"/>
            <w:noWrap w:val="0"/>
            <w:vAlign w:val="center"/>
          </w:tcPr>
          <w:p>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330216098000</w:t>
            </w:r>
          </w:p>
        </w:tc>
        <w:tc>
          <w:tcPr>
            <w:tcW w:w="1214" w:type="dxa"/>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对在城市市区噪声敏感建筑物集中区域内夜间进行产生环境噪声污染的建筑施工作业的行政处罚</w:t>
            </w:r>
          </w:p>
        </w:tc>
        <w:tc>
          <w:tcPr>
            <w:tcW w:w="927" w:type="dxa"/>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《中华人民共和国环境噪声污染防治法》</w:t>
            </w:r>
            <w:r>
              <w:rPr>
                <w:rFonts w:hint="eastAsia" w:ascii="宋体" w:hAnsi="宋体" w:eastAsia="宋体" w:cs="宋体"/>
                <w:sz w:val="20"/>
                <w:szCs w:val="20"/>
              </w:rPr>
              <w:br w:type="textWrapping"/>
            </w:r>
            <w:r>
              <w:rPr>
                <w:rFonts w:hint="eastAsia" w:ascii="宋体" w:hAnsi="宋体" w:eastAsia="宋体" w:cs="宋体"/>
                <w:sz w:val="20"/>
                <w:szCs w:val="20"/>
              </w:rPr>
              <w:t>第三十条  在城市市区噪声敏感建筑物集中区域内，禁止夜间进行产生环境噪声污染的建筑施工作业，但抢修、抢险作业和因生产工艺上要求或者特殊需要必须连续作业的除外。因特殊需要必须连续作业的，必须有县级以上人民政府或者其有关主管部门的证明。前款规定的夜间作业，必须公告附近居民。</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《中华人民共和国环境噪声污染防治法》</w:t>
            </w:r>
            <w:r>
              <w:rPr>
                <w:rFonts w:hint="eastAsia" w:ascii="宋体" w:hAnsi="宋体" w:eastAsia="宋体" w:cs="宋体"/>
                <w:sz w:val="20"/>
                <w:szCs w:val="20"/>
              </w:rPr>
              <w:br w:type="textWrapping"/>
            </w:r>
            <w:r>
              <w:rPr>
                <w:rFonts w:hint="eastAsia" w:ascii="宋体" w:hAnsi="宋体" w:eastAsia="宋体" w:cs="宋体"/>
                <w:sz w:val="20"/>
                <w:szCs w:val="20"/>
              </w:rPr>
              <w:t>第五十六条  建筑施工单位违反本法第三十条第一款的规定，在城市市区噪声敏感建筑物集中区域内，夜间进行禁止进行的产生环境噪声污染的建筑施工作业的，由</w:t>
            </w:r>
            <w:r>
              <w:rPr>
                <w:rFonts w:hint="eastAsia" w:ascii="宋体" w:hAnsi="宋体" w:eastAsia="宋体" w:cs="宋体"/>
                <w:bCs/>
                <w:sz w:val="20"/>
                <w:szCs w:val="20"/>
              </w:rPr>
              <w:t>工程所在地县级以上地方人民政府生态环境主管部门</w:t>
            </w:r>
            <w:r>
              <w:rPr>
                <w:rFonts w:hint="eastAsia" w:ascii="宋体" w:hAnsi="宋体" w:eastAsia="宋体" w:cs="宋体"/>
                <w:sz w:val="20"/>
                <w:szCs w:val="20"/>
              </w:rPr>
              <w:t>责令改正，可以并处罚款。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12</w:t>
            </w:r>
          </w:p>
        </w:tc>
        <w:tc>
          <w:tcPr>
            <w:tcW w:w="0" w:type="auto"/>
            <w:shd w:val="clear" w:color="000000" w:fill="FFFFFF"/>
            <w:noWrap w:val="0"/>
            <w:vAlign w:val="center"/>
          </w:tcPr>
          <w:p>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330216272000</w:t>
            </w:r>
          </w:p>
        </w:tc>
        <w:tc>
          <w:tcPr>
            <w:tcW w:w="1214" w:type="dxa"/>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对文化娱乐场所等商业经营活动造成环境噪声污染的行政处罚</w:t>
            </w:r>
          </w:p>
        </w:tc>
        <w:tc>
          <w:tcPr>
            <w:tcW w:w="927" w:type="dxa"/>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《中华人民共和国环境噪声污染防治法》</w:t>
            </w:r>
            <w:r>
              <w:rPr>
                <w:rFonts w:hint="eastAsia" w:ascii="宋体" w:hAnsi="宋体" w:eastAsia="宋体" w:cs="宋体"/>
                <w:sz w:val="20"/>
                <w:szCs w:val="20"/>
              </w:rPr>
              <w:br w:type="textWrapping"/>
            </w:r>
            <w:r>
              <w:rPr>
                <w:rFonts w:hint="eastAsia" w:ascii="宋体" w:hAnsi="宋体" w:eastAsia="宋体" w:cs="宋体"/>
                <w:sz w:val="20"/>
                <w:szCs w:val="20"/>
              </w:rPr>
              <w:t>第四十三条第二款  经营中的文化娱乐场所，其经营管理者必须采取有效措施，使其边界噪声不超过国家规定的环境噪声排放标准。</w:t>
            </w:r>
            <w:r>
              <w:rPr>
                <w:rFonts w:hint="eastAsia" w:ascii="宋体" w:hAnsi="宋体" w:eastAsia="宋体" w:cs="宋体"/>
                <w:sz w:val="20"/>
                <w:szCs w:val="20"/>
              </w:rPr>
              <w:br w:type="textWrapping"/>
            </w:r>
            <w:r>
              <w:rPr>
                <w:rFonts w:hint="eastAsia" w:ascii="宋体" w:hAnsi="宋体" w:eastAsia="宋体" w:cs="宋体"/>
                <w:sz w:val="20"/>
                <w:szCs w:val="20"/>
              </w:rPr>
              <w:t>第四十四条第二款  在商业经营活动中使用空调器、冷却塔等可能产生环境噪声污染的设备、设施的，其经营管理者应当采取措施，使其边界噪声不超过国家规定的环境噪声排放标准。</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《中华人民共和国环境噪声污染防治法》</w:t>
            </w:r>
            <w:r>
              <w:rPr>
                <w:rFonts w:hint="eastAsia" w:ascii="宋体" w:hAnsi="宋体" w:eastAsia="宋体" w:cs="宋体"/>
                <w:sz w:val="20"/>
                <w:szCs w:val="20"/>
              </w:rPr>
              <w:br w:type="textWrapping"/>
            </w:r>
            <w:r>
              <w:rPr>
                <w:rFonts w:hint="eastAsia" w:ascii="宋体" w:hAnsi="宋体" w:eastAsia="宋体" w:cs="宋体"/>
                <w:sz w:val="20"/>
                <w:szCs w:val="20"/>
              </w:rPr>
              <w:t>第五十九条  违反本法第四十三条第二款、第四十四条第二款的规定，造成环境噪声污染的，由</w:t>
            </w:r>
            <w:r>
              <w:rPr>
                <w:rFonts w:hint="eastAsia" w:ascii="宋体" w:hAnsi="宋体" w:eastAsia="宋体" w:cs="宋体"/>
                <w:bCs/>
                <w:sz w:val="20"/>
                <w:szCs w:val="20"/>
              </w:rPr>
              <w:t>县级以上地方人民政府生态环境主管部门</w:t>
            </w:r>
            <w:r>
              <w:rPr>
                <w:rFonts w:hint="eastAsia" w:ascii="宋体" w:hAnsi="宋体" w:eastAsia="宋体" w:cs="宋体"/>
                <w:sz w:val="20"/>
                <w:szCs w:val="20"/>
              </w:rPr>
              <w:t>责令改正，可以并处罚款。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13</w:t>
            </w:r>
          </w:p>
        </w:tc>
        <w:tc>
          <w:tcPr>
            <w:tcW w:w="0" w:type="auto"/>
            <w:shd w:val="clear" w:color="000000" w:fill="FFFFFF"/>
            <w:noWrap w:val="0"/>
            <w:vAlign w:val="center"/>
          </w:tcPr>
          <w:p>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330216182000</w:t>
            </w:r>
          </w:p>
        </w:tc>
        <w:tc>
          <w:tcPr>
            <w:tcW w:w="1214" w:type="dxa"/>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对从事畜禽规模养殖未及时收集、贮存、利用或者处置养殖过程中产生的畜禽粪污等固体废物的行政处罚</w:t>
            </w:r>
          </w:p>
        </w:tc>
        <w:tc>
          <w:tcPr>
            <w:tcW w:w="927" w:type="dxa"/>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1.《中华人民共和国固体废物污染环境防治法》（2020年版）</w:t>
            </w:r>
            <w:r>
              <w:rPr>
                <w:rFonts w:hint="eastAsia" w:ascii="宋体" w:hAnsi="宋体" w:eastAsia="宋体" w:cs="宋体"/>
                <w:sz w:val="20"/>
                <w:szCs w:val="20"/>
              </w:rPr>
              <w:br w:type="textWrapping"/>
            </w:r>
            <w:r>
              <w:rPr>
                <w:rFonts w:hint="eastAsia" w:ascii="宋体" w:hAnsi="宋体" w:eastAsia="宋体" w:cs="宋体"/>
                <w:sz w:val="20"/>
                <w:szCs w:val="20"/>
              </w:rPr>
              <w:t>第六十五条第二款  从事畜禽规模养殖应当及时收集、贮存、利用或者处置养殖过程中产生的畜禽粪污等固体废物，避免造成环境污染。</w:t>
            </w:r>
            <w:r>
              <w:rPr>
                <w:rFonts w:hint="eastAsia" w:ascii="宋体" w:hAnsi="宋体" w:eastAsia="宋体" w:cs="宋体"/>
                <w:sz w:val="20"/>
                <w:szCs w:val="20"/>
              </w:rPr>
              <w:br w:type="textWrapping"/>
            </w:r>
            <w:r>
              <w:rPr>
                <w:rFonts w:hint="eastAsia" w:ascii="宋体" w:hAnsi="宋体" w:eastAsia="宋体" w:cs="宋体"/>
                <w:sz w:val="20"/>
                <w:szCs w:val="20"/>
              </w:rPr>
              <w:t>2.《浙江省农业废弃物处理与利用促进办法》</w:t>
            </w:r>
            <w:r>
              <w:rPr>
                <w:rFonts w:hint="eastAsia" w:ascii="宋体" w:hAnsi="宋体" w:eastAsia="宋体" w:cs="宋体"/>
                <w:strike/>
                <w:sz w:val="20"/>
                <w:szCs w:val="20"/>
              </w:rPr>
              <w:br w:type="textWrapping"/>
            </w:r>
            <w:r>
              <w:rPr>
                <w:rFonts w:hint="eastAsia" w:ascii="宋体" w:hAnsi="宋体" w:eastAsia="宋体" w:cs="宋体"/>
                <w:sz w:val="20"/>
                <w:szCs w:val="20"/>
              </w:rPr>
              <w:t>第十二条  畜禽养殖场应当配套建设相应的畜禽养殖废弃物处理设施，落实管理措施，保障相关设施的正常运行。县级以上人民政府及其有关部门应当对畜禽养殖废弃物处理与利用设施的建设予以支持。畜禽养殖废弃物的处理与利用应当符合环境保护法律、法规的规定，防止污染环境。</w:t>
            </w:r>
          </w:p>
        </w:tc>
        <w:tc>
          <w:tcPr>
            <w:tcW w:w="0" w:type="auto"/>
            <w:shd w:val="clear" w:color="000000" w:fill="FFFFFF"/>
            <w:noWrap w:val="0"/>
            <w:vAlign w:val="center"/>
          </w:tcPr>
          <w:p>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1.《中华人民共和国固体废物污染环境防治法》（2020版）</w:t>
            </w:r>
            <w:r>
              <w:rPr>
                <w:rFonts w:hint="eastAsia" w:ascii="宋体" w:hAnsi="宋体" w:eastAsia="宋体" w:cs="宋体"/>
                <w:sz w:val="20"/>
                <w:szCs w:val="20"/>
              </w:rPr>
              <w:br w:type="textWrapping"/>
            </w:r>
            <w:r>
              <w:rPr>
                <w:rFonts w:hint="eastAsia" w:ascii="宋体" w:hAnsi="宋体" w:eastAsia="宋体" w:cs="宋体"/>
                <w:sz w:val="20"/>
                <w:szCs w:val="20"/>
              </w:rPr>
              <w:t>第一百零七条  从事畜禽规模养殖未及时收集、贮存、利用或者处置养殖过程中产生的畜禽粪污等固体废物的，由</w:t>
            </w:r>
            <w:r>
              <w:rPr>
                <w:rFonts w:hint="eastAsia" w:ascii="宋体" w:hAnsi="宋体" w:eastAsia="宋体" w:cs="宋体"/>
                <w:bCs/>
                <w:sz w:val="20"/>
                <w:szCs w:val="20"/>
              </w:rPr>
              <w:t>生态环境主管部门</w:t>
            </w:r>
            <w:r>
              <w:rPr>
                <w:rFonts w:hint="eastAsia" w:ascii="宋体" w:hAnsi="宋体" w:eastAsia="宋体" w:cs="宋体"/>
                <w:sz w:val="20"/>
                <w:szCs w:val="20"/>
              </w:rPr>
              <w:t>责令改正，可以处十万元以下的罚款；情节严重的，报经有批准权的人民政府批准，责令停业或者关闭。</w:t>
            </w:r>
            <w:r>
              <w:rPr>
                <w:rFonts w:hint="eastAsia" w:ascii="宋体" w:hAnsi="宋体" w:eastAsia="宋体" w:cs="宋体"/>
                <w:sz w:val="20"/>
                <w:szCs w:val="20"/>
              </w:rPr>
              <w:br w:type="textWrapping"/>
            </w:r>
            <w:r>
              <w:rPr>
                <w:rFonts w:hint="eastAsia" w:ascii="宋体" w:hAnsi="宋体" w:eastAsia="宋体" w:cs="宋体"/>
                <w:sz w:val="20"/>
                <w:szCs w:val="20"/>
              </w:rPr>
              <w:t>2.《浙江省农业废弃物处理与利用促进办法》</w:t>
            </w:r>
            <w:r>
              <w:rPr>
                <w:rFonts w:hint="eastAsia" w:ascii="宋体" w:hAnsi="宋体" w:eastAsia="宋体" w:cs="宋体"/>
                <w:sz w:val="20"/>
                <w:szCs w:val="20"/>
              </w:rPr>
              <w:br w:type="textWrapping"/>
            </w:r>
            <w:r>
              <w:rPr>
                <w:rFonts w:hint="eastAsia" w:ascii="宋体" w:hAnsi="宋体" w:eastAsia="宋体" w:cs="宋体"/>
                <w:sz w:val="20"/>
                <w:szCs w:val="20"/>
              </w:rPr>
              <w:t>第二十一条  违反本办法规定，畜禽养殖场未按规定处理畜禽养殖废弃物的，由县级以上地方人民政府环境保护行政主管部门责令限期改正；造成环境污染的，可以处1000元以上1万元以下的罚款；情节严重的，可以处1万元以上5万元以下的罚款。</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14</w:t>
            </w:r>
          </w:p>
        </w:tc>
        <w:tc>
          <w:tcPr>
            <w:tcW w:w="0" w:type="auto"/>
            <w:shd w:val="clear" w:color="000000" w:fill="FFFFFF"/>
            <w:noWrap w:val="0"/>
            <w:vAlign w:val="center"/>
          </w:tcPr>
          <w:p>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330216317000</w:t>
            </w:r>
          </w:p>
        </w:tc>
        <w:tc>
          <w:tcPr>
            <w:tcW w:w="1214" w:type="dxa"/>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对在禁止养殖区域内建设畜禽养殖场、养殖小区的行政处罚</w:t>
            </w:r>
          </w:p>
        </w:tc>
        <w:tc>
          <w:tcPr>
            <w:tcW w:w="927" w:type="dxa"/>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《畜禽规模养殖污染防治条例》</w:t>
            </w:r>
            <w:r>
              <w:rPr>
                <w:rFonts w:hint="eastAsia" w:ascii="宋体" w:hAnsi="宋体" w:eastAsia="宋体" w:cs="宋体"/>
                <w:sz w:val="20"/>
                <w:szCs w:val="20"/>
              </w:rPr>
              <w:br w:type="textWrapping"/>
            </w:r>
            <w:r>
              <w:rPr>
                <w:rFonts w:hint="eastAsia" w:ascii="宋体" w:hAnsi="宋体" w:eastAsia="宋体" w:cs="宋体"/>
                <w:sz w:val="20"/>
                <w:szCs w:val="20"/>
              </w:rPr>
              <w:t>第十一条  禁止在下列区域内建设畜禽养殖场、养殖小区：</w:t>
            </w:r>
            <w:r>
              <w:rPr>
                <w:rFonts w:hint="eastAsia" w:ascii="宋体" w:hAnsi="宋体" w:eastAsia="宋体" w:cs="宋体"/>
                <w:sz w:val="20"/>
                <w:szCs w:val="20"/>
              </w:rPr>
              <w:br w:type="textWrapping"/>
            </w:r>
            <w:r>
              <w:rPr>
                <w:rFonts w:hint="eastAsia" w:ascii="宋体" w:hAnsi="宋体" w:eastAsia="宋体" w:cs="宋体"/>
                <w:sz w:val="20"/>
                <w:szCs w:val="20"/>
              </w:rPr>
              <w:t>（一）饮用水水源保护区，风景名胜区；</w:t>
            </w:r>
            <w:r>
              <w:rPr>
                <w:rFonts w:hint="eastAsia" w:ascii="宋体" w:hAnsi="宋体" w:eastAsia="宋体" w:cs="宋体"/>
                <w:sz w:val="20"/>
                <w:szCs w:val="20"/>
              </w:rPr>
              <w:br w:type="textWrapping"/>
            </w:r>
            <w:r>
              <w:rPr>
                <w:rFonts w:hint="eastAsia" w:ascii="宋体" w:hAnsi="宋体" w:eastAsia="宋体" w:cs="宋体"/>
                <w:sz w:val="20"/>
                <w:szCs w:val="20"/>
              </w:rPr>
              <w:t>（二）自然保护区的核心区和缓冲区；</w:t>
            </w:r>
            <w:r>
              <w:rPr>
                <w:rFonts w:hint="eastAsia" w:ascii="宋体" w:hAnsi="宋体" w:eastAsia="宋体" w:cs="宋体"/>
                <w:sz w:val="20"/>
                <w:szCs w:val="20"/>
              </w:rPr>
              <w:br w:type="textWrapping"/>
            </w:r>
            <w:r>
              <w:rPr>
                <w:rFonts w:hint="eastAsia" w:ascii="宋体" w:hAnsi="宋体" w:eastAsia="宋体" w:cs="宋体"/>
                <w:sz w:val="20"/>
                <w:szCs w:val="20"/>
              </w:rPr>
              <w:t>（三）城镇居民区、文化教育科学研究区等人口集中区域；</w:t>
            </w:r>
            <w:r>
              <w:rPr>
                <w:rFonts w:hint="eastAsia" w:ascii="宋体" w:hAnsi="宋体" w:eastAsia="宋体" w:cs="宋体"/>
                <w:sz w:val="20"/>
                <w:szCs w:val="20"/>
              </w:rPr>
              <w:br w:type="textWrapping"/>
            </w:r>
            <w:r>
              <w:rPr>
                <w:rFonts w:hint="eastAsia" w:ascii="宋体" w:hAnsi="宋体" w:eastAsia="宋体" w:cs="宋体"/>
                <w:sz w:val="20"/>
                <w:szCs w:val="20"/>
              </w:rPr>
              <w:t>（四）法律、法规规定的其他禁止养殖区域。</w:t>
            </w:r>
          </w:p>
        </w:tc>
        <w:tc>
          <w:tcPr>
            <w:tcW w:w="0" w:type="auto"/>
            <w:shd w:val="clear" w:color="000000" w:fill="FFFFFF"/>
            <w:noWrap w:val="0"/>
            <w:vAlign w:val="center"/>
          </w:tcPr>
          <w:p>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《畜禽规模养殖污染防治条例》</w:t>
            </w:r>
            <w:r>
              <w:rPr>
                <w:rFonts w:hint="eastAsia" w:ascii="宋体" w:hAnsi="宋体" w:eastAsia="宋体" w:cs="宋体"/>
                <w:sz w:val="20"/>
                <w:szCs w:val="20"/>
              </w:rPr>
              <w:br w:type="textWrapping"/>
            </w:r>
            <w:r>
              <w:rPr>
                <w:rFonts w:hint="eastAsia" w:ascii="宋体" w:hAnsi="宋体" w:eastAsia="宋体" w:cs="宋体"/>
                <w:sz w:val="20"/>
                <w:szCs w:val="20"/>
              </w:rPr>
              <w:t>第三十七条  违反本条例规定，在禁止养殖区域内建设畜禽养殖场、养殖小区的，由</w:t>
            </w:r>
            <w:r>
              <w:rPr>
                <w:rFonts w:hint="eastAsia" w:ascii="宋体" w:hAnsi="宋体" w:eastAsia="宋体" w:cs="宋体"/>
                <w:bCs/>
                <w:sz w:val="20"/>
                <w:szCs w:val="20"/>
              </w:rPr>
              <w:t>县级以上地方人民政府环境保护主管部门</w:t>
            </w:r>
            <w:r>
              <w:rPr>
                <w:rFonts w:hint="eastAsia" w:ascii="宋体" w:hAnsi="宋体" w:eastAsia="宋体" w:cs="宋体"/>
                <w:sz w:val="20"/>
                <w:szCs w:val="20"/>
              </w:rPr>
              <w:t>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15</w:t>
            </w:r>
          </w:p>
        </w:tc>
        <w:tc>
          <w:tcPr>
            <w:tcW w:w="0" w:type="auto"/>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330216239000</w:t>
            </w:r>
          </w:p>
        </w:tc>
        <w:tc>
          <w:tcPr>
            <w:tcW w:w="1214" w:type="dxa"/>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对未经处理直接向环境排放畜禽养殖废弃物或者未采取有效措施，导致畜禽养殖废弃物渗出、泄漏的行政处罚</w:t>
            </w:r>
          </w:p>
        </w:tc>
        <w:tc>
          <w:tcPr>
            <w:tcW w:w="927" w:type="dxa"/>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《畜禽规模养殖污染防治条例》</w:t>
            </w:r>
            <w:r>
              <w:rPr>
                <w:rFonts w:hint="eastAsia" w:ascii="宋体" w:hAnsi="宋体" w:eastAsia="宋体" w:cs="宋体"/>
                <w:sz w:val="20"/>
                <w:szCs w:val="20"/>
              </w:rPr>
              <w:br w:type="textWrapping"/>
            </w:r>
            <w:r>
              <w:rPr>
                <w:rFonts w:hint="eastAsia" w:ascii="宋体" w:hAnsi="宋体" w:eastAsia="宋体" w:cs="宋体"/>
                <w:sz w:val="20"/>
                <w:szCs w:val="20"/>
              </w:rPr>
              <w:t>第十八条  将畜禽粪便、污水、沼渣、沼液等用作肥料的，应当与土地的消纳能力相适应，并采取有效措施，消除可能引起传染病的微生物，防止污染环境和传播疫病。</w:t>
            </w:r>
            <w:r>
              <w:rPr>
                <w:rFonts w:hint="eastAsia" w:ascii="宋体" w:hAnsi="宋体" w:eastAsia="宋体" w:cs="宋体"/>
                <w:sz w:val="20"/>
                <w:szCs w:val="20"/>
              </w:rPr>
              <w:br w:type="textWrapping"/>
            </w:r>
            <w:r>
              <w:rPr>
                <w:rFonts w:hint="eastAsia" w:ascii="宋体" w:hAnsi="宋体" w:eastAsia="宋体" w:cs="宋体"/>
                <w:sz w:val="20"/>
                <w:szCs w:val="20"/>
              </w:rPr>
              <w:t>第十九条  从事畜禽养殖活动和畜禽养殖废弃物处理活动，应当及时对畜禽粪便、畜禽尸体、污水等进行收集、贮存、清运，防止恶臭和畜禽养殖废弃物渗出、泄漏。</w:t>
            </w:r>
            <w:r>
              <w:rPr>
                <w:rFonts w:hint="eastAsia" w:ascii="宋体" w:hAnsi="宋体" w:eastAsia="宋体" w:cs="宋体"/>
                <w:sz w:val="20"/>
                <w:szCs w:val="20"/>
              </w:rPr>
              <w:br w:type="textWrapping"/>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《畜禽规模养殖污染防治条例》</w:t>
            </w:r>
            <w:r>
              <w:rPr>
                <w:rFonts w:hint="eastAsia" w:ascii="宋体" w:hAnsi="宋体" w:eastAsia="宋体" w:cs="宋体"/>
                <w:sz w:val="20"/>
                <w:szCs w:val="20"/>
              </w:rPr>
              <w:br w:type="textWrapping"/>
            </w:r>
            <w:r>
              <w:rPr>
                <w:rFonts w:hint="eastAsia" w:ascii="宋体" w:hAnsi="宋体" w:eastAsia="宋体" w:cs="宋体"/>
                <w:sz w:val="20"/>
                <w:szCs w:val="20"/>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hint="eastAsia" w:ascii="宋体" w:hAnsi="宋体" w:eastAsia="宋体" w:cs="宋体"/>
                <w:sz w:val="20"/>
                <w:szCs w:val="20"/>
              </w:rPr>
              <w:br w:type="textWrapping"/>
            </w:r>
            <w:r>
              <w:rPr>
                <w:rFonts w:hint="eastAsia" w:ascii="宋体" w:hAnsi="宋体" w:eastAsia="宋体" w:cs="宋体"/>
                <w:sz w:val="20"/>
                <w:szCs w:val="20"/>
              </w:rPr>
              <w:t>（一）将畜禽养殖废弃物用作肥料，超出土地消纳能力，造成环境污染的；</w:t>
            </w:r>
            <w:r>
              <w:rPr>
                <w:rFonts w:hint="eastAsia" w:ascii="宋体" w:hAnsi="宋体" w:eastAsia="宋体" w:cs="宋体"/>
                <w:sz w:val="20"/>
                <w:szCs w:val="20"/>
              </w:rPr>
              <w:br w:type="textWrapping"/>
            </w:r>
            <w:r>
              <w:rPr>
                <w:rFonts w:hint="eastAsia" w:ascii="宋体" w:hAnsi="宋体" w:eastAsia="宋体" w:cs="宋体"/>
                <w:sz w:val="20"/>
                <w:szCs w:val="20"/>
              </w:rPr>
              <w:t>（二）从事畜禽养殖活动或者畜禽养殖废弃物处理活动，未采取有效措施，导致畜禽养殖废弃物渗出、泄漏的。</w:t>
            </w:r>
            <w:r>
              <w:rPr>
                <w:rFonts w:hint="eastAsia" w:ascii="宋体" w:hAnsi="宋体" w:eastAsia="宋体" w:cs="宋体"/>
                <w:sz w:val="20"/>
                <w:szCs w:val="20"/>
              </w:rPr>
              <w:br w:type="textWrapping"/>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0" w:type="auto"/>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16</w:t>
            </w:r>
          </w:p>
        </w:tc>
        <w:tc>
          <w:tcPr>
            <w:tcW w:w="0" w:type="auto"/>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330216203000</w:t>
            </w:r>
          </w:p>
        </w:tc>
        <w:tc>
          <w:tcPr>
            <w:tcW w:w="1214" w:type="dxa"/>
            <w:shd w:val="clear" w:color="000000" w:fill="FFFFFF"/>
            <w:noWrap w:val="0"/>
            <w:vAlign w:val="center"/>
          </w:tcPr>
          <w:p>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对将秸秆、食用菌菌糠和菌渣、废农膜随意倾倒或弃留的行政处罚</w:t>
            </w:r>
          </w:p>
        </w:tc>
        <w:tc>
          <w:tcPr>
            <w:tcW w:w="927" w:type="dxa"/>
            <w:shd w:val="clear" w:color="000000" w:fill="FFFFFF"/>
            <w:noWrap w:val="0"/>
            <w:vAlign w:val="center"/>
          </w:tcPr>
          <w:p>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《浙江省农业废弃物处理与利用促进办法》</w:t>
            </w:r>
            <w:r>
              <w:rPr>
                <w:rFonts w:hint="eastAsia" w:ascii="宋体" w:hAnsi="宋体" w:eastAsia="宋体" w:cs="宋体"/>
                <w:sz w:val="20"/>
                <w:szCs w:val="20"/>
              </w:rPr>
              <w:br w:type="textWrapping"/>
            </w:r>
            <w:r>
              <w:rPr>
                <w:rFonts w:hint="eastAsia" w:ascii="宋体" w:hAnsi="宋体" w:eastAsia="宋体" w:cs="宋体"/>
                <w:sz w:val="20"/>
                <w:szCs w:val="20"/>
              </w:rPr>
              <w:t>第十六条  禁止将秸秆、食用菌菌糠和菌渣以及废农膜等农业废弃物倾倒或者弃留在水库、河道、沟渠中。</w:t>
            </w:r>
          </w:p>
        </w:tc>
        <w:tc>
          <w:tcPr>
            <w:tcW w:w="0" w:type="auto"/>
            <w:shd w:val="clear" w:color="000000" w:fill="FFFFFF"/>
            <w:noWrap w:val="0"/>
            <w:vAlign w:val="center"/>
          </w:tcPr>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《浙江省农业废弃物处理与利用促进办法》</w:t>
            </w:r>
          </w:p>
          <w:p>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第二十二条第一款  违反本办法规定，将秸秆、食用菌菌糠和菌渣、废农膜随意倾倒或者弃留的，由</w:t>
            </w:r>
            <w:r>
              <w:rPr>
                <w:rFonts w:hint="eastAsia" w:ascii="宋体" w:hAnsi="宋体" w:eastAsia="宋体" w:cs="宋体"/>
                <w:bCs/>
                <w:sz w:val="20"/>
                <w:szCs w:val="20"/>
              </w:rPr>
              <w:t>县级以上人民政府环境保护行政主管部门</w:t>
            </w:r>
            <w:r>
              <w:rPr>
                <w:rFonts w:hint="eastAsia" w:ascii="宋体" w:hAnsi="宋体" w:eastAsia="宋体" w:cs="宋体"/>
                <w:sz w:val="20"/>
                <w:szCs w:val="20"/>
              </w:rPr>
              <w:t>责令限期清除；逾期不清除的，由县级以上人民政府环境保护行政主管部门组织代为清除，可以对个人处50元以上500元以下的罚款，对单位处1000元以上1万元以下的罚款。代为清除费用由违法行为人承担。</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YWU1YWE0NWExNzY2ODA3YjUzZjNhNzE0YjA0YTcifQ=="/>
  </w:docVars>
  <w:rsids>
    <w:rsidRoot w:val="4E2F6A42"/>
    <w:rsid w:val="4E2F6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52" w:firstLineChars="20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2023-09-19T07:56:00Z</dcterms:created>
  <dc:creator>佳佳</dc:creator>
  <lastModifiedBy>佳佳</lastModifiedBy>
  <dcterms:modified xsi:type="dcterms:W3CDTF">2023-09-19T08:04:45Z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52E0F484949A464EA42F4E009A18DF88_11</vt:lpwstr>
  </property>
</Properties>
</file>