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eastAsia" w:ascii="黑体" w:hAnsi="黑体" w:eastAsia="黑体"/>
          <w:bCs w:val="0"/>
          <w:color w:val="auto"/>
          <w:sz w:val="36"/>
          <w:szCs w:val="36"/>
        </w:rPr>
      </w:pPr>
      <w:r>
        <w:rPr>
          <w:rStyle w:val="6"/>
          <w:rFonts w:ascii="黑体" w:hAnsi="黑体" w:eastAsia="黑体"/>
          <w:b w:val="0"/>
          <w:color w:val="auto"/>
          <w:sz w:val="36"/>
          <w:szCs w:val="36"/>
        </w:rPr>
        <w:t>浙江省科学技术奖公示信息表</w:t>
      </w:r>
    </w:p>
    <w:p>
      <w:pPr>
        <w:spacing w:line="440" w:lineRule="exact"/>
        <w:rPr>
          <w:rFonts w:eastAsia="仿宋"/>
          <w:sz w:val="28"/>
          <w:szCs w:val="24"/>
        </w:rPr>
      </w:pPr>
      <w:r>
        <w:rPr>
          <w:rFonts w:eastAsia="仿宋"/>
          <w:sz w:val="28"/>
          <w:szCs w:val="24"/>
        </w:rPr>
        <w:t>提名奖项：科学技术进步奖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2127" w:type="dxa"/>
            <w:vAlign w:val="center"/>
          </w:tcPr>
          <w:p>
            <w:pPr>
              <w:spacing w:line="288" w:lineRule="auto"/>
              <w:jc w:val="center"/>
              <w:rPr>
                <w:rStyle w:val="6"/>
                <w:rFonts w:eastAsia="仿宋"/>
                <w:b w:val="0"/>
                <w:bCs w:val="0"/>
                <w:color w:val="auto"/>
                <w:sz w:val="28"/>
              </w:rPr>
            </w:pPr>
            <w:r>
              <w:rPr>
                <w:rStyle w:val="6"/>
                <w:rFonts w:eastAsia="仿宋"/>
                <w:b w:val="0"/>
                <w:bCs w:val="0"/>
                <w:color w:val="auto"/>
                <w:sz w:val="28"/>
              </w:rPr>
              <w:t>成果名称</w:t>
            </w:r>
          </w:p>
        </w:tc>
        <w:tc>
          <w:tcPr>
            <w:tcW w:w="6379" w:type="dxa"/>
            <w:vAlign w:val="center"/>
          </w:tcPr>
          <w:p>
            <w:pPr>
              <w:pStyle w:val="7"/>
              <w:adjustRightInd w:val="0"/>
              <w:snapToGrid w:val="0"/>
              <w:spacing w:line="288" w:lineRule="auto"/>
              <w:ind w:left="360" w:firstLine="0" w:firstLineChars="0"/>
              <w:jc w:val="left"/>
              <w:rPr>
                <w:color w:val="auto"/>
                <w:sz w:val="24"/>
              </w:rPr>
            </w:pPr>
            <w:r>
              <w:rPr>
                <w:rFonts w:eastAsia="仿宋"/>
                <w:color w:val="auto"/>
                <w:sz w:val="24"/>
                <w:szCs w:val="24"/>
              </w:rPr>
              <w:t>木本植物源活性物质靶向挖掘与新型生物农药研制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2127" w:type="dxa"/>
            <w:vAlign w:val="center"/>
          </w:tcPr>
          <w:p>
            <w:pPr>
              <w:spacing w:line="288" w:lineRule="auto"/>
              <w:jc w:val="center"/>
              <w:rPr>
                <w:rStyle w:val="6"/>
                <w:rFonts w:eastAsia="仿宋"/>
                <w:b w:val="0"/>
                <w:bCs w:val="0"/>
                <w:color w:val="auto"/>
                <w:sz w:val="28"/>
              </w:rPr>
            </w:pPr>
            <w:r>
              <w:rPr>
                <w:rStyle w:val="6"/>
                <w:rFonts w:eastAsia="仿宋"/>
                <w:b w:val="0"/>
                <w:bCs w:val="0"/>
                <w:color w:val="auto"/>
                <w:sz w:val="28"/>
              </w:rPr>
              <w:t>提名等级</w:t>
            </w:r>
          </w:p>
        </w:tc>
        <w:tc>
          <w:tcPr>
            <w:tcW w:w="6379" w:type="dxa"/>
            <w:vAlign w:val="center"/>
          </w:tcPr>
          <w:p>
            <w:pPr>
              <w:pStyle w:val="7"/>
              <w:adjustRightInd w:val="0"/>
              <w:snapToGrid w:val="0"/>
              <w:spacing w:line="288" w:lineRule="auto"/>
              <w:ind w:left="360" w:firstLine="2400" w:firstLineChars="1000"/>
              <w:rPr>
                <w:rFonts w:hint="eastAsia" w:eastAsia="仿宋"/>
                <w:color w:val="auto"/>
                <w:sz w:val="24"/>
                <w:lang w:val="en-US" w:eastAsia="zh-CN"/>
              </w:rPr>
            </w:pPr>
            <w:r>
              <w:rPr>
                <w:rFonts w:eastAsia="仿宋"/>
                <w:color w:val="auto"/>
                <w:sz w:val="24"/>
                <w:szCs w:val="24"/>
              </w:rPr>
              <w:t>二等</w:t>
            </w:r>
            <w:r>
              <w:rPr>
                <w:rFonts w:hint="eastAsia" w:eastAsia="仿宋"/>
                <w:color w:val="auto"/>
                <w:sz w:val="24"/>
                <w:szCs w:val="24"/>
                <w:lang w:val="en-US" w:eastAsia="zh-CN"/>
              </w:rPr>
              <w:t>奖</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2127" w:type="dxa"/>
            <w:vAlign w:val="center"/>
          </w:tcPr>
          <w:p>
            <w:pPr>
              <w:spacing w:line="288" w:lineRule="auto"/>
              <w:jc w:val="center"/>
              <w:rPr>
                <w:rFonts w:eastAsia="仿宋"/>
                <w:color w:val="auto"/>
                <w:sz w:val="28"/>
                <w:szCs w:val="24"/>
              </w:rPr>
            </w:pPr>
            <w:r>
              <w:rPr>
                <w:rFonts w:eastAsia="仿宋"/>
                <w:color w:val="auto"/>
                <w:sz w:val="28"/>
                <w:szCs w:val="24"/>
              </w:rPr>
              <w:t>提名书</w:t>
            </w:r>
          </w:p>
          <w:p>
            <w:pPr>
              <w:spacing w:line="288" w:lineRule="auto"/>
              <w:jc w:val="center"/>
              <w:rPr>
                <w:rFonts w:eastAsia="仿宋"/>
                <w:color w:val="auto"/>
                <w:sz w:val="28"/>
                <w:szCs w:val="24"/>
              </w:rPr>
            </w:pPr>
            <w:r>
              <w:rPr>
                <w:rFonts w:eastAsia="仿宋"/>
                <w:color w:val="auto"/>
                <w:sz w:val="28"/>
                <w:szCs w:val="24"/>
              </w:rPr>
              <w:t>相关内容</w:t>
            </w:r>
          </w:p>
        </w:tc>
        <w:tc>
          <w:tcPr>
            <w:tcW w:w="6379" w:type="dxa"/>
            <w:vAlign w:val="center"/>
          </w:tcPr>
          <w:p>
            <w:pPr>
              <w:pStyle w:val="7"/>
              <w:spacing w:line="288" w:lineRule="auto"/>
              <w:ind w:firstLine="0" w:firstLineChars="0"/>
              <w:jc w:val="left"/>
              <w:rPr>
                <w:rFonts w:eastAsia="仿宋"/>
                <w:color w:val="auto"/>
                <w:sz w:val="24"/>
                <w:szCs w:val="24"/>
              </w:rPr>
            </w:pPr>
            <w:r>
              <w:rPr>
                <w:rFonts w:eastAsia="仿宋"/>
                <w:color w:val="auto"/>
                <w:sz w:val="24"/>
                <w:szCs w:val="24"/>
              </w:rPr>
              <w:t>一、提名书的主要知识产权和标准规范目录</w:t>
            </w:r>
          </w:p>
          <w:p>
            <w:pPr>
              <w:pStyle w:val="7"/>
              <w:numPr>
                <w:ilvl w:val="0"/>
                <w:numId w:val="1"/>
              </w:numPr>
              <w:adjustRightInd w:val="0"/>
              <w:snapToGrid w:val="0"/>
              <w:spacing w:line="288" w:lineRule="auto"/>
              <w:ind w:firstLineChars="0"/>
              <w:jc w:val="left"/>
              <w:rPr>
                <w:rFonts w:eastAsia="仿宋"/>
                <w:color w:val="auto"/>
                <w:sz w:val="24"/>
                <w:szCs w:val="24"/>
              </w:rPr>
            </w:pPr>
            <w:r>
              <w:rPr>
                <w:rFonts w:eastAsia="仿宋"/>
                <w:color w:val="auto"/>
                <w:sz w:val="24"/>
                <w:szCs w:val="24"/>
              </w:rPr>
              <w:t xml:space="preserve">一种喜树碱类化合物纳米载药系统及其制备方法，ZL202010431431.9 </w:t>
            </w:r>
          </w:p>
          <w:p>
            <w:pPr>
              <w:pStyle w:val="7"/>
              <w:numPr>
                <w:ilvl w:val="0"/>
                <w:numId w:val="1"/>
              </w:numPr>
              <w:adjustRightInd w:val="0"/>
              <w:snapToGrid w:val="0"/>
              <w:spacing w:line="288" w:lineRule="auto"/>
              <w:ind w:firstLineChars="0"/>
              <w:jc w:val="left"/>
              <w:rPr>
                <w:rFonts w:eastAsia="仿宋"/>
                <w:color w:val="auto"/>
                <w:sz w:val="24"/>
                <w:szCs w:val="24"/>
              </w:rPr>
            </w:pPr>
            <w:r>
              <w:rPr>
                <w:rFonts w:eastAsia="仿宋"/>
                <w:color w:val="auto"/>
                <w:sz w:val="24"/>
                <w:szCs w:val="24"/>
              </w:rPr>
              <w:t>杀虫剂组合物溶液及其制备方法，特许第5167370 （日本）</w:t>
            </w:r>
          </w:p>
          <w:p>
            <w:pPr>
              <w:pStyle w:val="7"/>
              <w:numPr>
                <w:ilvl w:val="0"/>
                <w:numId w:val="1"/>
              </w:numPr>
              <w:adjustRightInd w:val="0"/>
              <w:snapToGrid w:val="0"/>
              <w:spacing w:line="288" w:lineRule="auto"/>
              <w:ind w:firstLineChars="0"/>
              <w:jc w:val="left"/>
              <w:rPr>
                <w:rFonts w:eastAsia="仿宋"/>
                <w:color w:val="auto"/>
                <w:sz w:val="24"/>
                <w:szCs w:val="24"/>
              </w:rPr>
            </w:pPr>
            <w:r>
              <w:rPr>
                <w:rFonts w:eastAsia="仿宋"/>
                <w:color w:val="auto"/>
                <w:sz w:val="24"/>
                <w:szCs w:val="24"/>
              </w:rPr>
              <w:t>一种A环修饰的新白叶藤碱衍生物在防治农业植物病害中的应用，CN109717198B</w:t>
            </w:r>
          </w:p>
          <w:p>
            <w:pPr>
              <w:pStyle w:val="7"/>
              <w:numPr>
                <w:ilvl w:val="0"/>
                <w:numId w:val="1"/>
              </w:numPr>
              <w:adjustRightInd w:val="0"/>
              <w:snapToGrid w:val="0"/>
              <w:spacing w:line="288" w:lineRule="auto"/>
              <w:ind w:firstLineChars="0"/>
              <w:jc w:val="left"/>
              <w:rPr>
                <w:rFonts w:eastAsia="仿宋"/>
                <w:color w:val="auto"/>
                <w:sz w:val="24"/>
                <w:szCs w:val="24"/>
              </w:rPr>
            </w:pPr>
            <w:r>
              <w:rPr>
                <w:rFonts w:hint="eastAsia" w:eastAsia="仿宋"/>
                <w:color w:val="auto"/>
                <w:sz w:val="24"/>
                <w:szCs w:val="24"/>
              </w:rPr>
              <w:t>一种含喜树碱或喜树碱衍生物的杀虫剂及其制备方法，专利号：ZL200510061474.8</w:t>
            </w:r>
          </w:p>
          <w:p>
            <w:pPr>
              <w:pStyle w:val="7"/>
              <w:numPr>
                <w:ilvl w:val="0"/>
                <w:numId w:val="1"/>
              </w:numPr>
              <w:adjustRightInd w:val="0"/>
              <w:snapToGrid w:val="0"/>
              <w:spacing w:line="288" w:lineRule="auto"/>
              <w:ind w:firstLineChars="0"/>
              <w:jc w:val="left"/>
              <w:rPr>
                <w:rFonts w:eastAsia="仿宋"/>
                <w:color w:val="auto"/>
                <w:sz w:val="24"/>
                <w:szCs w:val="24"/>
              </w:rPr>
            </w:pPr>
            <w:r>
              <w:rPr>
                <w:rFonts w:hint="eastAsia" w:eastAsia="仿宋"/>
                <w:color w:val="auto"/>
                <w:sz w:val="24"/>
                <w:szCs w:val="24"/>
              </w:rPr>
              <w:t>杀松材线虫十六元大环内酯类化合物智库系统V1.0</w:t>
            </w:r>
            <w:r>
              <w:rPr>
                <w:rFonts w:eastAsia="仿宋"/>
                <w:color w:val="auto"/>
                <w:sz w:val="24"/>
                <w:szCs w:val="24"/>
              </w:rPr>
              <w:t>，2022SR0187123</w:t>
            </w:r>
          </w:p>
          <w:p>
            <w:pPr>
              <w:adjustRightInd w:val="0"/>
              <w:snapToGrid w:val="0"/>
              <w:spacing w:line="288" w:lineRule="auto"/>
              <w:jc w:val="left"/>
              <w:rPr>
                <w:rFonts w:eastAsia="仿宋"/>
                <w:color w:val="auto"/>
                <w:sz w:val="24"/>
                <w:szCs w:val="24"/>
              </w:rPr>
            </w:pPr>
            <w:r>
              <w:rPr>
                <w:rFonts w:eastAsia="仿宋"/>
                <w:color w:val="auto"/>
                <w:sz w:val="24"/>
                <w:szCs w:val="24"/>
              </w:rPr>
              <w:t>二、代表性论文专著目录</w:t>
            </w:r>
          </w:p>
          <w:p>
            <w:pPr>
              <w:adjustRightInd w:val="0"/>
              <w:snapToGrid w:val="0"/>
              <w:spacing w:line="288" w:lineRule="auto"/>
              <w:jc w:val="left"/>
              <w:rPr>
                <w:rFonts w:eastAsia="仿宋"/>
                <w:color w:val="auto"/>
                <w:sz w:val="24"/>
                <w:szCs w:val="24"/>
              </w:rPr>
            </w:pPr>
            <w:r>
              <w:rPr>
                <w:rFonts w:hint="eastAsia" w:eastAsia="仿宋"/>
                <w:color w:val="auto"/>
                <w:sz w:val="24"/>
                <w:szCs w:val="24"/>
              </w:rPr>
              <w:t>1</w:t>
            </w:r>
            <w:r>
              <w:rPr>
                <w:rFonts w:eastAsia="仿宋"/>
                <w:color w:val="auto"/>
                <w:sz w:val="24"/>
                <w:szCs w:val="24"/>
              </w:rPr>
              <w:t>. Design, synthesis, and antifungal evaluation of novel quinoline derivatives inspired from natural quinine alkaloids. J. Agric. Food Chem. 2019, 67, 11340-11353.</w:t>
            </w:r>
          </w:p>
          <w:p>
            <w:pPr>
              <w:adjustRightInd w:val="0"/>
              <w:snapToGrid w:val="0"/>
              <w:spacing w:line="288" w:lineRule="auto"/>
              <w:jc w:val="left"/>
              <w:rPr>
                <w:rFonts w:eastAsia="仿宋"/>
                <w:color w:val="auto"/>
                <w:sz w:val="24"/>
                <w:szCs w:val="24"/>
              </w:rPr>
            </w:pPr>
            <w:r>
              <w:rPr>
                <w:rFonts w:hint="eastAsia" w:eastAsia="仿宋"/>
                <w:color w:val="auto"/>
                <w:sz w:val="24"/>
                <w:szCs w:val="24"/>
              </w:rPr>
              <w:t>2</w:t>
            </w:r>
            <w:r>
              <w:rPr>
                <w:rFonts w:eastAsia="仿宋"/>
                <w:color w:val="auto"/>
                <w:sz w:val="24"/>
                <w:szCs w:val="24"/>
              </w:rPr>
              <w:t>. Integrated Proteomics and Transcriptomics Analyses Reveals the Possible Antifungal Mechanism of an Indoloquinoline Alkaloid Neocryptolepine against Rhizoctonia solani. J. Agric. Food Chem.  2021, 69, 23, 6455-6464.</w:t>
            </w:r>
          </w:p>
          <w:p>
            <w:pPr>
              <w:adjustRightInd w:val="0"/>
              <w:snapToGrid w:val="0"/>
              <w:spacing w:line="288" w:lineRule="auto"/>
              <w:jc w:val="left"/>
              <w:rPr>
                <w:rFonts w:hint="eastAsia" w:eastAsia="仿宋"/>
                <w:color w:val="auto"/>
                <w:sz w:val="24"/>
                <w:szCs w:val="24"/>
              </w:rPr>
            </w:pPr>
            <w:r>
              <w:rPr>
                <w:rFonts w:hint="eastAsia" w:eastAsia="仿宋"/>
                <w:color w:val="auto"/>
                <w:sz w:val="24"/>
                <w:szCs w:val="24"/>
              </w:rPr>
              <w:t>3.</w:t>
            </w:r>
            <w:r>
              <w:rPr>
                <w:color w:val="auto"/>
                <w:sz w:val="24"/>
                <w:szCs w:val="24"/>
              </w:rPr>
              <w:t xml:space="preserve"> </w:t>
            </w:r>
            <w:r>
              <w:rPr>
                <w:rFonts w:eastAsia="仿宋"/>
                <w:color w:val="auto"/>
                <w:sz w:val="24"/>
                <w:szCs w:val="24"/>
              </w:rPr>
              <w:t>Novel Dioxolane Ring Compounds for the Management of Phytopathogen Diseases as Ergosterol Biosynthesis Inhibitors:Synthesis, Biological Activities, and Molecular Docking [J]. Agric. Food Chem. 2022, 70, 4303-4315.</w:t>
            </w:r>
          </w:p>
          <w:p>
            <w:pPr>
              <w:adjustRightInd w:val="0"/>
              <w:snapToGrid w:val="0"/>
              <w:spacing w:line="288" w:lineRule="auto"/>
              <w:jc w:val="left"/>
              <w:rPr>
                <w:rFonts w:eastAsia="仿宋"/>
                <w:color w:val="auto"/>
                <w:sz w:val="24"/>
                <w:szCs w:val="24"/>
              </w:rPr>
            </w:pPr>
            <w:r>
              <w:rPr>
                <w:rFonts w:hint="eastAsia" w:eastAsia="仿宋"/>
                <w:color w:val="auto"/>
                <w:sz w:val="24"/>
                <w:szCs w:val="24"/>
              </w:rPr>
              <w:t>4</w:t>
            </w:r>
            <w:r>
              <w:rPr>
                <w:rFonts w:eastAsia="仿宋"/>
                <w:color w:val="auto"/>
                <w:sz w:val="24"/>
                <w:szCs w:val="24"/>
              </w:rPr>
              <w:t xml:space="preserve">. Novel benzofuran constituent from the husk of </w:t>
            </w:r>
            <w:r>
              <w:rPr>
                <w:rFonts w:eastAsia="仿宋"/>
                <w:i/>
                <w:iCs/>
                <w:color w:val="auto"/>
                <w:sz w:val="24"/>
                <w:szCs w:val="24"/>
              </w:rPr>
              <w:t>Carya cathayensis Sarg</w:t>
            </w:r>
            <w:r>
              <w:rPr>
                <w:rFonts w:eastAsia="仿宋"/>
                <w:color w:val="auto"/>
                <w:sz w:val="24"/>
                <w:szCs w:val="24"/>
              </w:rPr>
              <w:t>[J].Phytochemistry Letters, 2012,5(3):473-475.</w:t>
            </w:r>
          </w:p>
          <w:p>
            <w:pPr>
              <w:adjustRightInd w:val="0"/>
              <w:snapToGrid w:val="0"/>
              <w:spacing w:line="288" w:lineRule="auto"/>
              <w:jc w:val="left"/>
              <w:rPr>
                <w:rFonts w:hint="eastAsia" w:eastAsia="仿宋"/>
                <w:color w:val="auto"/>
                <w:sz w:val="24"/>
                <w:szCs w:val="24"/>
              </w:rPr>
            </w:pPr>
            <w:r>
              <w:rPr>
                <w:rFonts w:hint="eastAsia" w:eastAsia="仿宋"/>
                <w:color w:val="auto"/>
                <w:sz w:val="24"/>
                <w:szCs w:val="24"/>
              </w:rPr>
              <w:t>5.</w:t>
            </w:r>
            <w:r>
              <w:rPr>
                <w:color w:val="auto"/>
                <w:sz w:val="24"/>
                <w:szCs w:val="24"/>
              </w:rPr>
              <w:t xml:space="preserve"> </w:t>
            </w:r>
            <w:r>
              <w:rPr>
                <w:rFonts w:eastAsia="仿宋"/>
                <w:color w:val="auto"/>
                <w:sz w:val="24"/>
                <w:szCs w:val="24"/>
              </w:rPr>
              <w:t>Insecticidal activity of camptothecin against Nilaparvata lugens, Brevicoryne brassicae and Chilo suppressalis Walker[J].Journal of Economic Entomology</w:t>
            </w:r>
            <w:r>
              <w:rPr>
                <w:color w:val="auto"/>
                <w:sz w:val="24"/>
                <w:szCs w:val="24"/>
              </w:rPr>
              <w:t xml:space="preserve"> </w:t>
            </w:r>
            <w:r>
              <w:rPr>
                <w:rFonts w:eastAsia="仿宋"/>
                <w:color w:val="auto"/>
                <w:sz w:val="24"/>
                <w:szCs w:val="24"/>
              </w:rPr>
              <w:t>, 2010,103(2):492-496.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2127" w:type="dxa"/>
            <w:tcBorders>
              <w:right w:val="single" w:color="auto" w:sz="4" w:space="0"/>
            </w:tcBorders>
            <w:vAlign w:val="center"/>
          </w:tcPr>
          <w:p>
            <w:pPr>
              <w:spacing w:line="288" w:lineRule="auto"/>
              <w:jc w:val="center"/>
              <w:rPr>
                <w:rFonts w:eastAsia="仿宋"/>
                <w:color w:val="auto"/>
                <w:sz w:val="28"/>
                <w:szCs w:val="24"/>
              </w:rPr>
            </w:pPr>
            <w:r>
              <w:rPr>
                <w:rFonts w:eastAsia="仿宋"/>
                <w:color w:val="auto"/>
                <w:sz w:val="28"/>
                <w:szCs w:val="24"/>
              </w:rPr>
              <w:t>主要完成人</w:t>
            </w:r>
          </w:p>
        </w:tc>
        <w:tc>
          <w:tcPr>
            <w:tcW w:w="6379" w:type="dxa"/>
            <w:tcBorders>
              <w:left w:val="single" w:color="auto" w:sz="4" w:space="0"/>
            </w:tcBorders>
            <w:vAlign w:val="center"/>
          </w:tcPr>
          <w:p>
            <w:pPr>
              <w:spacing w:line="288" w:lineRule="auto"/>
              <w:rPr>
                <w:rFonts w:eastAsia="仿宋"/>
                <w:color w:val="auto"/>
                <w:sz w:val="24"/>
                <w:szCs w:val="24"/>
              </w:rPr>
            </w:pPr>
            <w:r>
              <w:rPr>
                <w:rFonts w:eastAsia="仿宋"/>
                <w:color w:val="auto"/>
                <w:sz w:val="24"/>
                <w:szCs w:val="24"/>
              </w:rPr>
              <w:t>张绍勇，排名1，副教授，湖州师范学院；</w:t>
            </w:r>
          </w:p>
          <w:p>
            <w:pPr>
              <w:spacing w:line="288" w:lineRule="auto"/>
              <w:rPr>
                <w:rFonts w:eastAsia="仿宋"/>
                <w:color w:val="auto"/>
                <w:sz w:val="24"/>
                <w:szCs w:val="24"/>
              </w:rPr>
            </w:pPr>
            <w:r>
              <w:rPr>
                <w:rFonts w:eastAsia="仿宋"/>
                <w:color w:val="auto"/>
                <w:sz w:val="24"/>
                <w:szCs w:val="24"/>
              </w:rPr>
              <w:t>刘映前，排名2，教授，兰州大学；</w:t>
            </w:r>
          </w:p>
          <w:p>
            <w:pPr>
              <w:spacing w:line="288" w:lineRule="auto"/>
              <w:rPr>
                <w:rFonts w:eastAsia="仿宋"/>
                <w:color w:val="auto"/>
                <w:sz w:val="24"/>
                <w:szCs w:val="24"/>
              </w:rPr>
            </w:pPr>
            <w:r>
              <w:rPr>
                <w:rFonts w:eastAsia="仿宋"/>
                <w:color w:val="auto"/>
                <w:sz w:val="24"/>
                <w:szCs w:val="24"/>
              </w:rPr>
              <w:t>马建义，排名3，</w:t>
            </w:r>
            <w:r>
              <w:rPr>
                <w:rFonts w:hint="eastAsia" w:eastAsia="仿宋"/>
                <w:color w:val="auto"/>
                <w:sz w:val="24"/>
                <w:szCs w:val="24"/>
              </w:rPr>
              <w:t>研究员</w:t>
            </w:r>
            <w:r>
              <w:rPr>
                <w:rFonts w:eastAsia="仿宋"/>
                <w:color w:val="auto"/>
                <w:sz w:val="24"/>
                <w:szCs w:val="24"/>
              </w:rPr>
              <w:t>，浙江农林大学；</w:t>
            </w:r>
          </w:p>
          <w:p>
            <w:pPr>
              <w:spacing w:line="288" w:lineRule="auto"/>
              <w:rPr>
                <w:rFonts w:eastAsia="仿宋"/>
                <w:color w:val="auto"/>
                <w:sz w:val="24"/>
                <w:szCs w:val="24"/>
              </w:rPr>
            </w:pPr>
            <w:r>
              <w:rPr>
                <w:rFonts w:eastAsia="仿宋"/>
                <w:color w:val="auto"/>
                <w:sz w:val="24"/>
                <w:szCs w:val="24"/>
              </w:rPr>
              <w:t>王瑞俊，排名4，讲师，湖州师范学院；</w:t>
            </w:r>
          </w:p>
          <w:p>
            <w:pPr>
              <w:spacing w:line="288" w:lineRule="auto"/>
              <w:rPr>
                <w:rFonts w:eastAsia="仿宋"/>
                <w:color w:val="auto"/>
                <w:sz w:val="24"/>
                <w:szCs w:val="24"/>
              </w:rPr>
            </w:pPr>
            <w:r>
              <w:rPr>
                <w:rFonts w:eastAsia="仿宋"/>
                <w:color w:val="auto"/>
                <w:sz w:val="24"/>
                <w:szCs w:val="24"/>
              </w:rPr>
              <w:t>闵莉静，排名5，副教授，湖州师范学院；</w:t>
            </w:r>
          </w:p>
          <w:p>
            <w:pPr>
              <w:spacing w:line="288" w:lineRule="auto"/>
              <w:rPr>
                <w:rFonts w:eastAsia="仿宋"/>
                <w:color w:val="auto"/>
                <w:sz w:val="24"/>
                <w:szCs w:val="24"/>
              </w:rPr>
            </w:pPr>
            <w:r>
              <w:rPr>
                <w:rFonts w:eastAsia="仿宋"/>
                <w:color w:val="auto"/>
                <w:sz w:val="24"/>
                <w:szCs w:val="24"/>
              </w:rPr>
              <w:t>肖莉，</w:t>
            </w:r>
            <w:r>
              <w:rPr>
                <w:rFonts w:hint="eastAsia" w:eastAsia="仿宋"/>
                <w:color w:val="auto"/>
                <w:sz w:val="24"/>
                <w:szCs w:val="24"/>
              </w:rPr>
              <w:t xml:space="preserve">  </w:t>
            </w:r>
            <w:r>
              <w:rPr>
                <w:rFonts w:eastAsia="仿宋"/>
                <w:color w:val="auto"/>
                <w:sz w:val="24"/>
                <w:szCs w:val="24"/>
              </w:rPr>
              <w:t>排名6，讲师，湖州师范学院；</w:t>
            </w:r>
          </w:p>
          <w:p>
            <w:pPr>
              <w:spacing w:line="288" w:lineRule="auto"/>
              <w:rPr>
                <w:rFonts w:eastAsia="仿宋"/>
                <w:color w:val="auto"/>
                <w:sz w:val="24"/>
                <w:szCs w:val="24"/>
              </w:rPr>
            </w:pPr>
            <w:r>
              <w:rPr>
                <w:rFonts w:eastAsia="仿宋"/>
                <w:color w:val="auto"/>
                <w:sz w:val="24"/>
                <w:szCs w:val="24"/>
              </w:rPr>
              <w:t>蔡伟飞，排名7，工程师；松阳县</w:t>
            </w:r>
            <w:r>
              <w:rPr>
                <w:rFonts w:hint="eastAsia" w:eastAsia="仿宋"/>
                <w:color w:val="auto"/>
                <w:sz w:val="24"/>
                <w:szCs w:val="24"/>
              </w:rPr>
              <w:t>森</w:t>
            </w:r>
            <w:r>
              <w:rPr>
                <w:rFonts w:eastAsia="仿宋"/>
                <w:color w:val="auto"/>
                <w:sz w:val="24"/>
                <w:szCs w:val="24"/>
              </w:rPr>
              <w:t>林资源保护管理站</w:t>
            </w:r>
            <w:r>
              <w:rPr>
                <w:rFonts w:hint="eastAsia" w:eastAsia="仿宋"/>
                <w:color w:val="auto"/>
                <w:sz w:val="24"/>
                <w:szCs w:val="24"/>
              </w:rPr>
              <w:t>；</w:t>
            </w:r>
          </w:p>
          <w:p>
            <w:pPr>
              <w:spacing w:line="288" w:lineRule="auto"/>
              <w:rPr>
                <w:rFonts w:eastAsia="仿宋"/>
                <w:color w:val="auto"/>
                <w:sz w:val="24"/>
                <w:szCs w:val="24"/>
              </w:rPr>
            </w:pPr>
            <w:r>
              <w:rPr>
                <w:rFonts w:eastAsia="仿宋"/>
                <w:color w:val="auto"/>
                <w:sz w:val="24"/>
                <w:szCs w:val="24"/>
              </w:rPr>
              <w:t>张立钦，排名8，教授，湖州师范学院；</w:t>
            </w:r>
          </w:p>
          <w:p>
            <w:pPr>
              <w:spacing w:line="288" w:lineRule="auto"/>
              <w:rPr>
                <w:rFonts w:eastAsia="仿宋"/>
                <w:color w:val="auto"/>
                <w:sz w:val="24"/>
                <w:szCs w:val="24"/>
              </w:rPr>
            </w:pPr>
            <w:r>
              <w:rPr>
                <w:rFonts w:eastAsia="仿宋"/>
                <w:color w:val="auto"/>
                <w:sz w:val="24"/>
                <w:szCs w:val="24"/>
              </w:rPr>
              <w:t>吴佳，排名9，高级工程师，安吉县林业局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2127" w:type="dxa"/>
            <w:tcBorders>
              <w:right w:val="single" w:color="auto" w:sz="4" w:space="0"/>
            </w:tcBorders>
            <w:vAlign w:val="center"/>
          </w:tcPr>
          <w:p>
            <w:pPr>
              <w:spacing w:line="288" w:lineRule="auto"/>
              <w:jc w:val="center"/>
              <w:rPr>
                <w:rFonts w:eastAsia="仿宋"/>
                <w:color w:val="auto"/>
                <w:sz w:val="24"/>
                <w:szCs w:val="24"/>
              </w:rPr>
            </w:pPr>
            <w:r>
              <w:rPr>
                <w:rFonts w:eastAsia="仿宋"/>
                <w:color w:val="auto"/>
                <w:sz w:val="28"/>
                <w:szCs w:val="24"/>
              </w:rPr>
              <w:t>主要完成单位</w:t>
            </w:r>
          </w:p>
        </w:tc>
        <w:tc>
          <w:tcPr>
            <w:tcW w:w="6379" w:type="dxa"/>
            <w:tcBorders>
              <w:left w:val="single" w:color="auto" w:sz="4" w:space="0"/>
            </w:tcBorders>
            <w:vAlign w:val="center"/>
          </w:tcPr>
          <w:p>
            <w:pPr>
              <w:spacing w:line="288" w:lineRule="auto"/>
              <w:jc w:val="left"/>
              <w:rPr>
                <w:rFonts w:eastAsia="仿宋"/>
                <w:color w:val="auto"/>
                <w:sz w:val="24"/>
                <w:szCs w:val="24"/>
              </w:rPr>
            </w:pPr>
            <w:r>
              <w:rPr>
                <w:rFonts w:eastAsia="仿宋"/>
                <w:color w:val="auto"/>
                <w:sz w:val="24"/>
                <w:szCs w:val="24"/>
              </w:rPr>
              <w:t>1.单位名称：湖州师范学院</w:t>
            </w:r>
          </w:p>
          <w:p>
            <w:pPr>
              <w:spacing w:line="288" w:lineRule="auto"/>
              <w:jc w:val="left"/>
              <w:rPr>
                <w:rFonts w:eastAsia="仿宋"/>
                <w:color w:val="auto"/>
                <w:sz w:val="24"/>
                <w:szCs w:val="24"/>
              </w:rPr>
            </w:pPr>
            <w:r>
              <w:rPr>
                <w:rFonts w:eastAsia="仿宋"/>
                <w:color w:val="auto"/>
                <w:sz w:val="24"/>
                <w:szCs w:val="24"/>
              </w:rPr>
              <w:t>2.单位名称：兰州大学</w:t>
            </w:r>
          </w:p>
          <w:p>
            <w:pPr>
              <w:spacing w:line="288" w:lineRule="auto"/>
              <w:jc w:val="left"/>
              <w:rPr>
                <w:rFonts w:eastAsia="仿宋"/>
                <w:color w:val="auto"/>
                <w:sz w:val="24"/>
                <w:szCs w:val="24"/>
              </w:rPr>
            </w:pPr>
            <w:r>
              <w:rPr>
                <w:rFonts w:eastAsia="仿宋"/>
                <w:color w:val="auto"/>
                <w:sz w:val="24"/>
                <w:szCs w:val="24"/>
              </w:rPr>
              <w:t>3.单位名称：浙江农林大学</w:t>
            </w:r>
          </w:p>
          <w:p>
            <w:pPr>
              <w:spacing w:line="288" w:lineRule="auto"/>
              <w:jc w:val="left"/>
              <w:rPr>
                <w:rFonts w:eastAsia="仿宋"/>
                <w:color w:val="auto"/>
                <w:sz w:val="24"/>
                <w:szCs w:val="24"/>
              </w:rPr>
            </w:pPr>
            <w:r>
              <w:rPr>
                <w:rFonts w:eastAsia="仿宋"/>
                <w:color w:val="auto"/>
                <w:sz w:val="24"/>
                <w:szCs w:val="24"/>
              </w:rPr>
              <w:t>4.单位名称：一帆生物科技集团有限公司</w:t>
            </w:r>
          </w:p>
          <w:p>
            <w:pPr>
              <w:spacing w:line="288" w:lineRule="auto"/>
              <w:jc w:val="left"/>
              <w:rPr>
                <w:rFonts w:eastAsia="仿宋"/>
                <w:color w:val="auto"/>
                <w:sz w:val="24"/>
                <w:szCs w:val="24"/>
              </w:rPr>
            </w:pPr>
            <w:r>
              <w:rPr>
                <w:rFonts w:eastAsia="仿宋"/>
                <w:color w:val="auto"/>
                <w:sz w:val="24"/>
                <w:szCs w:val="24"/>
              </w:rPr>
              <w:t>5.单位名称：丽水市绿谷生物药业有限公司</w:t>
            </w:r>
          </w:p>
          <w:p>
            <w:pPr>
              <w:spacing w:line="288" w:lineRule="auto"/>
              <w:jc w:val="left"/>
              <w:rPr>
                <w:rFonts w:eastAsia="仿宋"/>
                <w:color w:val="auto"/>
                <w:sz w:val="24"/>
                <w:szCs w:val="24"/>
              </w:rPr>
            </w:pPr>
            <w:r>
              <w:rPr>
                <w:rFonts w:eastAsia="仿宋"/>
                <w:color w:val="auto"/>
                <w:sz w:val="24"/>
                <w:szCs w:val="24"/>
              </w:rPr>
              <w:t>6.单位名称：浙江世佳科技股份有限公司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2127" w:type="dxa"/>
            <w:vAlign w:val="center"/>
          </w:tcPr>
          <w:p>
            <w:pPr>
              <w:spacing w:line="288" w:lineRule="auto"/>
              <w:jc w:val="center"/>
              <w:rPr>
                <w:rStyle w:val="6"/>
                <w:rFonts w:eastAsia="仿宋"/>
                <w:b w:val="0"/>
                <w:bCs w:val="0"/>
                <w:color w:val="auto"/>
                <w:sz w:val="28"/>
                <w:szCs w:val="28"/>
              </w:rPr>
            </w:pPr>
            <w:r>
              <w:rPr>
                <w:rStyle w:val="6"/>
                <w:rFonts w:eastAsia="仿宋"/>
                <w:b w:val="0"/>
                <w:bCs w:val="0"/>
                <w:color w:val="auto"/>
                <w:sz w:val="28"/>
                <w:szCs w:val="28"/>
              </w:rPr>
              <w:t>提名单位</w:t>
            </w:r>
          </w:p>
        </w:tc>
        <w:tc>
          <w:tcPr>
            <w:tcW w:w="6379" w:type="dxa"/>
            <w:vAlign w:val="center"/>
          </w:tcPr>
          <w:p>
            <w:pPr>
              <w:spacing w:line="288" w:lineRule="auto"/>
              <w:contextualSpacing/>
              <w:jc w:val="center"/>
              <w:rPr>
                <w:rStyle w:val="6"/>
                <w:rFonts w:eastAsia="仿宋"/>
                <w:b w:val="0"/>
                <w:bCs w:val="0"/>
                <w:color w:val="auto"/>
              </w:rPr>
            </w:pPr>
            <w:r>
              <w:rPr>
                <w:rStyle w:val="6"/>
                <w:rFonts w:eastAsia="仿宋"/>
                <w:b w:val="0"/>
                <w:bCs w:val="0"/>
                <w:color w:val="auto"/>
              </w:rPr>
              <w:t>湖州市人民政府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2127" w:type="dxa"/>
            <w:vAlign w:val="center"/>
          </w:tcPr>
          <w:p>
            <w:pPr>
              <w:spacing w:line="288" w:lineRule="auto"/>
              <w:jc w:val="center"/>
              <w:rPr>
                <w:rStyle w:val="6"/>
                <w:rFonts w:eastAsia="仿宋"/>
                <w:b w:val="0"/>
                <w:bCs w:val="0"/>
                <w:color w:val="auto"/>
                <w:sz w:val="28"/>
                <w:szCs w:val="28"/>
              </w:rPr>
            </w:pPr>
            <w:r>
              <w:rPr>
                <w:rStyle w:val="6"/>
                <w:rFonts w:eastAsia="仿宋"/>
                <w:b w:val="0"/>
                <w:bCs w:val="0"/>
                <w:color w:val="auto"/>
                <w:sz w:val="28"/>
                <w:szCs w:val="28"/>
              </w:rPr>
              <w:t>提名意见</w:t>
            </w:r>
          </w:p>
        </w:tc>
        <w:tc>
          <w:tcPr>
            <w:tcW w:w="6379" w:type="dxa"/>
            <w:vAlign w:val="center"/>
          </w:tcPr>
          <w:p>
            <w:pPr>
              <w:spacing w:line="288" w:lineRule="auto"/>
              <w:ind w:firstLine="480" w:firstLineChars="200"/>
              <w:jc w:val="left"/>
              <w:rPr>
                <w:rFonts w:hint="eastAsia" w:eastAsia="仿宋"/>
                <w:color w:val="auto"/>
                <w:sz w:val="24"/>
                <w:szCs w:val="24"/>
              </w:rPr>
            </w:pPr>
            <w:r>
              <w:rPr>
                <w:rFonts w:hint="eastAsia" w:eastAsia="仿宋"/>
                <w:color w:val="auto"/>
                <w:sz w:val="24"/>
                <w:szCs w:val="24"/>
              </w:rPr>
              <w:t>在农产品安全和药肥双减等国家战略背景下，以绿色为导向的植物源农药创制是农药行业适应新质生产力发展的重要领域。本项目针对木本植物源农用高活性化合物挖掘不够、作用机制不明、高效广谱产品缺乏等关键瓶颈问题，在国家基金、农业部和省重点研发计划等项目的支持下，历经近20年科技攻关，突破了杀虫杀菌高活性化合物靶向挖掘方法和作用靶标基础理论，挖掘高效广谱高活性候选先导化合物21个，率先建立了木本植物源活性先导化合物资源库；揭示了生物碱等活性物质靶向干扰害虫蜕皮激素及保幼激素活性、脂溶乳化渗透杀卵性能及昆虫蜕皮异常、蛹畸形、非正常孵化的不育性机理；创制了具有杀虫杀菌功能植物源农药产品0.5%喜树碱钠盐水剂、0.3%苦参碱水剂、30%松脂酸钠水乳剂3个，开发了产品的绿色制造工艺技术，实现了产品的产业化应用。</w:t>
            </w:r>
          </w:p>
          <w:p>
            <w:pPr>
              <w:spacing w:line="288" w:lineRule="auto"/>
              <w:ind w:firstLine="480" w:firstLineChars="200"/>
              <w:jc w:val="left"/>
              <w:rPr>
                <w:rFonts w:eastAsia="仿宋"/>
                <w:color w:val="auto"/>
                <w:sz w:val="24"/>
                <w:szCs w:val="24"/>
              </w:rPr>
            </w:pPr>
            <w:r>
              <w:rPr>
                <w:rFonts w:hint="eastAsia" w:eastAsia="仿宋"/>
                <w:color w:val="auto"/>
                <w:sz w:val="24"/>
                <w:szCs w:val="24"/>
              </w:rPr>
              <w:t>项目研究成果获授权发明专利24项，发表论文55篇，制定企业标准3项，登记软件著作权 2 项，培训技术人员近千人次，成果在浙江、江苏等全国开展了大面积防治推广应用，取得显著的生态、经济和社会效益。由院士领衔，九位同行专家组成的评价委员会一致认为该成果创新性、先进性和实用性突出，项目成果整体达到同类研究国际先进水平，对保障国家粮油安全、重要农林产品供给和生态安全具有重要意义。</w:t>
            </w:r>
          </w:p>
          <w:p>
            <w:pPr>
              <w:spacing w:line="288" w:lineRule="auto"/>
              <w:ind w:firstLine="480" w:firstLineChars="200"/>
              <w:jc w:val="left"/>
              <w:rPr>
                <w:rStyle w:val="6"/>
                <w:rFonts w:eastAsia="仿宋"/>
                <w:b w:val="0"/>
                <w:bCs w:val="0"/>
                <w:color w:val="auto"/>
              </w:rPr>
            </w:pPr>
            <w:r>
              <w:rPr>
                <w:rFonts w:hint="eastAsia" w:eastAsia="仿宋"/>
                <w:color w:val="auto"/>
                <w:sz w:val="24"/>
                <w:szCs w:val="24"/>
              </w:rPr>
              <w:t>同意提名</w:t>
            </w:r>
            <w:r>
              <w:rPr>
                <w:rFonts w:eastAsia="仿宋"/>
                <w:color w:val="auto"/>
                <w:sz w:val="24"/>
                <w:szCs w:val="24"/>
              </w:rPr>
              <w:t>为</w:t>
            </w:r>
            <w:r>
              <w:rPr>
                <w:rFonts w:hint="eastAsia" w:eastAsia="仿宋"/>
                <w:color w:val="auto"/>
                <w:sz w:val="24"/>
                <w:szCs w:val="24"/>
              </w:rPr>
              <w:t>浙江</w:t>
            </w:r>
            <w:r>
              <w:rPr>
                <w:rFonts w:eastAsia="仿宋"/>
                <w:color w:val="auto"/>
                <w:sz w:val="24"/>
                <w:szCs w:val="24"/>
              </w:rPr>
              <w:t>省科学技术进步奖二等奖。</w:t>
            </w:r>
          </w:p>
        </w:tc>
      </w:tr>
    </w:tbl>
    <w:p>
      <w:pPr>
        <w:rPr>
          <w:rFonts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A215F"/>
    <w:multiLevelType w:val="multilevel"/>
    <w:tmpl w:val="7F8A215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MjFkZmY2Y2Q4NzZiYzAzYjZjNWJiOWI4NTViNWUifQ=="/>
  </w:docVars>
  <w:rsids>
    <w:rsidRoot w:val="11F61EB4"/>
    <w:rsid w:val="000338FE"/>
    <w:rsid w:val="0005775A"/>
    <w:rsid w:val="00070E9F"/>
    <w:rsid w:val="000A61E2"/>
    <w:rsid w:val="000C1690"/>
    <w:rsid w:val="000D1359"/>
    <w:rsid w:val="00105B37"/>
    <w:rsid w:val="00115DC3"/>
    <w:rsid w:val="00125EE5"/>
    <w:rsid w:val="00153FA2"/>
    <w:rsid w:val="00174E51"/>
    <w:rsid w:val="001A6045"/>
    <w:rsid w:val="001C3C50"/>
    <w:rsid w:val="001D5BDA"/>
    <w:rsid w:val="002013EF"/>
    <w:rsid w:val="002101EB"/>
    <w:rsid w:val="00286725"/>
    <w:rsid w:val="002A1C55"/>
    <w:rsid w:val="002C4071"/>
    <w:rsid w:val="002C5980"/>
    <w:rsid w:val="002D4204"/>
    <w:rsid w:val="003046E3"/>
    <w:rsid w:val="003644B9"/>
    <w:rsid w:val="003876F4"/>
    <w:rsid w:val="003A6187"/>
    <w:rsid w:val="003C08B0"/>
    <w:rsid w:val="003E26E8"/>
    <w:rsid w:val="003E5F4D"/>
    <w:rsid w:val="003F5298"/>
    <w:rsid w:val="00424335"/>
    <w:rsid w:val="0042747A"/>
    <w:rsid w:val="00434764"/>
    <w:rsid w:val="00441677"/>
    <w:rsid w:val="004556CF"/>
    <w:rsid w:val="00456545"/>
    <w:rsid w:val="004653AF"/>
    <w:rsid w:val="00474219"/>
    <w:rsid w:val="004B0D0D"/>
    <w:rsid w:val="004B40CC"/>
    <w:rsid w:val="004B49CC"/>
    <w:rsid w:val="004B7651"/>
    <w:rsid w:val="004D4905"/>
    <w:rsid w:val="004E1947"/>
    <w:rsid w:val="004F476A"/>
    <w:rsid w:val="00503739"/>
    <w:rsid w:val="00505F2D"/>
    <w:rsid w:val="00536230"/>
    <w:rsid w:val="005542D1"/>
    <w:rsid w:val="00561797"/>
    <w:rsid w:val="0057165A"/>
    <w:rsid w:val="00590237"/>
    <w:rsid w:val="00591FDE"/>
    <w:rsid w:val="005D4DA8"/>
    <w:rsid w:val="005F02B5"/>
    <w:rsid w:val="006453C6"/>
    <w:rsid w:val="006548CD"/>
    <w:rsid w:val="00670AD5"/>
    <w:rsid w:val="006742FE"/>
    <w:rsid w:val="006842D6"/>
    <w:rsid w:val="00690A91"/>
    <w:rsid w:val="006D3C50"/>
    <w:rsid w:val="00711377"/>
    <w:rsid w:val="00721C02"/>
    <w:rsid w:val="00740F4C"/>
    <w:rsid w:val="0075425A"/>
    <w:rsid w:val="00775E3F"/>
    <w:rsid w:val="00792C96"/>
    <w:rsid w:val="007A2BAA"/>
    <w:rsid w:val="007A3B1D"/>
    <w:rsid w:val="007D4D31"/>
    <w:rsid w:val="00821C21"/>
    <w:rsid w:val="0085646E"/>
    <w:rsid w:val="008955C8"/>
    <w:rsid w:val="008A6D9C"/>
    <w:rsid w:val="008A7BED"/>
    <w:rsid w:val="008D7F0A"/>
    <w:rsid w:val="008E2552"/>
    <w:rsid w:val="00921777"/>
    <w:rsid w:val="00935DE2"/>
    <w:rsid w:val="009616FE"/>
    <w:rsid w:val="00964D4D"/>
    <w:rsid w:val="0098348C"/>
    <w:rsid w:val="00995B88"/>
    <w:rsid w:val="009B53CD"/>
    <w:rsid w:val="00A16261"/>
    <w:rsid w:val="00A26DB7"/>
    <w:rsid w:val="00A3225F"/>
    <w:rsid w:val="00A34D50"/>
    <w:rsid w:val="00A56A18"/>
    <w:rsid w:val="00AD042B"/>
    <w:rsid w:val="00AD1BE8"/>
    <w:rsid w:val="00AD63CE"/>
    <w:rsid w:val="00AE1DF3"/>
    <w:rsid w:val="00B072BC"/>
    <w:rsid w:val="00B1201D"/>
    <w:rsid w:val="00B206F5"/>
    <w:rsid w:val="00B25FD7"/>
    <w:rsid w:val="00B700A6"/>
    <w:rsid w:val="00B81922"/>
    <w:rsid w:val="00BC0273"/>
    <w:rsid w:val="00BC16A5"/>
    <w:rsid w:val="00BF7287"/>
    <w:rsid w:val="00C1676A"/>
    <w:rsid w:val="00C25816"/>
    <w:rsid w:val="00C279B9"/>
    <w:rsid w:val="00C44439"/>
    <w:rsid w:val="00C86AB3"/>
    <w:rsid w:val="00CC614A"/>
    <w:rsid w:val="00CE25AE"/>
    <w:rsid w:val="00CE3C87"/>
    <w:rsid w:val="00CF3A3E"/>
    <w:rsid w:val="00D136F4"/>
    <w:rsid w:val="00D20C8E"/>
    <w:rsid w:val="00D41406"/>
    <w:rsid w:val="00D74894"/>
    <w:rsid w:val="00D8502A"/>
    <w:rsid w:val="00DC029B"/>
    <w:rsid w:val="00E05C35"/>
    <w:rsid w:val="00E12232"/>
    <w:rsid w:val="00E15AE5"/>
    <w:rsid w:val="00E22369"/>
    <w:rsid w:val="00E356EB"/>
    <w:rsid w:val="00E44B54"/>
    <w:rsid w:val="00E47DAF"/>
    <w:rsid w:val="00E57879"/>
    <w:rsid w:val="00E71CED"/>
    <w:rsid w:val="00EE63EE"/>
    <w:rsid w:val="00F13EF2"/>
    <w:rsid w:val="00F23A99"/>
    <w:rsid w:val="00F51A37"/>
    <w:rsid w:val="00F5600B"/>
    <w:rsid w:val="00F65C12"/>
    <w:rsid w:val="00F76D3B"/>
    <w:rsid w:val="00F91041"/>
    <w:rsid w:val="00FA28DD"/>
    <w:rsid w:val="00FC0D79"/>
    <w:rsid w:val="00FC379E"/>
    <w:rsid w:val="00FC7ADB"/>
    <w:rsid w:val="02511125"/>
    <w:rsid w:val="05E148A9"/>
    <w:rsid w:val="11F61EB4"/>
    <w:rsid w:val="15A71641"/>
    <w:rsid w:val="1C51438E"/>
    <w:rsid w:val="26DE6EA8"/>
    <w:rsid w:val="3052264C"/>
    <w:rsid w:val="3B5262B4"/>
    <w:rsid w:val="4E295810"/>
    <w:rsid w:val="576535C5"/>
    <w:rsid w:val="6B4254FA"/>
    <w:rsid w:val="70E02EA0"/>
    <w:rsid w:val="7FAB1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character" w:customStyle="1" w:styleId="6">
    <w:name w:val="title1"/>
    <w:qFormat/>
    <w:uiPriority w:val="0"/>
    <w:rPr>
      <w:b/>
      <w:bCs/>
      <w:color w:val="999900"/>
      <w:sz w:val="24"/>
      <w:szCs w:val="24"/>
    </w:rPr>
  </w:style>
  <w:style w:type="paragraph" w:styleId="7">
    <w:name w:val="List Paragraph"/>
    <w:basedOn w:val="1"/>
    <w:unhideWhenUsed/>
    <w:qFormat/>
    <w:uiPriority w:val="99"/>
    <w:pPr>
      <w:ind w:firstLine="420" w:firstLineChars="200"/>
    </w:pPr>
  </w:style>
  <w:style w:type="paragraph" w:customStyle="1" w:styleId="8">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9">
    <w:name w:val="页眉 字符"/>
    <w:basedOn w:val="5"/>
    <w:link w:val="3"/>
    <w:qFormat/>
    <w:uiPriority w:val="0"/>
    <w:rPr>
      <w:rFonts w:ascii="Times New Roman" w:hAnsi="Times New Roman" w:eastAsia="宋体" w:cs="Times New Roman"/>
      <w:kern w:val="2"/>
      <w:sz w:val="18"/>
      <w:szCs w:val="18"/>
    </w:rPr>
  </w:style>
  <w:style w:type="character" w:customStyle="1" w:styleId="10">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309</Words>
  <Characters>1766</Characters>
  <Lines>14</Lines>
  <Paragraphs>4</Paragraphs>
  <TotalTime>88</TotalTime>
  <ScaleCrop>false</ScaleCrop>
  <LinksUpToDate>false</LinksUpToDate>
  <CharactersWithSpaces>2071</CharactersWithSpaces>
  <Application>WPS Office_11.8.2.10154_F1E327BC-269C-435d-A152-05C5408002CA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2024-08-11T07:00:00Z</dcterms:created>
  <dc:creator>zzsy</dc:creator>
  <lastModifiedBy>Administrator</lastModifiedBy>
  <dcterms:modified xsi:type="dcterms:W3CDTF">2024-08-22T01:52:05Z</dcterms:modified>
  <revision>52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07209A5D7240487F877B8D5789C63954_13</vt:lpwstr>
  </property>
</Properties>
</file>