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附件4</w:t>
      </w:r>
    </w:p>
    <w:p>
      <w:pPr>
        <w:spacing w:line="500" w:lineRule="exact"/>
        <w:jc w:val="center"/>
        <w:rPr>
          <w:rFonts w:hint="eastAsia" w:ascii="方正小标宋简体" w:hAnsi="仿宋" w:eastAsia="方正小标宋简体"/>
          <w:snapToGrid w:val="0"/>
          <w:color w:val="auto"/>
          <w:kern w:val="32"/>
          <w:sz w:val="44"/>
          <w:szCs w:val="44"/>
        </w:rPr>
      </w:pPr>
      <w:r>
        <w:rPr>
          <w:rFonts w:ascii="方正小标宋简体" w:eastAsia="方正小标宋简体"/>
          <w:snapToGrid w:val="0"/>
          <w:color w:val="auto"/>
          <w:kern w:val="32"/>
          <w:sz w:val="44"/>
          <w:szCs w:val="44"/>
          <w:lang w:val="zh-CN"/>
        </w:rPr>
        <w:t>20</w:t>
      </w:r>
      <w:r>
        <w:rPr>
          <w:rFonts w:hint="eastAsia" w:ascii="方正小标宋简体" w:eastAsia="方正小标宋简体"/>
          <w:snapToGrid w:val="0"/>
          <w:color w:val="auto"/>
          <w:kern w:val="32"/>
          <w:sz w:val="44"/>
          <w:szCs w:val="44"/>
          <w:lang w:val="zh-CN"/>
        </w:rPr>
        <w:t>2</w:t>
      </w:r>
      <w:r>
        <w:rPr>
          <w:rFonts w:hint="eastAsia" w:ascii="方正小标宋简体" w:eastAsia="方正小标宋简体"/>
          <w:snapToGrid w:val="0"/>
          <w:color w:val="auto"/>
          <w:kern w:val="32"/>
          <w:sz w:val="44"/>
          <w:szCs w:val="44"/>
          <w:lang w:val="en-US" w:eastAsia="zh-CN"/>
        </w:rPr>
        <w:t>4</w:t>
      </w:r>
      <w:r>
        <w:rPr>
          <w:rFonts w:hint="eastAsia" w:ascii="方正小标宋简体" w:hAnsi="仿宋" w:eastAsia="方正小标宋简体"/>
          <w:snapToGrid w:val="0"/>
          <w:color w:val="auto"/>
          <w:kern w:val="32"/>
          <w:sz w:val="44"/>
          <w:szCs w:val="44"/>
        </w:rPr>
        <w:t>年度</w:t>
      </w:r>
      <w:r>
        <w:rPr>
          <w:rFonts w:hint="eastAsia" w:ascii="方正小标宋简体" w:eastAsia="方正小标宋简体"/>
          <w:snapToGrid w:val="0"/>
          <w:color w:val="auto"/>
          <w:kern w:val="32"/>
          <w:sz w:val="44"/>
          <w:szCs w:val="44"/>
          <w:lang w:val="zh-CN"/>
        </w:rPr>
        <w:t>湖笔产业发展专项资金</w:t>
      </w:r>
      <w:r>
        <w:rPr>
          <w:rFonts w:hint="eastAsia" w:ascii="方正小标宋简体" w:hAnsi="仿宋" w:eastAsia="方正小标宋简体"/>
          <w:snapToGrid w:val="0"/>
          <w:color w:val="auto"/>
          <w:kern w:val="32"/>
          <w:sz w:val="44"/>
          <w:szCs w:val="44"/>
        </w:rPr>
        <w:t>申报项目和申报材料对照表</w:t>
      </w:r>
    </w:p>
    <w:p>
      <w:pPr>
        <w:jc w:val="center"/>
        <w:rPr>
          <w:rFonts w:hint="eastAsia" w:ascii="仿宋_GB2312" w:hAnsi="宋体" w:eastAsia="仿宋_GB2312"/>
          <w:color w:val="auto"/>
          <w:kern w:val="0"/>
          <w:sz w:val="24"/>
          <w:szCs w:val="28"/>
        </w:rPr>
      </w:pPr>
      <w:r>
        <w:rPr>
          <w:rFonts w:hint="eastAsia" w:ascii="仿宋_GB2312" w:hAnsi="宋体" w:eastAsia="仿宋_GB2312"/>
          <w:color w:val="auto"/>
          <w:kern w:val="0"/>
          <w:sz w:val="24"/>
          <w:szCs w:val="28"/>
        </w:rPr>
        <w:t>（注：每个申报单位都需提供申报一览表、申请表、信用承诺书，不列入本表申报材料）</w:t>
      </w:r>
    </w:p>
    <w:tbl>
      <w:tblPr>
        <w:tblStyle w:val="4"/>
        <w:tblW w:w="132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5585"/>
        <w:gridCol w:w="5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2150" w:type="dxa"/>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宋体"/>
                <w:b/>
                <w:bCs/>
                <w:color w:val="auto"/>
                <w:sz w:val="24"/>
                <w:szCs w:val="24"/>
                <w:highlight w:val="green"/>
              </w:rPr>
            </w:pPr>
            <w:r>
              <w:rPr>
                <w:rFonts w:hint="eastAsia" w:ascii="仿宋_GB2312" w:hAnsi="宋体"/>
                <w:b/>
                <w:bCs/>
                <w:color w:val="auto"/>
                <w:sz w:val="24"/>
                <w:szCs w:val="24"/>
              </w:rPr>
              <w:t>项目申报类别</w:t>
            </w:r>
          </w:p>
        </w:tc>
        <w:tc>
          <w:tcPr>
            <w:tcW w:w="5585" w:type="dxa"/>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宋体"/>
                <w:b/>
                <w:bCs/>
                <w:color w:val="auto"/>
                <w:sz w:val="24"/>
                <w:szCs w:val="24"/>
              </w:rPr>
            </w:pPr>
            <w:r>
              <w:rPr>
                <w:rFonts w:hint="eastAsia" w:ascii="仿宋_GB2312" w:hAnsi="宋体"/>
                <w:b/>
                <w:bCs/>
                <w:color w:val="auto"/>
                <w:sz w:val="24"/>
                <w:szCs w:val="24"/>
              </w:rPr>
              <w:t>奖励条件和标准</w:t>
            </w:r>
          </w:p>
        </w:tc>
        <w:tc>
          <w:tcPr>
            <w:tcW w:w="5483" w:type="dxa"/>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宋体"/>
                <w:b/>
                <w:bCs/>
                <w:color w:val="auto"/>
                <w:sz w:val="24"/>
                <w:szCs w:val="24"/>
              </w:rPr>
            </w:pPr>
            <w:r>
              <w:rPr>
                <w:rFonts w:hint="eastAsia" w:ascii="仿宋_GB2312" w:hAnsi="宋体"/>
                <w:b/>
                <w:bCs/>
                <w:color w:val="auto"/>
                <w:sz w:val="24"/>
                <w:szCs w:val="24"/>
              </w:rPr>
              <w:t>申报材料及说明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2150" w:type="dxa"/>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cs="仿宋_GB2312"/>
                <w:color w:val="auto"/>
                <w:sz w:val="24"/>
                <w:szCs w:val="24"/>
              </w:rPr>
            </w:pPr>
            <w:r>
              <w:rPr>
                <w:rFonts w:hint="eastAsia" w:ascii="仿宋_GB2312" w:hAnsi="仿宋_GB2312" w:eastAsia="仿宋_GB2312" w:cs="仿宋_GB2312"/>
                <w:color w:val="auto"/>
                <w:sz w:val="24"/>
                <w:szCs w:val="24"/>
              </w:rPr>
              <w:t>重点湖笔企业“小升规”</w:t>
            </w:r>
          </w:p>
        </w:tc>
        <w:tc>
          <w:tcPr>
            <w:tcW w:w="5585"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cs="仿宋_GB2312"/>
                <w:color w:val="auto"/>
                <w:sz w:val="24"/>
                <w:szCs w:val="24"/>
              </w:rPr>
            </w:pPr>
            <w:r>
              <w:rPr>
                <w:rFonts w:hint="eastAsia" w:ascii="仿宋_GB2312" w:hAnsi="仿宋_GB2312" w:eastAsia="仿宋_GB2312" w:cs="仿宋_GB2312"/>
                <w:color w:val="auto"/>
                <w:sz w:val="24"/>
                <w:szCs w:val="24"/>
              </w:rPr>
              <w:t>首次实现“小升规”的重点湖笔企业，给予一次性奖励20万元，连续三年保持不退规，再给予一次性奖励奖励10万元。</w:t>
            </w:r>
          </w:p>
        </w:tc>
        <w:tc>
          <w:tcPr>
            <w:tcW w:w="5483" w:type="dxa"/>
            <w:noWrap w:val="0"/>
            <w:vAlign w:val="center"/>
          </w:tcPr>
          <w:p>
            <w:pPr>
              <w:keepNext w:val="0"/>
              <w:keepLines w:val="0"/>
              <w:suppressLineNumbers w:val="0"/>
              <w:spacing w:before="0" w:beforeAutospacing="0" w:after="0" w:afterAutospacing="0" w:line="320" w:lineRule="exact"/>
              <w:ind w:left="0" w:right="0"/>
              <w:rPr>
                <w:rFonts w:hint="eastAsia" w:ascii="仿宋_GB2312" w:hAnsi="宋体"/>
                <w:color w:val="auto"/>
                <w:sz w:val="24"/>
                <w:szCs w:val="24"/>
              </w:rPr>
            </w:pPr>
            <w:r>
              <w:rPr>
                <w:rFonts w:hint="eastAsia" w:ascii="仿宋_GB2312" w:hAnsi="仿宋_GB2312" w:eastAsia="仿宋_GB2312" w:cs="仿宋_GB2312"/>
                <w:color w:val="auto"/>
                <w:sz w:val="24"/>
                <w:szCs w:val="24"/>
              </w:rPr>
              <w:t>重点湖笔企业认定文件（市经信局提供）。“小升规”证明。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2150" w:type="dxa"/>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新评工艺美术大师</w:t>
            </w:r>
          </w:p>
        </w:tc>
        <w:tc>
          <w:tcPr>
            <w:tcW w:w="5585"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对新获得国家、省级工艺美术大师称号的个人，分别给予一次性奖励50万元、10万元。</w:t>
            </w:r>
          </w:p>
        </w:tc>
        <w:tc>
          <w:tcPr>
            <w:tcW w:w="5483"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国家、省级工艺美术大师荣誉证书或文件。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新引进工艺美术大师在湖新办湖笔企业</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对引进市外国家级、省级工艺美术大师、全国文房四宝毛笔大师，在湖州新办湖笔生产企业的，经市经信局、市财政局每年联合评定后，分别给予15万元、3万元、3万元奖励，连续奖励三年。</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国家级、省级工艺美术大师、全国文房四宝毛笔大师荣誉证书或文件，湖笔生产企业营业执照；上缴养老保险材料。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新评高级工艺美术师</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对新获得高级工艺美术师（高级技师）职称的个人，给予一次性奖励5万元。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高级工艺美术师（高级技师）荣誉证书或文件。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6"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关键工艺新招工人</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对实现年销售收入100万元以上的湖笔企业，在“水盆”“择笔”关键工艺上招收40周岁以下新工，签订劳动合同并上缴养老保险的，连续三年，每年按照每人3万元标准给予企业奖励</w:t>
            </w:r>
            <w:r>
              <w:rPr>
                <w:rFonts w:hint="eastAsia" w:ascii="仿宋_GB2312" w:hAnsi="仿宋_GB2312" w:eastAsia="仿宋_GB2312" w:cs="仿宋_GB2312"/>
                <w:color w:val="auto"/>
                <w:sz w:val="24"/>
                <w:szCs w:val="24"/>
                <w:lang w:eastAsia="zh-CN"/>
              </w:rPr>
              <w:t>。</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年度增值税申报表等销售收入证明材料，劳动合同，缴满一年的养老保险证明，工资流水等证明材料，其他相关证明材料。新工个人身份证复印件。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3"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湖笔制作培训班</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职业院校、成人学校、湖笔协会举办湖笔制作培训班，经市经信局事先登记的，按照取得职业技能鉴定中心颁发的专业能力考核合格证书的学员数量，给予培训组织单位1000元/学员的制笔补贴。</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培训班通知、培训照片等相关证明材料，身份证复印件、登记表，考核合格证等证明材料，其他相关证明材料。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技改投入</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对当年新增生产性投入（仅限生产设备和辅助设施）10万元以上的，按实际投入额的20%给予补助，最高补助30万元。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项目情况说明，设备和辅助设施投入证明材料，其他相关证明材料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发明专利</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对获得发明专利授权的企业，给予2500元的奖励</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发明专利证书</w:t>
            </w:r>
            <w:r>
              <w:rPr>
                <w:rFonts w:hint="eastAsia" w:ascii="仿宋_GB2312" w:hAnsi="仿宋_GB2312" w:eastAsia="仿宋_GB2312" w:cs="仿宋_GB2312"/>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标准制定</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牵头起草制定国家、行业标准的，分别给予30万元、10万元的奖励（与《湖州市推动制造业高质量赶超发展实施意见（202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年）》不重复享受）</w:t>
            </w:r>
            <w:r>
              <w:rPr>
                <w:rFonts w:hint="eastAsia" w:ascii="仿宋_GB2312" w:hAnsi="仿宋_GB2312" w:eastAsia="仿宋_GB2312" w:cs="仿宋_GB2312"/>
                <w:color w:val="auto"/>
                <w:sz w:val="24"/>
                <w:szCs w:val="24"/>
                <w:lang w:eastAsia="zh-CN"/>
              </w:rPr>
              <w:t>。</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牵头制定标准的相关证明材料，其他相关证明材料</w:t>
            </w:r>
            <w:r>
              <w:rPr>
                <w:rFonts w:hint="eastAsia" w:ascii="仿宋_GB2312" w:hAnsi="仿宋_GB2312" w:eastAsia="仿宋_GB2312" w:cs="仿宋_GB2312"/>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展示展销</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省级以上政府部门、行业协会组织的专业性展示展销活动，事先向市经信局、财政局登记的，按标准展位费给予全额补助，每家企业一年内最多补助6个标准展位，每个标准展位补助不超过1万元。展位特装向市经信局、市财政局事先登记，经审核后给予一定额度的补助</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行业协会组织湖笔企业参展事先登记表，标准展位证明材料（</w:t>
            </w:r>
            <w:r>
              <w:rPr>
                <w:rFonts w:hint="eastAsia" w:ascii="仿宋_GB2312" w:hAnsi="仿宋_GB2312" w:eastAsia="仿宋_GB2312" w:cs="仿宋_GB2312"/>
                <w:color w:val="auto"/>
                <w:sz w:val="24"/>
                <w:szCs w:val="24"/>
                <w:lang w:eastAsia="zh-CN"/>
              </w:rPr>
              <w:t>营业执照、展会通知、</w:t>
            </w:r>
            <w:r>
              <w:rPr>
                <w:rFonts w:hint="eastAsia" w:ascii="仿宋_GB2312" w:hAnsi="仿宋_GB2312" w:eastAsia="仿宋_GB2312" w:cs="仿宋_GB2312"/>
                <w:color w:val="auto"/>
                <w:sz w:val="24"/>
                <w:szCs w:val="24"/>
              </w:rPr>
              <w:t>付款发票</w:t>
            </w:r>
            <w:r>
              <w:rPr>
                <w:rFonts w:hint="eastAsia" w:ascii="仿宋_GB2312" w:hAnsi="仿宋_GB2312" w:eastAsia="仿宋_GB2312" w:cs="仿宋_GB2312"/>
                <w:color w:val="auto"/>
                <w:sz w:val="24"/>
                <w:szCs w:val="24"/>
                <w:lang w:eastAsia="zh-CN"/>
              </w:rPr>
              <w:t>、付款凭证、展位照片</w:t>
            </w:r>
            <w:r>
              <w:rPr>
                <w:rFonts w:hint="eastAsia" w:ascii="仿宋_GB2312" w:hAnsi="仿宋_GB2312" w:eastAsia="仿宋_GB2312" w:cs="仿宋_GB2312"/>
                <w:color w:val="auto"/>
                <w:sz w:val="24"/>
                <w:szCs w:val="24"/>
              </w:rPr>
              <w:t>等）；展位特装证明材料（付款发票，</w:t>
            </w:r>
            <w:r>
              <w:rPr>
                <w:rFonts w:hint="eastAsia" w:ascii="仿宋_GB2312" w:hAnsi="仿宋_GB2312" w:eastAsia="仿宋_GB2312" w:cs="仿宋_GB2312"/>
                <w:color w:val="auto"/>
                <w:sz w:val="24"/>
                <w:szCs w:val="24"/>
                <w:lang w:eastAsia="zh-CN"/>
              </w:rPr>
              <w:t>付款凭证、</w:t>
            </w:r>
            <w:r>
              <w:rPr>
                <w:rFonts w:hint="eastAsia" w:ascii="仿宋_GB2312" w:hAnsi="仿宋_GB2312" w:eastAsia="仿宋_GB2312" w:cs="仿宋_GB2312"/>
                <w:color w:val="auto"/>
                <w:sz w:val="24"/>
                <w:szCs w:val="24"/>
              </w:rPr>
              <w:t>特装照片</w:t>
            </w:r>
            <w:r>
              <w:rPr>
                <w:rFonts w:hint="eastAsia" w:ascii="仿宋_GB2312" w:hAnsi="仿宋_GB2312" w:eastAsia="仿宋_GB2312" w:cs="仿宋_GB2312"/>
                <w:color w:val="auto"/>
                <w:sz w:val="24"/>
                <w:szCs w:val="24"/>
                <w:lang w:eastAsia="zh-CN"/>
              </w:rPr>
              <w:t>、特装协议等</w:t>
            </w:r>
            <w:r>
              <w:rPr>
                <w:rFonts w:hint="eastAsia" w:ascii="仿宋_GB2312" w:hAnsi="仿宋_GB2312" w:eastAsia="仿宋_GB2312" w:cs="仿宋_GB2312"/>
                <w:color w:val="auto"/>
                <w:sz w:val="24"/>
                <w:szCs w:val="24"/>
              </w:rPr>
              <w:t>）；其他相关证明材料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联名授权湖笔产品</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湖笔企业探索与国际、国家博物馆等文化单位开展IP深度合作，对授权联名的湖笔产品给予企业一次性奖励5万元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合作协议，联名授权证明材料等，其他相关证明材料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文创旅游类评比活动获奖</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在国家、省政府部门主办的文创旅游类评比活动中获得最高奖项的作品，分别奖励5万元、2万元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获奖证书等证明材料，其他相关证明材料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2"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“湖笔+湖州”文创产品</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湖笔企业与文创公司合作开发展现“湖笔+湖州”符号元素的文创产品，产品年销售额达1000万元以上的，经审核评定后，给予一次性奖励5万元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合作开发“湖笔+湖州”文创产品证明材料，文创公司文创产品销售额证明（发票及统计表）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湖笔专卖店</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湖笔生产企业在长三角地区的高速服务区、高铁站、机场、4A级以上景区新开设以展示湖笔产品为主的专卖店满一年且湖笔年销售额达10万元以上的，每个专卖店给予一次性补助3万元，每个企业累计不超过2个</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销售额证明材料，专卖店证明材料，其他相关证明材料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创新项目</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经市级有关部门认定的湖笔制作技艺的发掘、恢复、传承和创新类项目，每个项目奖励10万元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项目投入明细及证明材料，创新项目相关资料，202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年度增值税申报表等销售额证明材料，其他相关证明材料;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湖笔相关专业书籍</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公开出版发行湖笔相关专业书籍的单位或个人，给予一次性奖励3万元</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出版书籍及相关证明材料，其他相关证明材料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7"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工艺美术大师工作室</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市级以上工艺美术大师在湖州市区范围的高校新建工作室满一年，经市经信局事先登记的，给予一次性奖励5万元，每年新增带徒超过5人的，再给予2万元补助，最多连续补助三年</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市级以上工艺美术大师证书等证明材料，高校合作协议书，事先登记表，工作室成立相关证明材料，带徒协议等相关证明材料，其他相关证明材料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50" w:type="dxa"/>
            <w:noWrap w:val="0"/>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湖笔研学交流活动</w:t>
            </w:r>
          </w:p>
        </w:tc>
        <w:tc>
          <w:tcPr>
            <w:tcW w:w="5585"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市级以上社会团体在湖举办湖笔研学、书画名家交流等湖笔相关活动，且在省级以上主流媒体宣传报道的，按组织经费给予适当奖励，最高不超过5万</w:t>
            </w:r>
          </w:p>
        </w:tc>
        <w:tc>
          <w:tcPr>
            <w:tcW w:w="5483" w:type="dxa"/>
            <w:noWrap w:val="0"/>
            <w:vAlign w:val="center"/>
          </w:tcPr>
          <w:p>
            <w:pPr>
              <w:keepNext w:val="0"/>
              <w:keepLines w:val="0"/>
              <w:suppressLineNumbers w:val="0"/>
              <w:spacing w:before="0" w:beforeAutospacing="0" w:after="0" w:afterAutospacing="0" w:line="300" w:lineRule="exac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相关活动证明材料，省级以上媒体宣传报道材料，活动组织经费支出情况，其他相关证明材料</w:t>
            </w:r>
          </w:p>
        </w:tc>
      </w:tr>
    </w:tbl>
    <w:p>
      <w:pPr>
        <w:spacing w:line="400" w:lineRule="exact"/>
        <w:rPr>
          <w:color w:val="auto"/>
        </w:rPr>
      </w:pPr>
    </w:p>
    <w:p>
      <w:pPr>
        <w:spacing w:line="560" w:lineRule="exact"/>
        <w:rPr>
          <w:rFonts w:ascii="仿宋_GB2312" w:hAnsi="宋体" w:eastAsia="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pgNumType w:fmt="decimal"/>
          <w:cols w:space="720"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6BFFDC"/>
    <w:rsid w:val="DF7615D3"/>
    <w:rsid w:val="FC6BF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2024-07-30T23:55:00Z</dcterms:created>
  <dc:creator>huzhou</dc:creator>
  <lastModifiedBy>huzhou</lastModifiedBy>
  <dcterms:modified xsi:type="dcterms:W3CDTF">2024-07-30T15:56:30Z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