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imes New Roman" w:hAnsi="Times New Roman" w:eastAsia="方正小标宋简体" w:cs="Times New Roman"/>
          <w:color w:val="000000" w:themeColor="text1"/>
          <w:sz w:val="32"/>
          <w:szCs w:val="32"/>
        </w:rPr>
      </w:pPr>
      <w:r>
        <w:rPr>
          <w:rFonts w:hint="eastAsia" w:ascii="Times New Roman" w:hAnsi="Times New Roman" w:eastAsia="方正小标宋简体" w:cs="Times New Roman"/>
          <w:color w:val="000000" w:themeColor="text1"/>
          <w:sz w:val="32"/>
          <w:szCs w:val="32"/>
        </w:rPr>
        <w:t xml:space="preserve">2024年湖州市电动自行车乘员头盔产品质量监督抽查实施细则 </w:t>
      </w:r>
    </w:p>
    <w:p>
      <w:pPr>
        <w:adjustRightInd w:val="0"/>
        <w:snapToGrid w:val="0"/>
        <w:spacing w:line="440" w:lineRule="exact"/>
        <w:jc w:val="center"/>
        <w:rPr>
          <w:rFonts w:ascii="Times New Roman" w:hAnsi="Times New Roman" w:eastAsia="方正小标宋简体" w:cs="Times New Roman"/>
          <w:color w:val="000000" w:themeColor="text1"/>
          <w:sz w:val="24"/>
          <w:szCs w:val="24"/>
        </w:rPr>
      </w:pPr>
    </w:p>
    <w:p>
      <w:pPr>
        <w:adjustRightInd w:val="0"/>
        <w:snapToGrid w:val="0"/>
        <w:spacing w:line="440" w:lineRule="exact"/>
        <w:rPr>
          <w:rFonts w:ascii="Times New Roman" w:hAnsi="Times New Roman" w:eastAsia="黑体" w:cs="Times New Roman"/>
          <w:color w:val="000000" w:themeColor="text1"/>
        </w:rPr>
      </w:pPr>
      <w:r>
        <w:rPr>
          <w:rFonts w:ascii="Times New Roman" w:hAnsi="Times New Roman" w:eastAsia="黑体" w:cs="Times New Roman"/>
          <w:color w:val="000000" w:themeColor="text1"/>
        </w:rPr>
        <w:t>1 抽样方法</w:t>
      </w:r>
    </w:p>
    <w:p>
      <w:pPr>
        <w:adjustRightInd w:val="0"/>
        <w:snapToGrid w:val="0"/>
        <w:spacing w:line="440" w:lineRule="exact"/>
        <w:ind w:firstLine="420" w:firstLineChars="200"/>
        <w:rPr>
          <w:rFonts w:ascii="Times New Roman" w:hAnsi="Times New Roman"/>
          <w:color w:val="000000" w:themeColor="text1"/>
        </w:rPr>
      </w:pPr>
      <w:r>
        <w:rPr>
          <w:rFonts w:ascii="Times New Roman" w:hAnsi="Times New Roman"/>
          <w:color w:val="000000" w:themeColor="text1"/>
        </w:rPr>
        <w:t>以随机抽样的方式在被抽样生产者、销售者的待销产品中抽取。</w:t>
      </w:r>
    </w:p>
    <w:p>
      <w:pPr>
        <w:adjustRightInd w:val="0"/>
        <w:snapToGrid w:val="0"/>
        <w:spacing w:line="440" w:lineRule="exact"/>
        <w:ind w:firstLine="420" w:firstLineChars="200"/>
        <w:rPr>
          <w:rFonts w:ascii="Times New Roman" w:hAnsi="Times New Roman" w:eastAsia="黑体"/>
          <w:color w:val="000000" w:themeColor="text1"/>
        </w:rPr>
      </w:pPr>
      <w:r>
        <w:rPr>
          <w:rFonts w:ascii="Times New Roman" w:hAnsi="Times New Roman"/>
          <w:color w:val="000000" w:themeColor="text1"/>
        </w:rPr>
        <w:t>随机数一般可使用随机数表等方法产生。</w:t>
      </w:r>
    </w:p>
    <w:p>
      <w:pPr>
        <w:adjustRightInd w:val="0"/>
        <w:snapToGrid w:val="0"/>
        <w:spacing w:line="440" w:lineRule="exact"/>
        <w:ind w:firstLine="420" w:firstLineChars="200"/>
        <w:rPr>
          <w:rFonts w:hint="eastAsia"/>
          <w:color w:val="000000" w:themeColor="text1"/>
        </w:rPr>
      </w:pPr>
      <w:r>
        <w:rPr>
          <w:rFonts w:hint="eastAsia"/>
          <w:color w:val="000000" w:themeColor="text1"/>
        </w:rPr>
        <w:t>随机每批次产品抽取</w:t>
      </w:r>
      <w:bookmarkStart w:id="0" w:name="_GoBack"/>
      <w:bookmarkEnd w:id="0"/>
      <w:r>
        <w:rPr>
          <w:rFonts w:hint="eastAsia"/>
          <w:color w:val="000000" w:themeColor="text1"/>
        </w:rPr>
        <w:t>电动自行车乘员头盔产品4顶，其中2顶为检验样品，2顶为备用样品。</w:t>
      </w:r>
    </w:p>
    <w:p>
      <w:pPr>
        <w:adjustRightInd w:val="0"/>
        <w:snapToGrid w:val="0"/>
        <w:spacing w:line="440" w:lineRule="exact"/>
        <w:ind w:firstLine="420" w:firstLineChars="200"/>
        <w:rPr>
          <w:color w:val="000000" w:themeColor="text1"/>
        </w:rPr>
      </w:pPr>
    </w:p>
    <w:p>
      <w:pPr>
        <w:adjustRightInd w:val="0"/>
        <w:snapToGrid w:val="0"/>
        <w:spacing w:line="440" w:lineRule="exact"/>
        <w:rPr>
          <w:rFonts w:ascii="Times New Roman" w:hAnsi="Times New Roman" w:eastAsia="黑体" w:cs="Times New Roman"/>
          <w:color w:val="000000" w:themeColor="text1"/>
        </w:rPr>
      </w:pPr>
      <w:r>
        <w:rPr>
          <w:rFonts w:ascii="Times New Roman" w:hAnsi="Times New Roman" w:cs="Times New Roman"/>
          <w:color w:val="000000" w:themeColor="text1"/>
        </w:rPr>
        <w:t xml:space="preserve">2 </w:t>
      </w:r>
      <w:r>
        <w:rPr>
          <w:rFonts w:ascii="Times New Roman" w:hAnsi="Times New Roman" w:eastAsia="黑体" w:cs="Times New Roman"/>
          <w:color w:val="000000" w:themeColor="text1"/>
        </w:rPr>
        <w:t>检验依据</w:t>
      </w:r>
    </w:p>
    <w:p>
      <w:pPr>
        <w:adjustRightInd w:val="0"/>
        <w:snapToGrid w:val="0"/>
        <w:jc w:val="center"/>
        <w:rPr>
          <w:rFonts w:ascii="Times New Roman" w:hAnsi="Times New Roman" w:cs="Times New Roman"/>
          <w:color w:val="000000" w:themeColor="text1"/>
        </w:rPr>
      </w:pPr>
      <w:r>
        <w:rPr>
          <w:rFonts w:hint="eastAsia" w:ascii="Times New Roman" w:hAnsi="Times New Roman" w:cs="Times New Roman"/>
          <w:color w:val="000000" w:themeColor="text1"/>
        </w:rPr>
        <w:t>表1</w:t>
      </w:r>
      <w:r>
        <w:rPr>
          <w:rFonts w:ascii="Times New Roman" w:hAnsi="Times New Roman" w:cs="Times New Roman"/>
          <w:color w:val="000000" w:themeColor="text1"/>
        </w:rPr>
        <w:t>检验项目表</w:t>
      </w:r>
      <w:r>
        <w:rPr>
          <w:rFonts w:hint="eastAsia" w:ascii="Times New Roman" w:hAnsi="Times New Roman" w:cs="Times New Roman"/>
          <w:color w:val="000000" w:themeColor="text1"/>
        </w:rPr>
        <w:t>（明示执行标准为</w:t>
      </w:r>
      <w:r>
        <w:rPr>
          <w:rFonts w:ascii="Times New Roman" w:hAnsi="Times New Roman" w:cs="Times New Roman"/>
          <w:color w:val="000000" w:themeColor="text1"/>
        </w:rPr>
        <w:t>GB</w:t>
      </w:r>
      <w:r>
        <w:rPr>
          <w:rFonts w:hint="eastAsia" w:ascii="Times New Roman" w:hAnsi="Times New Roman" w:cs="Times New Roman"/>
          <w:color w:val="000000" w:themeColor="text1"/>
        </w:rPr>
        <w:t xml:space="preserve"> 811-2022）</w:t>
      </w:r>
    </w:p>
    <w:tbl>
      <w:tblPr>
        <w:tblStyle w:val="22"/>
        <w:tblW w:w="45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2087"/>
        <w:gridCol w:w="3206"/>
        <w:gridCol w:w="2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blHeader/>
          <w:jc w:val="center"/>
        </w:trPr>
        <w:tc>
          <w:tcPr>
            <w:tcW w:w="491" w:type="pct"/>
            <w:vAlign w:val="center"/>
          </w:tcPr>
          <w:p>
            <w:pPr>
              <w:snapToGrid w:val="0"/>
              <w:jc w:val="center"/>
              <w:rPr>
                <w:rFonts w:ascii="宋体" w:hAnsi="宋体"/>
                <w:color w:val="000000" w:themeColor="text1"/>
              </w:rPr>
            </w:pPr>
            <w:r>
              <w:rPr>
                <w:rFonts w:ascii="宋体" w:hAnsi="宋体"/>
                <w:color w:val="000000" w:themeColor="text1"/>
              </w:rPr>
              <w:t>序号</w:t>
            </w:r>
          </w:p>
        </w:tc>
        <w:tc>
          <w:tcPr>
            <w:tcW w:w="1247" w:type="pct"/>
            <w:vAlign w:val="center"/>
          </w:tcPr>
          <w:p>
            <w:pPr>
              <w:snapToGrid w:val="0"/>
              <w:jc w:val="center"/>
              <w:rPr>
                <w:rFonts w:ascii="宋体" w:hAnsi="宋体"/>
                <w:color w:val="000000" w:themeColor="text1"/>
              </w:rPr>
            </w:pPr>
            <w:r>
              <w:rPr>
                <w:rFonts w:ascii="宋体" w:hAnsi="宋体"/>
                <w:color w:val="000000" w:themeColor="text1"/>
              </w:rPr>
              <w:t>检验项目</w:t>
            </w:r>
          </w:p>
        </w:tc>
        <w:tc>
          <w:tcPr>
            <w:tcW w:w="1916" w:type="pct"/>
            <w:vAlign w:val="center"/>
          </w:tcPr>
          <w:p>
            <w:pPr>
              <w:snapToGrid w:val="0"/>
              <w:jc w:val="center"/>
              <w:rPr>
                <w:rFonts w:ascii="宋体" w:hAnsi="宋体"/>
                <w:color w:val="000000" w:themeColor="text1"/>
              </w:rPr>
            </w:pPr>
            <w:r>
              <w:rPr>
                <w:rFonts w:hint="eastAsia" w:ascii="宋体" w:hAnsi="宋体"/>
                <w:color w:val="000000" w:themeColor="text1"/>
              </w:rPr>
              <w:t>检验依据</w:t>
            </w:r>
          </w:p>
        </w:tc>
        <w:tc>
          <w:tcPr>
            <w:tcW w:w="1346" w:type="pct"/>
            <w:vAlign w:val="center"/>
          </w:tcPr>
          <w:p>
            <w:pPr>
              <w:snapToGrid w:val="0"/>
              <w:jc w:val="center"/>
              <w:rPr>
                <w:rFonts w:ascii="宋体" w:hAnsi="宋体"/>
                <w:color w:val="000000" w:themeColor="text1"/>
              </w:rPr>
            </w:pPr>
            <w:r>
              <w:rPr>
                <w:rFonts w:ascii="宋体" w:hAnsi="宋体"/>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pStyle w:val="13"/>
              <w:adjustRightInd w:val="0"/>
              <w:snapToGrid w:val="0"/>
              <w:jc w:val="center"/>
              <w:rPr>
                <w:rFonts w:hAnsi="宋体" w:cs="黑体"/>
                <w:color w:val="000000" w:themeColor="text1"/>
              </w:rPr>
            </w:pPr>
            <w:r>
              <w:rPr>
                <w:rFonts w:hAnsi="宋体" w:cs="宋体"/>
                <w:color w:val="000000" w:themeColor="text1"/>
                <w:kern w:val="0"/>
              </w:rPr>
              <w:t>规格</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4.2</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pStyle w:val="13"/>
              <w:adjustRightInd w:val="0"/>
              <w:snapToGrid w:val="0"/>
              <w:jc w:val="center"/>
              <w:rPr>
                <w:rFonts w:hAnsi="宋体" w:cs="黑体"/>
                <w:color w:val="000000" w:themeColor="text1"/>
              </w:rPr>
            </w:pPr>
            <w:r>
              <w:rPr>
                <w:rFonts w:hAnsi="宋体" w:cs="宋体"/>
                <w:color w:val="000000" w:themeColor="text1"/>
                <w:kern w:val="0"/>
              </w:rPr>
              <w:t>结构</w:t>
            </w:r>
            <w:r>
              <w:rPr>
                <w:rFonts w:hAnsi="宋体" w:cs="宋体"/>
                <w:b/>
                <w:color w:val="000000" w:themeColor="text1"/>
                <w:kern w:val="0"/>
                <w:vertAlign w:val="superscript"/>
              </w:rPr>
              <w:t>a</w:t>
            </w:r>
          </w:p>
        </w:tc>
        <w:tc>
          <w:tcPr>
            <w:tcW w:w="1916" w:type="pct"/>
            <w:vAlign w:val="center"/>
          </w:tcPr>
          <w:p>
            <w:pPr>
              <w:pStyle w:val="13"/>
              <w:adjustRightInd w:val="0"/>
              <w:snapToGrid w:val="0"/>
              <w:jc w:val="center"/>
              <w:rPr>
                <w:rFonts w:hAnsi="宋体" w:cs="黑体"/>
                <w:color w:val="000000" w:themeColor="text1"/>
              </w:rPr>
            </w:pPr>
            <w:r>
              <w:rPr>
                <w:rFonts w:hint="eastAsia" w:hAnsi="宋体" w:cs="宋体"/>
                <w:color w:val="000000" w:themeColor="text1"/>
                <w:kern w:val="0"/>
              </w:rPr>
              <w:t>GB 811-2022 5.1.1、</w:t>
            </w:r>
            <w:r>
              <w:rPr>
                <w:rFonts w:hAnsi="宋体" w:cs="宋体"/>
                <w:color w:val="000000" w:themeColor="text1"/>
                <w:kern w:val="0"/>
              </w:rPr>
              <w:t>5.1.</w:t>
            </w:r>
            <w:r>
              <w:rPr>
                <w:rFonts w:hint="eastAsia" w:hAnsi="宋体" w:cs="宋体"/>
                <w:color w:val="000000" w:themeColor="text1"/>
                <w:kern w:val="0"/>
              </w:rPr>
              <w:t>2.2.d）</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pStyle w:val="13"/>
              <w:adjustRightInd w:val="0"/>
              <w:snapToGrid w:val="0"/>
              <w:jc w:val="center"/>
              <w:rPr>
                <w:rFonts w:hAnsi="宋体" w:cs="黑体"/>
                <w:color w:val="000000" w:themeColor="text1"/>
              </w:rPr>
            </w:pPr>
            <w:r>
              <w:rPr>
                <w:rFonts w:hAnsi="宋体" w:cs="宋体"/>
                <w:color w:val="000000" w:themeColor="text1"/>
                <w:kern w:val="0"/>
              </w:rPr>
              <w:t>保护区</w:t>
            </w:r>
          </w:p>
        </w:tc>
        <w:tc>
          <w:tcPr>
            <w:tcW w:w="1916" w:type="pct"/>
            <w:vAlign w:val="center"/>
          </w:tcPr>
          <w:p>
            <w:pPr>
              <w:pStyle w:val="13"/>
              <w:adjustRightInd w:val="0"/>
              <w:snapToGrid w:val="0"/>
              <w:jc w:val="center"/>
              <w:rPr>
                <w:rFonts w:hAnsi="宋体" w:cs="黑体"/>
                <w:color w:val="000000" w:themeColor="text1"/>
              </w:rPr>
            </w:pPr>
            <w:r>
              <w:rPr>
                <w:rFonts w:hint="eastAsia" w:hAnsi="宋体" w:cs="宋体"/>
                <w:color w:val="000000" w:themeColor="text1"/>
                <w:kern w:val="0"/>
              </w:rPr>
              <w:t>GB 811-2022 5.2</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adjustRightInd w:val="0"/>
              <w:snapToGrid w:val="0"/>
              <w:jc w:val="center"/>
              <w:rPr>
                <w:rFonts w:ascii="宋体" w:hAnsi="宋体" w:cs="宋体"/>
                <w:color w:val="000000" w:themeColor="text1"/>
                <w:kern w:val="0"/>
              </w:rPr>
            </w:pPr>
            <w:r>
              <w:rPr>
                <w:rFonts w:hint="eastAsia" w:ascii="宋体" w:hAnsi="宋体" w:cs="宋体"/>
                <w:color w:val="000000" w:themeColor="text1"/>
                <w:kern w:val="0"/>
              </w:rPr>
              <w:t>质量</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5.3</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adjustRightInd w:val="0"/>
              <w:snapToGrid w:val="0"/>
              <w:jc w:val="center"/>
              <w:rPr>
                <w:rFonts w:ascii="宋体" w:hAnsi="宋体" w:cs="宋体"/>
                <w:color w:val="000000" w:themeColor="text1"/>
                <w:kern w:val="0"/>
              </w:rPr>
            </w:pPr>
            <w:r>
              <w:rPr>
                <w:rFonts w:hint="eastAsia" w:ascii="宋体" w:hAnsi="宋体" w:cs="宋体"/>
                <w:color w:val="000000" w:themeColor="text1"/>
                <w:kern w:val="0"/>
              </w:rPr>
              <w:t>视野</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5.4.1</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adjustRightInd w:val="0"/>
              <w:snapToGrid w:val="0"/>
              <w:jc w:val="center"/>
              <w:rPr>
                <w:rFonts w:ascii="宋体" w:hAnsi="宋体" w:cs="宋体"/>
                <w:color w:val="000000" w:themeColor="text1"/>
                <w:kern w:val="0"/>
              </w:rPr>
            </w:pPr>
            <w:r>
              <w:rPr>
                <w:rFonts w:hint="eastAsia" w:ascii="宋体" w:hAnsi="宋体" w:cs="宋体"/>
                <w:color w:val="000000" w:themeColor="text1"/>
                <w:kern w:val="0"/>
              </w:rPr>
              <w:t>护目镜</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5.4.2</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adjustRightInd w:val="0"/>
              <w:snapToGrid w:val="0"/>
              <w:jc w:val="center"/>
              <w:rPr>
                <w:rFonts w:ascii="宋体" w:hAnsi="宋体" w:cs="宋体"/>
                <w:color w:val="000000" w:themeColor="text1"/>
                <w:kern w:val="0"/>
              </w:rPr>
            </w:pPr>
            <w:r>
              <w:rPr>
                <w:rFonts w:ascii="宋体" w:hAnsi="宋体" w:cs="宋体"/>
                <w:color w:val="000000" w:themeColor="text1"/>
                <w:kern w:val="0"/>
              </w:rPr>
              <w:t>表面凸起结构的剪切力</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5.4.3</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adjustRightInd w:val="0"/>
              <w:snapToGrid w:val="0"/>
              <w:jc w:val="center"/>
              <w:rPr>
                <w:rFonts w:ascii="宋体" w:hAnsi="宋体" w:cs="宋体"/>
                <w:color w:val="000000" w:themeColor="text1"/>
                <w:kern w:val="0"/>
              </w:rPr>
            </w:pPr>
            <w:r>
              <w:rPr>
                <w:rFonts w:ascii="宋体" w:hAnsi="宋体" w:cs="宋体"/>
                <w:color w:val="000000" w:themeColor="text1"/>
                <w:kern w:val="0"/>
              </w:rPr>
              <w:t>表面摩擦力</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5.4.4</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adjustRightInd w:val="0"/>
              <w:snapToGrid w:val="0"/>
              <w:jc w:val="center"/>
              <w:rPr>
                <w:rFonts w:ascii="宋体" w:hAnsi="宋体" w:cs="宋体"/>
                <w:color w:val="000000" w:themeColor="text1"/>
                <w:kern w:val="0"/>
              </w:rPr>
            </w:pPr>
            <w:r>
              <w:rPr>
                <w:rFonts w:ascii="宋体" w:hAnsi="宋体" w:cs="宋体"/>
                <w:color w:val="000000" w:themeColor="text1"/>
                <w:kern w:val="0"/>
              </w:rPr>
              <w:t>固定装置稳定性</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5.4.6</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adjustRightInd w:val="0"/>
              <w:snapToGrid w:val="0"/>
              <w:jc w:val="center"/>
              <w:rPr>
                <w:rFonts w:ascii="宋体" w:hAnsi="宋体" w:cs="宋体"/>
                <w:color w:val="000000" w:themeColor="text1"/>
                <w:kern w:val="0"/>
              </w:rPr>
            </w:pPr>
            <w:r>
              <w:rPr>
                <w:rFonts w:ascii="宋体" w:hAnsi="宋体" w:cs="宋体"/>
                <w:color w:val="000000" w:themeColor="text1"/>
                <w:kern w:val="0"/>
              </w:rPr>
              <w:t>佩戴装置强度</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5.4.7</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adjustRightInd w:val="0"/>
              <w:snapToGrid w:val="0"/>
              <w:jc w:val="center"/>
              <w:rPr>
                <w:rFonts w:ascii="宋体" w:hAnsi="宋体" w:cs="宋体"/>
                <w:color w:val="000000" w:themeColor="text1"/>
                <w:kern w:val="0"/>
              </w:rPr>
            </w:pPr>
            <w:r>
              <w:rPr>
                <w:rFonts w:hint="eastAsia" w:ascii="宋体" w:hAnsi="宋体" w:cs="宋体"/>
                <w:color w:val="000000" w:themeColor="text1"/>
                <w:kern w:val="0"/>
              </w:rPr>
              <w:t>吸收碰撞能量</w:t>
            </w:r>
            <w:r>
              <w:rPr>
                <w:rFonts w:hint="eastAsia" w:ascii="宋体" w:hAnsi="宋体" w:cs="宋体"/>
                <w:b/>
                <w:color w:val="000000" w:themeColor="text1"/>
                <w:kern w:val="0"/>
                <w:vertAlign w:val="superscript"/>
              </w:rPr>
              <w:t>b</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5.4.8</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8"/>
              <w:numPr>
                <w:ilvl w:val="0"/>
                <w:numId w:val="4"/>
              </w:numPr>
              <w:autoSpaceDE w:val="0"/>
              <w:snapToGrid w:val="0"/>
              <w:jc w:val="center"/>
              <w:rPr>
                <w:rFonts w:ascii="宋体" w:hAnsi="宋体"/>
                <w:color w:val="000000" w:themeColor="text1"/>
              </w:rPr>
            </w:pPr>
          </w:p>
        </w:tc>
        <w:tc>
          <w:tcPr>
            <w:tcW w:w="1247" w:type="pct"/>
            <w:vAlign w:val="center"/>
          </w:tcPr>
          <w:p>
            <w:pPr>
              <w:adjustRightInd w:val="0"/>
              <w:snapToGrid w:val="0"/>
              <w:jc w:val="center"/>
              <w:rPr>
                <w:rFonts w:ascii="宋体" w:hAnsi="宋体" w:cs="宋体"/>
                <w:color w:val="000000" w:themeColor="text1"/>
                <w:kern w:val="0"/>
              </w:rPr>
            </w:pPr>
            <w:r>
              <w:rPr>
                <w:rFonts w:hint="eastAsia" w:ascii="宋体" w:hAnsi="宋体" w:cs="宋体"/>
                <w:color w:val="000000" w:themeColor="text1"/>
                <w:kern w:val="0"/>
              </w:rPr>
              <w:t>标识</w:t>
            </w:r>
            <w:r>
              <w:rPr>
                <w:rFonts w:hint="eastAsia" w:ascii="宋体" w:hAnsi="宋体" w:cs="宋体"/>
                <w:b/>
                <w:color w:val="000000" w:themeColor="text1"/>
                <w:kern w:val="0"/>
                <w:vertAlign w:val="superscript"/>
              </w:rPr>
              <w:t>c</w:t>
            </w:r>
          </w:p>
        </w:tc>
        <w:tc>
          <w:tcPr>
            <w:tcW w:w="1916" w:type="pct"/>
            <w:vAlign w:val="center"/>
          </w:tcPr>
          <w:p>
            <w:pPr>
              <w:snapToGrid w:val="0"/>
              <w:jc w:val="center"/>
              <w:rPr>
                <w:rFonts w:ascii="宋体" w:hAnsi="宋体" w:cs="宋体"/>
                <w:color w:val="000000" w:themeColor="text1"/>
                <w:kern w:val="0"/>
              </w:rPr>
            </w:pPr>
            <w:r>
              <w:rPr>
                <w:rFonts w:hint="eastAsia" w:ascii="宋体" w:hAnsi="宋体" w:cs="宋体"/>
                <w:color w:val="000000" w:themeColor="text1"/>
                <w:kern w:val="0"/>
              </w:rPr>
              <w:t>GB 811-2022 8.1.2（C.1.1.1、C.1.1.3、C.1.2）</w:t>
            </w:r>
          </w:p>
        </w:tc>
        <w:tc>
          <w:tcPr>
            <w:tcW w:w="1346" w:type="pct"/>
            <w:vAlign w:val="center"/>
          </w:tcPr>
          <w:p>
            <w:pPr>
              <w:jc w:val="center"/>
              <w:rPr>
                <w:rFonts w:ascii="宋体" w:hAnsi="宋体"/>
                <w:color w:val="000000" w:themeColor="text1"/>
              </w:rPr>
            </w:pPr>
            <w:r>
              <w:rPr>
                <w:rFonts w:hint="eastAsia" w:ascii="宋体" w:hAnsi="宋体" w:cs="宋体"/>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vAlign w:val="center"/>
          </w:tcPr>
          <w:p>
            <w:pPr>
              <w:snapToGrid w:val="0"/>
              <w:spacing w:line="240" w:lineRule="atLeast"/>
              <w:ind w:left="525" w:hanging="525" w:hangingChars="250"/>
              <w:jc w:val="left"/>
              <w:rPr>
                <w:rFonts w:ascii="宋体" w:hAnsi="宋体" w:cs="宋体"/>
                <w:color w:val="000000" w:themeColor="text1"/>
                <w:kern w:val="0"/>
              </w:rPr>
            </w:pPr>
            <w:r>
              <w:rPr>
                <w:rFonts w:hint="eastAsia" w:ascii="宋体" w:hAnsi="宋体" w:cs="宋体"/>
                <w:color w:val="000000" w:themeColor="text1"/>
                <w:kern w:val="0"/>
              </w:rPr>
              <w:t>注：a结构项目只测5.1.1结构组成、</w:t>
            </w:r>
            <w:r>
              <w:rPr>
                <w:rFonts w:ascii="宋体" w:hAnsi="宋体" w:cs="宋体"/>
                <w:color w:val="000000" w:themeColor="text1"/>
                <w:kern w:val="0"/>
              </w:rPr>
              <w:t>5.1.</w:t>
            </w:r>
            <w:r>
              <w:rPr>
                <w:rFonts w:hint="eastAsia" w:ascii="宋体" w:hAnsi="宋体" w:cs="宋体"/>
                <w:color w:val="000000" w:themeColor="text1"/>
                <w:kern w:val="0"/>
              </w:rPr>
              <w:t>2.2.d）中外表面有总面积不小于3200mm²的反光材料。</w:t>
            </w:r>
          </w:p>
          <w:p>
            <w:pPr>
              <w:snapToGrid w:val="0"/>
              <w:spacing w:line="240" w:lineRule="atLeast"/>
              <w:ind w:left="630" w:leftChars="200" w:hanging="210" w:hangingChars="100"/>
              <w:jc w:val="left"/>
              <w:rPr>
                <w:rFonts w:ascii="宋体" w:hAnsi="宋体" w:cs="宋体"/>
                <w:color w:val="000000" w:themeColor="text1"/>
                <w:kern w:val="0"/>
              </w:rPr>
            </w:pPr>
            <w:r>
              <w:rPr>
                <w:rFonts w:hint="eastAsia" w:ascii="宋体" w:hAnsi="宋体" w:cs="宋体"/>
                <w:color w:val="000000" w:themeColor="text1"/>
                <w:kern w:val="0"/>
              </w:rPr>
              <w:t>b</w:t>
            </w:r>
            <w:r>
              <w:rPr>
                <w:rFonts w:ascii="宋体" w:hAnsi="宋体" w:cs="宋体"/>
                <w:color w:val="000000" w:themeColor="text1"/>
                <w:kern w:val="0"/>
              </w:rPr>
              <w:t>环境前处理采用低温</w:t>
            </w:r>
            <w:r>
              <w:rPr>
                <w:rFonts w:hint="eastAsia" w:ascii="宋体" w:hAnsi="宋体" w:cs="宋体"/>
                <w:color w:val="000000" w:themeColor="text1"/>
                <w:kern w:val="0"/>
              </w:rPr>
              <w:t>。</w:t>
            </w:r>
          </w:p>
          <w:p>
            <w:pPr>
              <w:snapToGrid w:val="0"/>
              <w:spacing w:line="240" w:lineRule="atLeast"/>
              <w:ind w:left="630" w:leftChars="200" w:hanging="210" w:hangingChars="100"/>
              <w:jc w:val="left"/>
              <w:rPr>
                <w:rFonts w:ascii="宋体" w:hAnsi="宋体" w:cs="宋体"/>
                <w:color w:val="000000" w:themeColor="text1"/>
                <w:kern w:val="0"/>
              </w:rPr>
            </w:pPr>
            <w:r>
              <w:rPr>
                <w:rFonts w:hint="eastAsia" w:ascii="宋体" w:hAnsi="宋体" w:cs="宋体"/>
                <w:color w:val="000000" w:themeColor="text1"/>
                <w:kern w:val="0"/>
              </w:rPr>
              <w:t>c只测附录C.1.1.1中的形状、外边缘黑框线、C.1.1.3位置和C.1.2颜色</w:t>
            </w:r>
            <w:r>
              <w:rPr>
                <w:rFonts w:hint="eastAsia" w:ascii="宋体" w:hAnsi="宋体"/>
                <w:color w:val="000000" w:themeColor="text1"/>
              </w:rPr>
              <w:t>。</w:t>
            </w:r>
          </w:p>
        </w:tc>
      </w:tr>
    </w:tbl>
    <w:p>
      <w:pPr>
        <w:widowControl/>
        <w:adjustRightInd w:val="0"/>
        <w:snapToGrid w:val="0"/>
        <w:spacing w:line="440" w:lineRule="exact"/>
        <w:ind w:firstLine="420" w:firstLineChars="200"/>
        <w:rPr>
          <w:rFonts w:ascii="Times New Roman" w:hAnsi="Times New Roman"/>
          <w:color w:val="000000" w:themeColor="text1"/>
        </w:rPr>
      </w:pPr>
      <w:r>
        <w:rPr>
          <w:rFonts w:hint="eastAsia" w:ascii="Times New Roman" w:hAnsi="Times New Roman"/>
          <w:color w:val="000000" w:themeColor="text1"/>
        </w:rPr>
        <w:t>注：检验过程中如出现样品损坏导致顺序试验中后续的检验项目不能继续进行的，终止该样品的后续检验项目的检验。样品未明示产品种类的，按照GB 811-2022 B类盔要求进行试验</w:t>
      </w:r>
    </w:p>
    <w:p>
      <w:pPr>
        <w:rPr>
          <w:color w:val="000000" w:themeColor="text1"/>
        </w:rPr>
      </w:pPr>
    </w:p>
    <w:p>
      <w:pPr>
        <w:widowControl/>
        <w:adjustRightInd w:val="0"/>
        <w:snapToGrid w:val="0"/>
        <w:spacing w:line="440" w:lineRule="exact"/>
        <w:ind w:firstLine="420" w:firstLineChars="200"/>
        <w:rPr>
          <w:rFonts w:ascii="Times New Roman" w:hAnsi="Times New Roman"/>
          <w:color w:val="000000" w:themeColor="text1"/>
        </w:rPr>
      </w:pPr>
      <w:r>
        <w:rPr>
          <w:rFonts w:ascii="Times New Roman" w:hAnsi="Times New Roman"/>
          <w:color w:val="000000" w:themeColor="text1"/>
        </w:rPr>
        <w:t>执行企业标准、团体标准、地方标准的产品，检验项目参照上述内容执行。</w:t>
      </w:r>
    </w:p>
    <w:p>
      <w:pPr>
        <w:snapToGrid w:val="0"/>
        <w:spacing w:line="440" w:lineRule="exact"/>
        <w:ind w:firstLine="359" w:firstLineChars="171"/>
        <w:rPr>
          <w:color w:val="000000" w:themeColor="text1"/>
        </w:rPr>
      </w:pPr>
      <w:r>
        <w:rPr>
          <w:rFonts w:ascii="Times New Roman" w:hAnsi="Times New Roman"/>
          <w:color w:val="000000" w:themeColor="text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color w:val="000000" w:themeColor="text1"/>
        </w:rPr>
      </w:pPr>
      <w:r>
        <w:rPr>
          <w:rFonts w:hint="eastAsia"/>
          <w:color w:val="000000" w:themeColor="text1"/>
        </w:rPr>
        <w:t>复检时所检测的样品为备用样品。</w:t>
      </w:r>
    </w:p>
    <w:p>
      <w:pPr>
        <w:rPr>
          <w:color w:val="000000" w:themeColor="text1"/>
        </w:rPr>
      </w:pPr>
    </w:p>
    <w:p>
      <w:pPr>
        <w:adjustRightInd w:val="0"/>
        <w:snapToGrid w:val="0"/>
        <w:spacing w:line="440" w:lineRule="exact"/>
        <w:outlineLvl w:val="1"/>
        <w:rPr>
          <w:rFonts w:eastAsia="黑体" w:cs="黑体"/>
          <w:color w:val="000000" w:themeColor="text1"/>
        </w:rPr>
      </w:pPr>
      <w:r>
        <w:rPr>
          <w:rFonts w:hint="eastAsia" w:eastAsia="黑体" w:cs="黑体"/>
          <w:color w:val="000000" w:themeColor="text1"/>
        </w:rPr>
        <w:t>3 判定规则</w:t>
      </w:r>
    </w:p>
    <w:p>
      <w:pPr>
        <w:adjustRightInd w:val="0"/>
        <w:snapToGrid w:val="0"/>
        <w:spacing w:line="440" w:lineRule="exact"/>
        <w:jc w:val="left"/>
        <w:rPr>
          <w:rFonts w:ascii="Times New Roman" w:hAnsi="宋体" w:cs="Times New Roman"/>
          <w:color w:val="000000" w:themeColor="text1"/>
        </w:rPr>
      </w:pPr>
      <w:r>
        <w:rPr>
          <w:rFonts w:hint="eastAsia" w:ascii="Times New Roman" w:hAnsi="宋体" w:cs="Times New Roman"/>
          <w:color w:val="000000" w:themeColor="text1"/>
        </w:rPr>
        <w:t>3.1依据标准</w:t>
      </w:r>
    </w:p>
    <w:p>
      <w:pPr>
        <w:adjustRightInd w:val="0"/>
        <w:snapToGrid w:val="0"/>
        <w:spacing w:line="440" w:lineRule="exact"/>
        <w:ind w:firstLine="420" w:firstLineChars="200"/>
        <w:rPr>
          <w:color w:val="000000" w:themeColor="text1"/>
        </w:rPr>
      </w:pPr>
      <w:r>
        <w:rPr>
          <w:color w:val="000000" w:themeColor="text1"/>
        </w:rPr>
        <w:t xml:space="preserve">GB </w:t>
      </w:r>
      <w:r>
        <w:rPr>
          <w:rFonts w:hint="eastAsia"/>
          <w:color w:val="000000" w:themeColor="text1"/>
        </w:rPr>
        <w:t>811</w:t>
      </w:r>
      <w:r>
        <w:rPr>
          <w:rFonts w:hint="eastAsia" w:ascii="仿宋" w:hAnsi="仿宋" w:eastAsia="仿宋" w:cs="宋体"/>
          <w:color w:val="000000" w:themeColor="text1"/>
          <w:kern w:val="0"/>
          <w:sz w:val="24"/>
          <w:szCs w:val="24"/>
        </w:rPr>
        <w:t>-</w:t>
      </w:r>
      <w:r>
        <w:rPr>
          <w:color w:val="000000" w:themeColor="text1"/>
        </w:rPr>
        <w:t>20</w:t>
      </w:r>
      <w:r>
        <w:rPr>
          <w:rFonts w:hint="eastAsia"/>
          <w:color w:val="000000" w:themeColor="text1"/>
        </w:rPr>
        <w:t>22摩托车、电动自行车乘员头盔</w:t>
      </w:r>
    </w:p>
    <w:p>
      <w:pPr>
        <w:adjustRightInd w:val="0"/>
        <w:snapToGrid w:val="0"/>
        <w:spacing w:line="440" w:lineRule="exact"/>
        <w:ind w:firstLine="420" w:firstLineChars="200"/>
        <w:rPr>
          <w:color w:val="000000" w:themeColor="text1"/>
        </w:rPr>
      </w:pPr>
      <w:r>
        <w:rPr>
          <w:color w:val="000000" w:themeColor="text1"/>
        </w:rPr>
        <w:t>现行有效的企业标准、团体标准、地方标准及产品明示质量要求</w:t>
      </w:r>
    </w:p>
    <w:p>
      <w:pPr>
        <w:adjustRightInd w:val="0"/>
        <w:snapToGrid w:val="0"/>
        <w:spacing w:line="440" w:lineRule="exact"/>
        <w:jc w:val="left"/>
        <w:rPr>
          <w:rFonts w:hAnsi="宋体"/>
          <w:color w:val="000000" w:themeColor="text1"/>
        </w:rPr>
      </w:pPr>
      <w:r>
        <w:rPr>
          <w:rFonts w:hint="eastAsia" w:hAnsi="宋体"/>
          <w:color w:val="000000" w:themeColor="text1"/>
        </w:rPr>
        <w:t>3.2判定原则</w:t>
      </w:r>
    </w:p>
    <w:p>
      <w:pPr>
        <w:adjustRightInd w:val="0"/>
        <w:snapToGrid w:val="0"/>
        <w:spacing w:line="440" w:lineRule="exact"/>
        <w:ind w:firstLine="420" w:firstLineChars="200"/>
        <w:rPr>
          <w:color w:val="000000" w:themeColor="text1"/>
        </w:rPr>
      </w:pPr>
      <w:r>
        <w:rPr>
          <w:rFonts w:hint="eastAsia"/>
          <w:color w:val="000000" w:themeColor="text1"/>
        </w:rPr>
        <w:t>若被检产品明示的质量要求高于本细则中检验项目依据的标准要求时，应按被检产品明示的质量要求判定。</w:t>
      </w:r>
    </w:p>
    <w:p>
      <w:pPr>
        <w:adjustRightInd w:val="0"/>
        <w:snapToGrid w:val="0"/>
        <w:spacing w:line="440" w:lineRule="exact"/>
        <w:ind w:firstLine="420" w:firstLineChars="200"/>
        <w:rPr>
          <w:color w:val="000000" w:themeColor="text1"/>
        </w:rPr>
      </w:pPr>
      <w:r>
        <w:rPr>
          <w:rFonts w:hint="eastAsia"/>
          <w:color w:val="000000" w:themeColor="text1"/>
        </w:rPr>
        <w:t>若被检产品明示的质量要求低于本细则中检验项目依据的强制性标准要求时，应按照强制性标准要求判定。</w:t>
      </w:r>
    </w:p>
    <w:p>
      <w:pPr>
        <w:adjustRightInd w:val="0"/>
        <w:snapToGrid w:val="0"/>
        <w:spacing w:line="440" w:lineRule="exact"/>
        <w:ind w:firstLine="420" w:firstLineChars="200"/>
        <w:rPr>
          <w:color w:val="000000" w:themeColor="text1"/>
        </w:rPr>
      </w:pPr>
      <w:r>
        <w:rPr>
          <w:rFonts w:hint="eastAsia"/>
          <w:color w:val="000000" w:themeColor="text1"/>
        </w:rPr>
        <w:t>若被检产品明示的质量要求低于或包含本细则中检验项目依据的推荐性标准要求时，应以被检产品明示的质量要求判定。但应在检验报告中注明该项目的实测值以及推荐性标准的标准值。</w:t>
      </w:r>
    </w:p>
    <w:p>
      <w:pPr>
        <w:adjustRightInd w:val="0"/>
        <w:snapToGrid w:val="0"/>
        <w:spacing w:line="440" w:lineRule="exact"/>
        <w:ind w:firstLine="420" w:firstLineChars="200"/>
        <w:rPr>
          <w:color w:val="000000" w:themeColor="text1"/>
        </w:rPr>
      </w:pPr>
      <w:r>
        <w:rPr>
          <w:rFonts w:hint="eastAsia"/>
          <w:color w:val="000000" w:themeColor="text1"/>
        </w:rPr>
        <w:t>若被检产品明示的质量要求缺少本细则中检验项目依据的强制性标准要求时，应按照强制性标准要求判定。</w:t>
      </w:r>
    </w:p>
    <w:p>
      <w:pPr>
        <w:adjustRightInd w:val="0"/>
        <w:snapToGrid w:val="0"/>
        <w:spacing w:line="440" w:lineRule="exact"/>
        <w:ind w:firstLine="420" w:firstLineChars="200"/>
        <w:rPr>
          <w:color w:val="000000" w:themeColor="text1"/>
        </w:rPr>
      </w:pPr>
      <w:r>
        <w:rPr>
          <w:rFonts w:hint="eastAsia"/>
          <w:color w:val="000000" w:themeColor="text1"/>
        </w:rPr>
        <w:t>若被检产品明示的质量要求缺少本细则中检验项目依据的推荐性标准要求时，该项目不参与判定。但应在检验报告中注明该项目的实测值以及推荐性标准的标准值。</w:t>
      </w:r>
    </w:p>
    <w:p>
      <w:pPr>
        <w:adjustRightInd w:val="0"/>
        <w:snapToGrid w:val="0"/>
        <w:spacing w:line="440" w:lineRule="exact"/>
        <w:rPr>
          <w:color w:val="000000" w:themeColor="text1"/>
        </w:rPr>
      </w:pPr>
      <w:r>
        <w:rPr>
          <w:rFonts w:hint="eastAsia"/>
          <w:color w:val="000000" w:themeColor="text1"/>
        </w:rPr>
        <w:t>3</w:t>
      </w:r>
      <w:r>
        <w:rPr>
          <w:color w:val="000000" w:themeColor="text1"/>
        </w:rPr>
        <w:t xml:space="preserve">.3 </w:t>
      </w:r>
      <w:r>
        <w:rPr>
          <w:rFonts w:hint="eastAsia"/>
          <w:color w:val="000000" w:themeColor="text1"/>
        </w:rPr>
        <w:t>综合结论判定</w:t>
      </w:r>
    </w:p>
    <w:p>
      <w:pPr>
        <w:snapToGrid w:val="0"/>
        <w:spacing w:line="440" w:lineRule="exact"/>
        <w:ind w:firstLine="420" w:firstLineChars="200"/>
        <w:rPr>
          <w:color w:val="000000" w:themeColor="text1"/>
        </w:rPr>
      </w:pPr>
      <w:r>
        <w:rPr>
          <w:color w:val="000000" w:themeColor="text1"/>
        </w:rPr>
        <w:t>经检验，检验项目中任一项或一项以上不合格，判定被抽查产品为</w:t>
      </w:r>
      <w:r>
        <w:rPr>
          <w:rFonts w:hint="eastAsia"/>
          <w:color w:val="000000" w:themeColor="text1"/>
        </w:rPr>
        <w:t>“</w:t>
      </w:r>
      <w:r>
        <w:rPr>
          <w:color w:val="000000" w:themeColor="text1"/>
        </w:rPr>
        <w:t>不合格</w:t>
      </w:r>
      <w:r>
        <w:rPr>
          <w:rFonts w:hint="eastAsia"/>
          <w:color w:val="000000" w:themeColor="text1"/>
        </w:rPr>
        <w:t>”；</w:t>
      </w:r>
    </w:p>
    <w:p>
      <w:pPr>
        <w:snapToGrid w:val="0"/>
        <w:spacing w:line="440" w:lineRule="exact"/>
        <w:ind w:firstLine="420" w:firstLineChars="200"/>
        <w:rPr>
          <w:rFonts w:hAnsi="宋体"/>
          <w:color w:val="000000" w:themeColor="text1"/>
        </w:rPr>
      </w:pPr>
      <w:r>
        <w:rPr>
          <w:color w:val="000000" w:themeColor="text1"/>
        </w:rPr>
        <w:t>检验项目全部</w:t>
      </w:r>
      <w:r>
        <w:rPr>
          <w:rFonts w:hint="eastAsia"/>
          <w:color w:val="000000" w:themeColor="text1"/>
        </w:rPr>
        <w:t>符合明示质量要求</w:t>
      </w:r>
      <w:r>
        <w:rPr>
          <w:color w:val="000000" w:themeColor="text1"/>
        </w:rPr>
        <w:t>，</w:t>
      </w:r>
      <w:r>
        <w:rPr>
          <w:rFonts w:hint="eastAsia"/>
          <w:color w:val="000000" w:themeColor="text1"/>
        </w:rPr>
        <w:t>但不符合本细则检验项目依据的推荐性标准，</w:t>
      </w:r>
      <w:r>
        <w:rPr>
          <w:color w:val="000000" w:themeColor="text1"/>
        </w:rPr>
        <w:t>判定被抽查产品</w:t>
      </w:r>
      <w:r>
        <w:rPr>
          <w:rFonts w:hint="eastAsia"/>
          <w:color w:val="000000" w:themeColor="text1"/>
        </w:rPr>
        <w:t>“</w:t>
      </w:r>
      <w:r>
        <w:rPr>
          <w:rFonts w:hint="eastAsia" w:hAnsi="宋体"/>
          <w:color w:val="000000" w:themeColor="text1"/>
        </w:rPr>
        <w:t>所检项目符合企业标准，未达到国家、行业、地方标准规定”；</w:t>
      </w:r>
    </w:p>
    <w:p>
      <w:pPr>
        <w:snapToGrid w:val="0"/>
        <w:spacing w:line="440" w:lineRule="exact"/>
        <w:ind w:firstLine="420" w:firstLineChars="200"/>
        <w:rPr>
          <w:color w:val="000000" w:themeColor="text1"/>
        </w:rPr>
      </w:pPr>
      <w:r>
        <w:rPr>
          <w:color w:val="000000" w:themeColor="text1"/>
        </w:rPr>
        <w:t>检验项目全部</w:t>
      </w:r>
      <w:r>
        <w:rPr>
          <w:rFonts w:hint="eastAsia"/>
          <w:color w:val="000000" w:themeColor="text1"/>
        </w:rPr>
        <w:t>符合明示质量要求</w:t>
      </w:r>
      <w:r>
        <w:rPr>
          <w:color w:val="000000" w:themeColor="text1"/>
        </w:rPr>
        <w:t>，</w:t>
      </w:r>
      <w:r>
        <w:rPr>
          <w:rFonts w:hint="eastAsia"/>
          <w:color w:val="000000" w:themeColor="text1"/>
        </w:rPr>
        <w:t>且符合本细则检验项目依据的推荐性标准，</w:t>
      </w:r>
      <w:r>
        <w:rPr>
          <w:rFonts w:hint="eastAsia" w:hAnsi="宋体"/>
          <w:color w:val="000000" w:themeColor="text1"/>
        </w:rPr>
        <w:t>判定被抽查产品为</w:t>
      </w:r>
      <w:r>
        <w:rPr>
          <w:rFonts w:hint="eastAsia"/>
          <w:color w:val="000000" w:themeColor="text1"/>
        </w:rPr>
        <w:t>“所检项目符合本次监督抽查要求”。</w:t>
      </w:r>
    </w:p>
    <w:sectPr>
      <w:pgSz w:w="11906" w:h="16838"/>
      <w:pgMar w:top="1417" w:right="1417" w:bottom="1417"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D0E09"/>
    <w:multiLevelType w:val="multilevel"/>
    <w:tmpl w:val="20CD0E09"/>
    <w:lvl w:ilvl="0" w:tentative="0">
      <w:start w:val="1"/>
      <w:numFmt w:val="decimal"/>
      <w:pStyle w:val="62"/>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214B6843"/>
    <w:multiLevelType w:val="multilevel"/>
    <w:tmpl w:val="214B6843"/>
    <w:lvl w:ilvl="0" w:tentative="0">
      <w:start w:val="1"/>
      <w:numFmt w:val="decimal"/>
      <w:pStyle w:val="2"/>
      <w:lvlText w:val="%1"/>
      <w:lvlJc w:val="left"/>
      <w:pPr>
        <w:ind w:left="578" w:hanging="578"/>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2">
    <w:nsid w:val="3FD21ABA"/>
    <w:multiLevelType w:val="multilevel"/>
    <w:tmpl w:val="3FD21ABA"/>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3">
    <w:nsid w:val="70D15105"/>
    <w:multiLevelType w:val="multilevel"/>
    <w:tmpl w:val="70D15105"/>
    <w:lvl w:ilvl="0" w:tentative="0">
      <w:start w:val="1"/>
      <w:numFmt w:val="bullet"/>
      <w:pStyle w:val="59"/>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hyphenationZone w:val="425"/>
  <w:characterSpacingControl w:val="doNotCompress"/>
  <w:footnotePr>
    <w:footnote w:id="0"/>
    <w:footnote w:id="1"/>
  </w:footnotePr>
  <w:compat>
    <w:useFELayout/>
    <w:compatSetting w:name="compatibilityMode" w:uri="http://schemas.microsoft.com/office/word" w:val="12"/>
  </w:compat>
  <w:docVars>
    <w:docVar w:name="commondata" w:val="eyJoZGlkIjoiMTcyZDNjMGY0YTFkMGYzOTBjY2EzOWZlOGRkNGQ2NzEifQ=="/>
  </w:docVars>
  <w:rsids>
    <w:rsidRoot w:val="00E778FE"/>
    <w:rsid w:val="0001524D"/>
    <w:rsid w:val="0003311D"/>
    <w:rsid w:val="00051572"/>
    <w:rsid w:val="000551F0"/>
    <w:rsid w:val="000723E1"/>
    <w:rsid w:val="000732FD"/>
    <w:rsid w:val="000A394A"/>
    <w:rsid w:val="000A7B13"/>
    <w:rsid w:val="000B032A"/>
    <w:rsid w:val="000B0FED"/>
    <w:rsid w:val="000B50AA"/>
    <w:rsid w:val="000B5B1E"/>
    <w:rsid w:val="000B5F22"/>
    <w:rsid w:val="000C45DC"/>
    <w:rsid w:val="000E5BAF"/>
    <w:rsid w:val="000F7F91"/>
    <w:rsid w:val="001000FA"/>
    <w:rsid w:val="001130C7"/>
    <w:rsid w:val="001163C2"/>
    <w:rsid w:val="00124F98"/>
    <w:rsid w:val="00155265"/>
    <w:rsid w:val="00164EAB"/>
    <w:rsid w:val="0017011F"/>
    <w:rsid w:val="00175800"/>
    <w:rsid w:val="001B03D9"/>
    <w:rsid w:val="001B189F"/>
    <w:rsid w:val="001B6633"/>
    <w:rsid w:val="001B702B"/>
    <w:rsid w:val="001C685E"/>
    <w:rsid w:val="001D0B06"/>
    <w:rsid w:val="001D49ED"/>
    <w:rsid w:val="001E3D3B"/>
    <w:rsid w:val="00205687"/>
    <w:rsid w:val="00206087"/>
    <w:rsid w:val="00216EC5"/>
    <w:rsid w:val="00221558"/>
    <w:rsid w:val="00223E52"/>
    <w:rsid w:val="00226ED0"/>
    <w:rsid w:val="00233BF0"/>
    <w:rsid w:val="00237DAE"/>
    <w:rsid w:val="00241F99"/>
    <w:rsid w:val="00242237"/>
    <w:rsid w:val="00256A14"/>
    <w:rsid w:val="00274058"/>
    <w:rsid w:val="002874F5"/>
    <w:rsid w:val="00291BE2"/>
    <w:rsid w:val="002C2F8E"/>
    <w:rsid w:val="002D1FDC"/>
    <w:rsid w:val="002D6D5B"/>
    <w:rsid w:val="002E0A86"/>
    <w:rsid w:val="00303C88"/>
    <w:rsid w:val="00307AF3"/>
    <w:rsid w:val="003108BB"/>
    <w:rsid w:val="0032700C"/>
    <w:rsid w:val="0033744B"/>
    <w:rsid w:val="00347880"/>
    <w:rsid w:val="00356A35"/>
    <w:rsid w:val="00382DD3"/>
    <w:rsid w:val="003870CE"/>
    <w:rsid w:val="00390DBD"/>
    <w:rsid w:val="00396417"/>
    <w:rsid w:val="003B35CD"/>
    <w:rsid w:val="003C6824"/>
    <w:rsid w:val="003D383C"/>
    <w:rsid w:val="003E236B"/>
    <w:rsid w:val="003E4636"/>
    <w:rsid w:val="003F1603"/>
    <w:rsid w:val="003F5070"/>
    <w:rsid w:val="004071EA"/>
    <w:rsid w:val="004107E1"/>
    <w:rsid w:val="004131DE"/>
    <w:rsid w:val="00420C93"/>
    <w:rsid w:val="00437072"/>
    <w:rsid w:val="00437399"/>
    <w:rsid w:val="004449B6"/>
    <w:rsid w:val="00491008"/>
    <w:rsid w:val="004A7626"/>
    <w:rsid w:val="004C40AF"/>
    <w:rsid w:val="004D4292"/>
    <w:rsid w:val="004F14A2"/>
    <w:rsid w:val="004F3FE1"/>
    <w:rsid w:val="00500259"/>
    <w:rsid w:val="00520378"/>
    <w:rsid w:val="00523446"/>
    <w:rsid w:val="00544B19"/>
    <w:rsid w:val="005666AB"/>
    <w:rsid w:val="00567FE1"/>
    <w:rsid w:val="00574980"/>
    <w:rsid w:val="0059162E"/>
    <w:rsid w:val="005958A2"/>
    <w:rsid w:val="005958FB"/>
    <w:rsid w:val="005A0FF8"/>
    <w:rsid w:val="005A60A7"/>
    <w:rsid w:val="005B0BB7"/>
    <w:rsid w:val="005C105C"/>
    <w:rsid w:val="005C5B5D"/>
    <w:rsid w:val="005C6756"/>
    <w:rsid w:val="005D50D1"/>
    <w:rsid w:val="005D5706"/>
    <w:rsid w:val="005F067D"/>
    <w:rsid w:val="005F0704"/>
    <w:rsid w:val="00607EA5"/>
    <w:rsid w:val="006319E2"/>
    <w:rsid w:val="00671B99"/>
    <w:rsid w:val="00675BF6"/>
    <w:rsid w:val="00677767"/>
    <w:rsid w:val="006B382B"/>
    <w:rsid w:val="006B5D43"/>
    <w:rsid w:val="006C1A5E"/>
    <w:rsid w:val="006E20EC"/>
    <w:rsid w:val="006F08C7"/>
    <w:rsid w:val="006F0E5A"/>
    <w:rsid w:val="00700C3D"/>
    <w:rsid w:val="0070711A"/>
    <w:rsid w:val="00722DC1"/>
    <w:rsid w:val="00727447"/>
    <w:rsid w:val="00742BA6"/>
    <w:rsid w:val="00753525"/>
    <w:rsid w:val="007608F3"/>
    <w:rsid w:val="00761864"/>
    <w:rsid w:val="0077504F"/>
    <w:rsid w:val="00781BFD"/>
    <w:rsid w:val="00784215"/>
    <w:rsid w:val="00796B72"/>
    <w:rsid w:val="007A2EB1"/>
    <w:rsid w:val="007A5782"/>
    <w:rsid w:val="007B3297"/>
    <w:rsid w:val="007B6F35"/>
    <w:rsid w:val="007D4FB0"/>
    <w:rsid w:val="007D5879"/>
    <w:rsid w:val="007D5C5A"/>
    <w:rsid w:val="007E35A4"/>
    <w:rsid w:val="0080429B"/>
    <w:rsid w:val="0081368A"/>
    <w:rsid w:val="00820DE8"/>
    <w:rsid w:val="0082528E"/>
    <w:rsid w:val="00826401"/>
    <w:rsid w:val="00837F04"/>
    <w:rsid w:val="00863123"/>
    <w:rsid w:val="008722C9"/>
    <w:rsid w:val="008822D1"/>
    <w:rsid w:val="00883640"/>
    <w:rsid w:val="00893EB6"/>
    <w:rsid w:val="008A154B"/>
    <w:rsid w:val="008A4C9E"/>
    <w:rsid w:val="008D0EB8"/>
    <w:rsid w:val="008D1150"/>
    <w:rsid w:val="008E7EF6"/>
    <w:rsid w:val="008F009A"/>
    <w:rsid w:val="009054FC"/>
    <w:rsid w:val="00906082"/>
    <w:rsid w:val="009157DF"/>
    <w:rsid w:val="00917681"/>
    <w:rsid w:val="00934D61"/>
    <w:rsid w:val="00944878"/>
    <w:rsid w:val="00947615"/>
    <w:rsid w:val="009772B3"/>
    <w:rsid w:val="00981971"/>
    <w:rsid w:val="00986573"/>
    <w:rsid w:val="00987E28"/>
    <w:rsid w:val="009A6D8E"/>
    <w:rsid w:val="009A75A5"/>
    <w:rsid w:val="009B2ACF"/>
    <w:rsid w:val="009B4E71"/>
    <w:rsid w:val="009C49B5"/>
    <w:rsid w:val="009C6EDF"/>
    <w:rsid w:val="009D2393"/>
    <w:rsid w:val="009D3951"/>
    <w:rsid w:val="009E5DC0"/>
    <w:rsid w:val="009E6DE7"/>
    <w:rsid w:val="009F386F"/>
    <w:rsid w:val="00A154BE"/>
    <w:rsid w:val="00A16267"/>
    <w:rsid w:val="00A203B4"/>
    <w:rsid w:val="00A252D0"/>
    <w:rsid w:val="00A25AE2"/>
    <w:rsid w:val="00A402D9"/>
    <w:rsid w:val="00A43B7D"/>
    <w:rsid w:val="00A56416"/>
    <w:rsid w:val="00AB684D"/>
    <w:rsid w:val="00AD64C9"/>
    <w:rsid w:val="00AE5B9A"/>
    <w:rsid w:val="00AE71BA"/>
    <w:rsid w:val="00B05D00"/>
    <w:rsid w:val="00B13235"/>
    <w:rsid w:val="00B201E3"/>
    <w:rsid w:val="00B208C7"/>
    <w:rsid w:val="00B36452"/>
    <w:rsid w:val="00B403C5"/>
    <w:rsid w:val="00B40C4D"/>
    <w:rsid w:val="00B468B7"/>
    <w:rsid w:val="00B4696C"/>
    <w:rsid w:val="00B60A2C"/>
    <w:rsid w:val="00B81FD7"/>
    <w:rsid w:val="00B865E8"/>
    <w:rsid w:val="00B903C3"/>
    <w:rsid w:val="00BB5FC9"/>
    <w:rsid w:val="00BE21A1"/>
    <w:rsid w:val="00BF49E4"/>
    <w:rsid w:val="00C03978"/>
    <w:rsid w:val="00C101E4"/>
    <w:rsid w:val="00C174A5"/>
    <w:rsid w:val="00C17C10"/>
    <w:rsid w:val="00C26065"/>
    <w:rsid w:val="00C339DD"/>
    <w:rsid w:val="00C53174"/>
    <w:rsid w:val="00C54A56"/>
    <w:rsid w:val="00C57D61"/>
    <w:rsid w:val="00C72CF6"/>
    <w:rsid w:val="00C774F1"/>
    <w:rsid w:val="00C8150C"/>
    <w:rsid w:val="00C91D6E"/>
    <w:rsid w:val="00CB67F2"/>
    <w:rsid w:val="00CD1ED8"/>
    <w:rsid w:val="00CE4A84"/>
    <w:rsid w:val="00CE72B0"/>
    <w:rsid w:val="00CF0145"/>
    <w:rsid w:val="00CF0D56"/>
    <w:rsid w:val="00CF457F"/>
    <w:rsid w:val="00D018F3"/>
    <w:rsid w:val="00D14A10"/>
    <w:rsid w:val="00D2744C"/>
    <w:rsid w:val="00D46E54"/>
    <w:rsid w:val="00D572EA"/>
    <w:rsid w:val="00D81DCA"/>
    <w:rsid w:val="00D87D88"/>
    <w:rsid w:val="00DA7C89"/>
    <w:rsid w:val="00DB343A"/>
    <w:rsid w:val="00DC553D"/>
    <w:rsid w:val="00DE1F2C"/>
    <w:rsid w:val="00DF4307"/>
    <w:rsid w:val="00E00C8B"/>
    <w:rsid w:val="00E14A99"/>
    <w:rsid w:val="00E225A4"/>
    <w:rsid w:val="00E269F5"/>
    <w:rsid w:val="00E31893"/>
    <w:rsid w:val="00E46A0C"/>
    <w:rsid w:val="00E65166"/>
    <w:rsid w:val="00E778FE"/>
    <w:rsid w:val="00E77D4B"/>
    <w:rsid w:val="00E82E31"/>
    <w:rsid w:val="00EA5B9F"/>
    <w:rsid w:val="00EA6E03"/>
    <w:rsid w:val="00EB7065"/>
    <w:rsid w:val="00ED0730"/>
    <w:rsid w:val="00ED3B66"/>
    <w:rsid w:val="00ED5C3A"/>
    <w:rsid w:val="00ED6AAB"/>
    <w:rsid w:val="00EE35CB"/>
    <w:rsid w:val="00F04B2F"/>
    <w:rsid w:val="00F14FF5"/>
    <w:rsid w:val="00F30A01"/>
    <w:rsid w:val="00F57112"/>
    <w:rsid w:val="00F73806"/>
    <w:rsid w:val="00F75313"/>
    <w:rsid w:val="00F75EA8"/>
    <w:rsid w:val="00F93CA7"/>
    <w:rsid w:val="00FA32C1"/>
    <w:rsid w:val="00FA5983"/>
    <w:rsid w:val="00FA5B27"/>
    <w:rsid w:val="00FC2961"/>
    <w:rsid w:val="00FC71F7"/>
    <w:rsid w:val="6FDE6B7D"/>
  </w:rsids>
  <m:mathPr>
    <m:mathFont m:val="Cambria Math"/>
    <m:brkBin m:val="before"/>
    <m:brkBinSub m:val="--"/>
    <m:smallFrac m:val="0"/>
    <m:dispDef/>
    <m:lMargin m:val="0"/>
    <m:rMargin m:val="0"/>
    <m:defJc m:val="centerGroup"/>
    <m:wrapIndent m:val="1440"/>
    <m:intLim m:val="subSup"/>
    <m:naryLim m:val="undOvr"/>
  </m:mathPr>
  <w:doNotAutoCompressPictures/>
  <w:themeFontLang w:val="fr-CH"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theme="maj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semiHidden="0" w:name="annotation text"/>
    <w:lsdException w:unhideWhenUsed="0" w:uiPriority="99" w:semiHidden="0" w:name="header"/>
    <w:lsdException w:qFormat="1" w:unhideWhenUsed="0" w:uiPriority="99"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99" w:name="List"/>
    <w:lsdException w:unhideWhenUsed="0" w:uiPriority="0" w:semiHidden="0" w:name="List Bullet"/>
    <w:lsdException w:unhideWhenUsed="0" w:uiPriority="0" w:semiHidden="0" w:name="List Number"/>
    <w:lsdException w:uiPriority="99" w:name="List 2"/>
    <w:lsdException w:uiPriority="99" w:name="List 3"/>
    <w:lsdException w:uiPriority="99" w:name="List 4"/>
    <w:lsdException w:uiPriority="99"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nhideWhenUsed="0" w:uiPriority="0" w:semiHidden="0" w:name="Table Classic 2"/>
    <w:lsdException w:unhideWhenUsed="0" w:uiPriority="0" w:semiHidden="0" w:name="Table Classic 3"/>
    <w:lsdException w:uiPriority="0" w:name="Table Classic 4"/>
    <w:lsdException w:unhideWhenUsed="0" w:uiPriority="0" w:semiHidden="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nhideWhenUsed="0" w:uiPriority="0" w:semiHidden="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0"/>
      <w:ind w:left="0" w:firstLine="0"/>
      <w:jc w:val="both"/>
    </w:pPr>
    <w:rPr>
      <w:rFonts w:ascii="Calibri" w:hAnsi="Calibri" w:eastAsia="宋体" w:cs="Calibri"/>
      <w:kern w:val="2"/>
      <w:sz w:val="21"/>
      <w:szCs w:val="21"/>
      <w:lang w:val="en-US" w:eastAsia="zh-CN" w:bidi="ar-SA"/>
    </w:rPr>
  </w:style>
  <w:style w:type="paragraph" w:styleId="2">
    <w:name w:val="heading 1"/>
    <w:basedOn w:val="1"/>
    <w:next w:val="1"/>
    <w:link w:val="34"/>
    <w:qFormat/>
    <w:uiPriority w:val="9"/>
    <w:pPr>
      <w:keepNext/>
      <w:numPr>
        <w:ilvl w:val="0"/>
        <w:numId w:val="1"/>
      </w:numPr>
      <w:spacing w:before="360" w:after="120"/>
      <w:outlineLvl w:val="0"/>
    </w:pPr>
    <w:rPr>
      <w:rFonts w:cs="Arial" w:eastAsiaTheme="minorHAnsi"/>
      <w:b/>
      <w:caps/>
      <w:color w:val="FF6600"/>
      <w:spacing w:val="20"/>
    </w:rPr>
  </w:style>
  <w:style w:type="paragraph" w:styleId="3">
    <w:name w:val="heading 2"/>
    <w:basedOn w:val="1"/>
    <w:next w:val="1"/>
    <w:link w:val="35"/>
    <w:autoRedefine/>
    <w:qFormat/>
    <w:uiPriority w:val="9"/>
    <w:pPr>
      <w:numPr>
        <w:ilvl w:val="1"/>
        <w:numId w:val="1"/>
      </w:numPr>
      <w:pBdr>
        <w:bottom w:val="single" w:color="FF6600" w:sz="4" w:space="1"/>
      </w:pBdr>
      <w:spacing w:before="240"/>
      <w:outlineLvl w:val="1"/>
    </w:pPr>
    <w:rPr>
      <w:rFonts w:cs="Arial" w:eastAsiaTheme="minorHAnsi"/>
      <w:b/>
      <w:iCs/>
      <w:smallCaps/>
      <w:color w:val="363636"/>
      <w:spacing w:val="15"/>
      <w:kern w:val="32"/>
      <w:sz w:val="22"/>
    </w:rPr>
  </w:style>
  <w:style w:type="paragraph" w:styleId="4">
    <w:name w:val="heading 3"/>
    <w:basedOn w:val="1"/>
    <w:next w:val="1"/>
    <w:link w:val="36"/>
    <w:qFormat/>
    <w:uiPriority w:val="9"/>
    <w:pPr>
      <w:keepNext/>
      <w:numPr>
        <w:ilvl w:val="2"/>
        <w:numId w:val="1"/>
      </w:numPr>
      <w:spacing w:before="240" w:after="60"/>
      <w:outlineLvl w:val="2"/>
    </w:pPr>
    <w:rPr>
      <w:rFonts w:cs="Arial"/>
      <w:b/>
      <w:bCs/>
      <w:smallCaps/>
      <w:color w:val="FF6600"/>
    </w:rPr>
  </w:style>
  <w:style w:type="paragraph" w:styleId="5">
    <w:name w:val="heading 4"/>
    <w:basedOn w:val="1"/>
    <w:next w:val="1"/>
    <w:link w:val="37"/>
    <w:qFormat/>
    <w:uiPriority w:val="9"/>
    <w:pPr>
      <w:keepNext/>
      <w:numPr>
        <w:ilvl w:val="3"/>
        <w:numId w:val="1"/>
      </w:numPr>
      <w:outlineLvl w:val="3"/>
    </w:pPr>
    <w:rPr>
      <w:rFonts w:eastAsiaTheme="majorEastAsia" w:cstheme="majorBidi"/>
      <w:bCs/>
      <w:sz w:val="18"/>
      <w:szCs w:val="28"/>
      <w:lang w:eastAsia="en-US" w:bidi="en-US"/>
    </w:rPr>
  </w:style>
  <w:style w:type="paragraph" w:styleId="6">
    <w:name w:val="heading 5"/>
    <w:basedOn w:val="1"/>
    <w:next w:val="1"/>
    <w:link w:val="38"/>
    <w:qFormat/>
    <w:uiPriority w:val="9"/>
    <w:pPr>
      <w:keepNext/>
      <w:keepLines/>
      <w:numPr>
        <w:ilvl w:val="4"/>
        <w:numId w:val="1"/>
      </w:numPr>
      <w:outlineLvl w:val="4"/>
    </w:pPr>
    <w:rPr>
      <w:sz w:val="18"/>
      <w:szCs w:val="22"/>
    </w:rPr>
  </w:style>
  <w:style w:type="paragraph" w:styleId="7">
    <w:name w:val="heading 6"/>
    <w:basedOn w:val="1"/>
    <w:next w:val="1"/>
    <w:link w:val="39"/>
    <w:qFormat/>
    <w:uiPriority w:val="9"/>
    <w:pPr>
      <w:numPr>
        <w:ilvl w:val="5"/>
        <w:numId w:val="1"/>
      </w:numPr>
      <w:spacing w:before="240" w:after="60"/>
      <w:outlineLvl w:val="5"/>
    </w:pPr>
    <w:rPr>
      <w:bCs/>
      <w:sz w:val="18"/>
    </w:rPr>
  </w:style>
  <w:style w:type="paragraph" w:styleId="8">
    <w:name w:val="heading 7"/>
    <w:basedOn w:val="1"/>
    <w:next w:val="1"/>
    <w:link w:val="40"/>
    <w:qFormat/>
    <w:uiPriority w:val="9"/>
    <w:pPr>
      <w:numPr>
        <w:ilvl w:val="6"/>
        <w:numId w:val="1"/>
      </w:numPr>
      <w:spacing w:before="240" w:after="60"/>
      <w:outlineLvl w:val="6"/>
    </w:pPr>
    <w:rPr>
      <w:sz w:val="18"/>
    </w:rPr>
  </w:style>
  <w:style w:type="paragraph" w:styleId="9">
    <w:name w:val="heading 8"/>
    <w:basedOn w:val="1"/>
    <w:next w:val="1"/>
    <w:link w:val="41"/>
    <w:qFormat/>
    <w:uiPriority w:val="9"/>
    <w:pPr>
      <w:numPr>
        <w:ilvl w:val="7"/>
        <w:numId w:val="1"/>
      </w:numPr>
      <w:spacing w:before="240" w:after="60"/>
      <w:outlineLvl w:val="7"/>
    </w:pPr>
    <w:rPr>
      <w:iCs/>
      <w:sz w:val="18"/>
    </w:rPr>
  </w:style>
  <w:style w:type="paragraph" w:styleId="10">
    <w:name w:val="heading 9"/>
    <w:basedOn w:val="1"/>
    <w:next w:val="1"/>
    <w:link w:val="42"/>
    <w:qFormat/>
    <w:uiPriority w:val="9"/>
    <w:pPr>
      <w:numPr>
        <w:ilvl w:val="8"/>
        <w:numId w:val="1"/>
      </w:numPr>
      <w:spacing w:before="240" w:after="60"/>
      <w:outlineLvl w:val="8"/>
    </w:pPr>
    <w:rPr>
      <w:sz w:val="18"/>
    </w:rPr>
  </w:style>
  <w:style w:type="character" w:default="1" w:styleId="28">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71"/>
    <w:unhideWhenUsed/>
    <w:uiPriority w:val="0"/>
    <w:pPr>
      <w:jc w:val="left"/>
    </w:pPr>
  </w:style>
  <w:style w:type="paragraph" w:styleId="12">
    <w:name w:val="toc 3"/>
    <w:basedOn w:val="1"/>
    <w:next w:val="1"/>
    <w:autoRedefine/>
    <w:uiPriority w:val="39"/>
    <w:pPr>
      <w:keepNext/>
      <w:keepLines/>
      <w:tabs>
        <w:tab w:val="left" w:pos="1418"/>
        <w:tab w:val="right" w:leader="dot" w:pos="9072"/>
      </w:tabs>
      <w:ind w:left="1418" w:hanging="567"/>
    </w:pPr>
    <w:rPr>
      <w:rFonts w:eastAsiaTheme="majorEastAsia" w:cstheme="majorBidi"/>
      <w:sz w:val="18"/>
      <w:szCs w:val="22"/>
      <w:lang w:eastAsia="en-US" w:bidi="en-US"/>
    </w:rPr>
  </w:style>
  <w:style w:type="paragraph" w:styleId="13">
    <w:name w:val="Plain Text"/>
    <w:basedOn w:val="1"/>
    <w:link w:val="74"/>
    <w:qFormat/>
    <w:uiPriority w:val="0"/>
    <w:rPr>
      <w:rFonts w:ascii="宋体" w:hAnsi="Courier New" w:cs="Times New Roman"/>
    </w:rPr>
  </w:style>
  <w:style w:type="paragraph" w:styleId="14">
    <w:name w:val="Balloon Text"/>
    <w:basedOn w:val="1"/>
    <w:link w:val="69"/>
    <w:semiHidden/>
    <w:uiPriority w:val="0"/>
    <w:rPr>
      <w:rFonts w:cs="Tahoma"/>
      <w:sz w:val="16"/>
      <w:szCs w:val="16"/>
    </w:rPr>
  </w:style>
  <w:style w:type="paragraph" w:styleId="15">
    <w:name w:val="footer"/>
    <w:basedOn w:val="1"/>
    <w:link w:val="43"/>
    <w:qFormat/>
    <w:uiPriority w:val="99"/>
    <w:pPr>
      <w:tabs>
        <w:tab w:val="center" w:pos="4513"/>
        <w:tab w:val="right" w:pos="9026"/>
      </w:tabs>
    </w:pPr>
    <w:rPr>
      <w:rFonts w:eastAsiaTheme="majorEastAsia" w:cstheme="majorBidi"/>
      <w:sz w:val="16"/>
      <w:szCs w:val="20"/>
      <w:lang w:eastAsia="en-US" w:bidi="en-US"/>
    </w:rPr>
  </w:style>
  <w:style w:type="paragraph" w:styleId="16">
    <w:name w:val="header"/>
    <w:basedOn w:val="1"/>
    <w:link w:val="67"/>
    <w:autoRedefine/>
    <w:uiPriority w:val="99"/>
    <w:pPr>
      <w:tabs>
        <w:tab w:val="center" w:pos="4536"/>
        <w:tab w:val="right" w:pos="9072"/>
      </w:tabs>
    </w:pPr>
  </w:style>
  <w:style w:type="paragraph" w:styleId="17">
    <w:name w:val="toc 1"/>
    <w:basedOn w:val="1"/>
    <w:next w:val="1"/>
    <w:autoRedefine/>
    <w:uiPriority w:val="39"/>
    <w:pPr>
      <w:keepNext/>
      <w:keepLines/>
      <w:pBdr>
        <w:left w:val="single" w:color="FF6600" w:sz="48" w:space="4"/>
      </w:pBdr>
      <w:shd w:val="clear" w:color="auto" w:fill="363636"/>
      <w:tabs>
        <w:tab w:val="left" w:pos="426"/>
        <w:tab w:val="right" w:leader="dot" w:pos="9072"/>
      </w:tabs>
    </w:pPr>
    <w:rPr>
      <w:rFonts w:eastAsiaTheme="majorEastAsia" w:cstheme="majorBidi"/>
      <w:b/>
      <w:caps/>
      <w:color w:val="FFFFFF" w:themeColor="background1"/>
      <w:sz w:val="18"/>
      <w:szCs w:val="20"/>
      <w:lang w:eastAsia="en-US" w:bidi="en-US"/>
    </w:rPr>
  </w:style>
  <w:style w:type="paragraph" w:styleId="18">
    <w:name w:val="Subtitle"/>
    <w:basedOn w:val="1"/>
    <w:next w:val="1"/>
    <w:link w:val="45"/>
    <w:qFormat/>
    <w:uiPriority w:val="11"/>
    <w:pPr>
      <w:spacing w:after="60"/>
      <w:jc w:val="center"/>
      <w:outlineLvl w:val="1"/>
    </w:pPr>
    <w:rPr>
      <w:rFonts w:eastAsiaTheme="majorEastAsia" w:cstheme="majorBidi"/>
      <w:szCs w:val="20"/>
      <w:lang w:eastAsia="en-US" w:bidi="en-US"/>
    </w:rPr>
  </w:style>
  <w:style w:type="paragraph" w:styleId="19">
    <w:name w:val="toc 2"/>
    <w:basedOn w:val="1"/>
    <w:next w:val="1"/>
    <w:autoRedefine/>
    <w:uiPriority w:val="39"/>
    <w:pPr>
      <w:keepNext/>
      <w:keepLines/>
      <w:tabs>
        <w:tab w:val="left" w:pos="880"/>
        <w:tab w:val="right" w:leader="dot" w:pos="9072"/>
      </w:tabs>
    </w:pPr>
    <w:rPr>
      <w:rFonts w:eastAsiaTheme="majorEastAsia" w:cstheme="majorBidi"/>
      <w:smallCaps/>
      <w:sz w:val="18"/>
      <w:szCs w:val="18"/>
      <w:lang w:eastAsia="en-US" w:bidi="en-US"/>
    </w:rPr>
  </w:style>
  <w:style w:type="paragraph" w:styleId="20">
    <w:name w:val="Title"/>
    <w:basedOn w:val="1"/>
    <w:next w:val="1"/>
    <w:link w:val="44"/>
    <w:qFormat/>
    <w:uiPriority w:val="10"/>
    <w:pPr>
      <w:spacing w:before="240" w:after="60"/>
      <w:jc w:val="center"/>
      <w:outlineLvl w:val="0"/>
    </w:pPr>
    <w:rPr>
      <w:rFonts w:eastAsiaTheme="majorEastAsia" w:cstheme="majorBidi"/>
      <w:b/>
      <w:bCs/>
      <w:kern w:val="28"/>
      <w:szCs w:val="32"/>
      <w:u w:val="single"/>
      <w:lang w:eastAsia="en-US" w:bidi="en-US"/>
    </w:rPr>
  </w:style>
  <w:style w:type="paragraph" w:styleId="21">
    <w:name w:val="annotation subject"/>
    <w:basedOn w:val="11"/>
    <w:next w:val="11"/>
    <w:link w:val="72"/>
    <w:semiHidden/>
    <w:unhideWhenUsed/>
    <w:uiPriority w:val="0"/>
    <w:rPr>
      <w:b/>
      <w:bCs/>
    </w:rPr>
  </w:style>
  <w:style w:type="table" w:styleId="23">
    <w:name w:val="Table Grid"/>
    <w:basedOn w:val="22"/>
    <w:uiPriority w:val="0"/>
    <w:pPr>
      <w:spacing w:before="0"/>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tblStylePr w:type="firstRow">
      <w:pPr>
        <w:jc w:val="left"/>
      </w:pPr>
      <w:rPr>
        <w:color w:val="FF6600"/>
      </w:rPr>
      <w:tcPr>
        <w:tcBorders>
          <w:bottom w:val="single" w:color="363636" w:sz="12" w:space="0"/>
        </w:tcBorders>
      </w:tcPr>
    </w:tblStylePr>
  </w:style>
  <w:style w:type="table" w:styleId="24">
    <w:name w:val="Table Colorful 1"/>
    <w:basedOn w:val="22"/>
    <w:autoRedefine/>
    <w:uiPriority w:val="0"/>
    <w:pPr>
      <w:ind w:left="0" w:firstLine="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Pr/>
    </w:tblStylePr>
  </w:style>
  <w:style w:type="table" w:styleId="25">
    <w:name w:val="Table Classic 2"/>
    <w:basedOn w:val="22"/>
    <w:uiPriority w:val="0"/>
    <w:pPr>
      <w:ind w:left="0" w:firstLine="0"/>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shd w:val="clear" w:color="auto" w:fill="FF6600"/>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shd w:val="clear" w:color="auto" w:fill="363636"/>
      </w:tcPr>
    </w:tblStylePr>
    <w:tblStylePr w:type="swCell">
      <w:rPr>
        <w:color w:val="auto"/>
      </w:rPr>
      <w:tblPr/>
      <w:tcPr>
        <w:tcBorders>
          <w:tl2br w:val="nil"/>
          <w:tr2bl w:val="nil"/>
        </w:tcBorders>
      </w:tcPr>
    </w:tblStylePr>
  </w:style>
  <w:style w:type="table" w:styleId="26">
    <w:name w:val="Table Classic 3"/>
    <w:basedOn w:val="22"/>
    <w:uiPriority w:val="0"/>
    <w:pPr>
      <w:ind w:left="0" w:firstLine="0"/>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27">
    <w:name w:val="Table List 8"/>
    <w:basedOn w:val="22"/>
    <w:uiPriority w:val="0"/>
    <w:pPr>
      <w:ind w:left="0" w:firstLine="0"/>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shd w:val="clear" w:color="auto" w:fill="BCBCBC"/>
      </w:tcPr>
    </w:tblStylePr>
    <w:tblStylePr w:type="band2Horz">
      <w:tblPr/>
      <w:tcPr>
        <w:shd w:val="clear" w:color="auto" w:fill="363636"/>
      </w:tcPr>
    </w:tblStylePr>
    <w:tblStylePr w:type="nwCell">
      <w:tblPr/>
      <w:tcPr>
        <w:tcBorders>
          <w:tl2br w:val="single" w:color="auto" w:sz="6" w:space="0"/>
          <w:tr2bl w:val="nil"/>
        </w:tcBorders>
      </w:tcPr>
    </w:tblStylePr>
  </w:style>
  <w:style w:type="character" w:styleId="29">
    <w:name w:val="Strong"/>
    <w:basedOn w:val="28"/>
    <w:qFormat/>
    <w:uiPriority w:val="22"/>
    <w:rPr>
      <w:b/>
      <w:bCs/>
    </w:rPr>
  </w:style>
  <w:style w:type="character" w:styleId="30">
    <w:name w:val="FollowedHyperlink"/>
    <w:basedOn w:val="28"/>
    <w:qFormat/>
    <w:uiPriority w:val="99"/>
    <w:rPr>
      <w:rFonts w:ascii="Arial" w:hAnsi="Arial"/>
      <w:i/>
      <w:color w:val="363636"/>
      <w:sz w:val="20"/>
      <w:u w:val="single"/>
    </w:rPr>
  </w:style>
  <w:style w:type="character" w:styleId="31">
    <w:name w:val="Emphasis"/>
    <w:basedOn w:val="28"/>
    <w:qFormat/>
    <w:uiPriority w:val="20"/>
    <w:rPr>
      <w:rFonts w:asciiTheme="minorHAnsi" w:hAnsiTheme="minorHAnsi"/>
      <w:b/>
      <w:i/>
      <w:iCs/>
    </w:rPr>
  </w:style>
  <w:style w:type="character" w:styleId="32">
    <w:name w:val="Hyperlink"/>
    <w:basedOn w:val="28"/>
    <w:qFormat/>
    <w:uiPriority w:val="99"/>
    <w:rPr>
      <w:rFonts w:ascii="Arial" w:hAnsi="Arial"/>
      <w:color w:val="FF6600"/>
      <w:sz w:val="20"/>
      <w:u w:val="single"/>
    </w:rPr>
  </w:style>
  <w:style w:type="character" w:styleId="33">
    <w:name w:val="annotation reference"/>
    <w:basedOn w:val="28"/>
    <w:semiHidden/>
    <w:unhideWhenUsed/>
    <w:uiPriority w:val="0"/>
    <w:rPr>
      <w:sz w:val="21"/>
      <w:szCs w:val="21"/>
    </w:rPr>
  </w:style>
  <w:style w:type="character" w:customStyle="1" w:styleId="34">
    <w:name w:val="标题 1 Char"/>
    <w:basedOn w:val="28"/>
    <w:link w:val="2"/>
    <w:uiPriority w:val="9"/>
    <w:rPr>
      <w:rFonts w:cs="Arial" w:eastAsiaTheme="minorHAnsi"/>
      <w:b/>
      <w:caps/>
      <w:color w:val="FF6600"/>
      <w:spacing w:val="20"/>
      <w:szCs w:val="24"/>
      <w:lang w:eastAsia="fr-FR"/>
    </w:rPr>
  </w:style>
  <w:style w:type="character" w:customStyle="1" w:styleId="35">
    <w:name w:val="标题 2 Char"/>
    <w:basedOn w:val="28"/>
    <w:link w:val="3"/>
    <w:uiPriority w:val="9"/>
    <w:rPr>
      <w:rFonts w:cs="Arial" w:eastAsiaTheme="minorHAnsi"/>
      <w:b/>
      <w:iCs/>
      <w:smallCaps/>
      <w:color w:val="363636"/>
      <w:spacing w:val="15"/>
      <w:kern w:val="32"/>
      <w:sz w:val="22"/>
      <w:szCs w:val="24"/>
      <w:lang w:eastAsia="fr-FR"/>
    </w:rPr>
  </w:style>
  <w:style w:type="character" w:customStyle="1" w:styleId="36">
    <w:name w:val="标题 3 Char"/>
    <w:basedOn w:val="28"/>
    <w:link w:val="4"/>
    <w:uiPriority w:val="9"/>
    <w:rPr>
      <w:rFonts w:cs="Arial"/>
      <w:b/>
      <w:bCs/>
      <w:smallCaps/>
      <w:color w:val="FF6600"/>
      <w:szCs w:val="24"/>
      <w:lang w:eastAsia="fr-FR"/>
    </w:rPr>
  </w:style>
  <w:style w:type="character" w:customStyle="1" w:styleId="37">
    <w:name w:val="标题 4 Char"/>
    <w:basedOn w:val="28"/>
    <w:link w:val="5"/>
    <w:uiPriority w:val="9"/>
    <w:rPr>
      <w:rFonts w:eastAsiaTheme="majorEastAsia"/>
      <w:bCs/>
      <w:sz w:val="18"/>
      <w:szCs w:val="28"/>
      <w:lang w:bidi="en-US"/>
    </w:rPr>
  </w:style>
  <w:style w:type="character" w:customStyle="1" w:styleId="38">
    <w:name w:val="标题 5 Char"/>
    <w:basedOn w:val="28"/>
    <w:link w:val="6"/>
    <w:uiPriority w:val="9"/>
    <w:rPr>
      <w:rFonts w:cs="Times New Roman"/>
      <w:sz w:val="18"/>
      <w:szCs w:val="22"/>
      <w:lang w:eastAsia="fr-FR"/>
    </w:rPr>
  </w:style>
  <w:style w:type="character" w:customStyle="1" w:styleId="39">
    <w:name w:val="标题 6 Char"/>
    <w:basedOn w:val="28"/>
    <w:link w:val="7"/>
    <w:uiPriority w:val="9"/>
    <w:rPr>
      <w:rFonts w:cs="Times New Roman"/>
      <w:bCs/>
      <w:sz w:val="18"/>
      <w:szCs w:val="24"/>
      <w:lang w:eastAsia="fr-FR"/>
    </w:rPr>
  </w:style>
  <w:style w:type="character" w:customStyle="1" w:styleId="40">
    <w:name w:val="标题 7 Char"/>
    <w:basedOn w:val="28"/>
    <w:link w:val="8"/>
    <w:uiPriority w:val="9"/>
    <w:rPr>
      <w:rFonts w:cs="Times New Roman"/>
      <w:sz w:val="18"/>
      <w:szCs w:val="24"/>
      <w:lang w:eastAsia="fr-FR"/>
    </w:rPr>
  </w:style>
  <w:style w:type="character" w:customStyle="1" w:styleId="41">
    <w:name w:val="标题 8 Char"/>
    <w:basedOn w:val="28"/>
    <w:link w:val="9"/>
    <w:uiPriority w:val="9"/>
    <w:rPr>
      <w:rFonts w:cs="Times New Roman"/>
      <w:iCs/>
      <w:sz w:val="18"/>
      <w:szCs w:val="24"/>
      <w:lang w:eastAsia="fr-FR"/>
    </w:rPr>
  </w:style>
  <w:style w:type="character" w:customStyle="1" w:styleId="42">
    <w:name w:val="标题 9 Char"/>
    <w:basedOn w:val="28"/>
    <w:link w:val="10"/>
    <w:uiPriority w:val="9"/>
    <w:rPr>
      <w:rFonts w:cs="Times New Roman"/>
      <w:sz w:val="18"/>
      <w:szCs w:val="24"/>
      <w:lang w:eastAsia="fr-FR"/>
    </w:rPr>
  </w:style>
  <w:style w:type="character" w:customStyle="1" w:styleId="43">
    <w:name w:val="页脚 Char"/>
    <w:basedOn w:val="28"/>
    <w:link w:val="15"/>
    <w:uiPriority w:val="99"/>
    <w:rPr>
      <w:rFonts w:eastAsiaTheme="majorEastAsia"/>
      <w:sz w:val="16"/>
      <w:lang w:bidi="en-US"/>
    </w:rPr>
  </w:style>
  <w:style w:type="character" w:customStyle="1" w:styleId="44">
    <w:name w:val="标题 Char"/>
    <w:basedOn w:val="28"/>
    <w:link w:val="20"/>
    <w:uiPriority w:val="10"/>
    <w:rPr>
      <w:rFonts w:eastAsiaTheme="majorEastAsia"/>
      <w:b/>
      <w:bCs/>
      <w:kern w:val="28"/>
      <w:szCs w:val="32"/>
      <w:u w:val="single"/>
      <w:lang w:bidi="en-US"/>
    </w:rPr>
  </w:style>
  <w:style w:type="character" w:customStyle="1" w:styleId="45">
    <w:name w:val="副标题 Char"/>
    <w:basedOn w:val="28"/>
    <w:link w:val="18"/>
    <w:uiPriority w:val="11"/>
    <w:rPr>
      <w:rFonts w:eastAsiaTheme="majorEastAsia"/>
      <w:lang w:bidi="en-US"/>
    </w:rPr>
  </w:style>
  <w:style w:type="paragraph" w:styleId="46">
    <w:name w:val="No Spacing"/>
    <w:basedOn w:val="1"/>
    <w:link w:val="47"/>
    <w:qFormat/>
    <w:uiPriority w:val="1"/>
    <w:rPr>
      <w:rFonts w:eastAsiaTheme="majorEastAsia" w:cstheme="majorBidi"/>
      <w:szCs w:val="32"/>
      <w:lang w:eastAsia="en-US" w:bidi="en-US"/>
    </w:rPr>
  </w:style>
  <w:style w:type="character" w:customStyle="1" w:styleId="47">
    <w:name w:val="无间隔 Char"/>
    <w:basedOn w:val="28"/>
    <w:link w:val="46"/>
    <w:uiPriority w:val="1"/>
    <w:rPr>
      <w:rFonts w:eastAsiaTheme="majorEastAsia"/>
      <w:szCs w:val="32"/>
      <w:lang w:bidi="en-US"/>
    </w:rPr>
  </w:style>
  <w:style w:type="paragraph" w:styleId="48">
    <w:name w:val="List Paragraph"/>
    <w:basedOn w:val="1"/>
    <w:qFormat/>
    <w:uiPriority w:val="34"/>
    <w:pPr>
      <w:ind w:left="720"/>
      <w:contextualSpacing/>
    </w:pPr>
  </w:style>
  <w:style w:type="paragraph" w:styleId="49">
    <w:name w:val="Quote"/>
    <w:basedOn w:val="1"/>
    <w:next w:val="1"/>
    <w:link w:val="50"/>
    <w:qFormat/>
    <w:uiPriority w:val="29"/>
    <w:rPr>
      <w:rFonts w:eastAsiaTheme="majorEastAsia" w:cstheme="majorBidi"/>
      <w:i/>
      <w:szCs w:val="20"/>
      <w:lang w:eastAsia="en-US" w:bidi="en-US"/>
    </w:rPr>
  </w:style>
  <w:style w:type="character" w:customStyle="1" w:styleId="50">
    <w:name w:val="引用 Char"/>
    <w:basedOn w:val="28"/>
    <w:link w:val="49"/>
    <w:uiPriority w:val="29"/>
    <w:rPr>
      <w:rFonts w:eastAsiaTheme="majorEastAsia"/>
      <w:i/>
      <w:lang w:bidi="en-US"/>
    </w:rPr>
  </w:style>
  <w:style w:type="paragraph" w:styleId="51">
    <w:name w:val="Intense Quote"/>
    <w:basedOn w:val="1"/>
    <w:next w:val="1"/>
    <w:link w:val="52"/>
    <w:qFormat/>
    <w:uiPriority w:val="30"/>
    <w:pPr>
      <w:ind w:left="720" w:right="720"/>
    </w:pPr>
    <w:rPr>
      <w:rFonts w:eastAsiaTheme="majorEastAsia" w:cstheme="majorBidi"/>
      <w:b/>
      <w:i/>
      <w:szCs w:val="20"/>
      <w:lang w:eastAsia="en-US" w:bidi="en-US"/>
    </w:rPr>
  </w:style>
  <w:style w:type="character" w:customStyle="1" w:styleId="52">
    <w:name w:val="明显引用 Char"/>
    <w:basedOn w:val="28"/>
    <w:link w:val="51"/>
    <w:uiPriority w:val="30"/>
    <w:rPr>
      <w:rFonts w:eastAsiaTheme="majorEastAsia"/>
      <w:b/>
      <w:i/>
      <w:lang w:bidi="en-US"/>
    </w:rPr>
  </w:style>
  <w:style w:type="character" w:customStyle="1" w:styleId="53">
    <w:name w:val="Subtle Emphasis"/>
    <w:qFormat/>
    <w:uiPriority w:val="19"/>
    <w:rPr>
      <w:i/>
      <w:color w:val="595959" w:themeColor="text1" w:themeTint="A5"/>
    </w:rPr>
  </w:style>
  <w:style w:type="character" w:customStyle="1" w:styleId="54">
    <w:name w:val="Intense Emphasis"/>
    <w:basedOn w:val="28"/>
    <w:qFormat/>
    <w:uiPriority w:val="21"/>
    <w:rPr>
      <w:b/>
      <w:i/>
      <w:sz w:val="24"/>
      <w:szCs w:val="24"/>
      <w:u w:val="single"/>
    </w:rPr>
  </w:style>
  <w:style w:type="character" w:customStyle="1" w:styleId="55">
    <w:name w:val="Subtle Reference"/>
    <w:basedOn w:val="28"/>
    <w:qFormat/>
    <w:uiPriority w:val="31"/>
    <w:rPr>
      <w:sz w:val="24"/>
      <w:szCs w:val="24"/>
      <w:u w:val="single"/>
    </w:rPr>
  </w:style>
  <w:style w:type="character" w:customStyle="1" w:styleId="56">
    <w:name w:val="Intense Reference"/>
    <w:basedOn w:val="28"/>
    <w:qFormat/>
    <w:uiPriority w:val="32"/>
    <w:rPr>
      <w:b/>
      <w:sz w:val="24"/>
      <w:u w:val="single"/>
    </w:rPr>
  </w:style>
  <w:style w:type="character" w:customStyle="1" w:styleId="57">
    <w:name w:val="Book Title"/>
    <w:basedOn w:val="28"/>
    <w:qFormat/>
    <w:uiPriority w:val="33"/>
    <w:rPr>
      <w:rFonts w:asciiTheme="majorHAnsi" w:hAnsiTheme="majorHAnsi" w:eastAsiaTheme="majorEastAsia"/>
      <w:b/>
      <w:i/>
      <w:sz w:val="24"/>
      <w:szCs w:val="24"/>
    </w:rPr>
  </w:style>
  <w:style w:type="paragraph" w:customStyle="1" w:styleId="58">
    <w:name w:val="TOC Heading"/>
    <w:basedOn w:val="2"/>
    <w:next w:val="1"/>
    <w:qFormat/>
    <w:uiPriority w:val="39"/>
    <w:pPr>
      <w:numPr>
        <w:numId w:val="0"/>
      </w:numPr>
      <w:outlineLvl w:val="9"/>
    </w:pPr>
  </w:style>
  <w:style w:type="paragraph" w:customStyle="1" w:styleId="59">
    <w:name w:val="List 1"/>
    <w:basedOn w:val="1"/>
    <w:link w:val="60"/>
    <w:qFormat/>
    <w:uiPriority w:val="99"/>
    <w:pPr>
      <w:numPr>
        <w:ilvl w:val="0"/>
        <w:numId w:val="2"/>
      </w:numPr>
      <w:spacing w:before="60"/>
    </w:pPr>
    <w:rPr>
      <w:rFonts w:eastAsiaTheme="majorEastAsia" w:cstheme="majorBidi"/>
      <w:szCs w:val="20"/>
      <w:lang w:eastAsia="en-US" w:bidi="en-US"/>
    </w:rPr>
  </w:style>
  <w:style w:type="character" w:customStyle="1" w:styleId="60">
    <w:name w:val="List 1 Char"/>
    <w:basedOn w:val="28"/>
    <w:link w:val="59"/>
    <w:uiPriority w:val="99"/>
    <w:rPr>
      <w:rFonts w:eastAsiaTheme="majorEastAsia"/>
      <w:lang w:bidi="en-US"/>
    </w:rPr>
  </w:style>
  <w:style w:type="paragraph" w:customStyle="1" w:styleId="61">
    <w:name w:val="Highlight"/>
    <w:basedOn w:val="1"/>
    <w:qFormat/>
    <w:uiPriority w:val="99"/>
    <w:rPr>
      <w:color w:val="BE0000" w:themeColor="accent6" w:themeShade="BF"/>
    </w:rPr>
  </w:style>
  <w:style w:type="paragraph" w:customStyle="1" w:styleId="62">
    <w:name w:val="Numbered 1"/>
    <w:basedOn w:val="1"/>
    <w:uiPriority w:val="0"/>
    <w:pPr>
      <w:numPr>
        <w:ilvl w:val="0"/>
        <w:numId w:val="3"/>
      </w:numPr>
      <w:spacing w:before="60"/>
    </w:pPr>
  </w:style>
  <w:style w:type="paragraph" w:customStyle="1" w:styleId="63">
    <w:name w:val="List2"/>
    <w:basedOn w:val="59"/>
    <w:qFormat/>
    <w:uiPriority w:val="99"/>
    <w:pPr>
      <w:numPr>
        <w:numId w:val="0"/>
      </w:numPr>
      <w:spacing w:before="0"/>
    </w:pPr>
    <w:rPr>
      <w:szCs w:val="24"/>
      <w:lang w:val="fr-FR" w:eastAsia="fr-FR" w:bidi="ar-SA"/>
    </w:rPr>
  </w:style>
  <w:style w:type="paragraph" w:customStyle="1" w:styleId="64">
    <w:name w:val="Style Heading 5 + First line:  0 cm"/>
    <w:basedOn w:val="6"/>
    <w:qFormat/>
    <w:uiPriority w:val="0"/>
    <w:pPr>
      <w:numPr>
        <w:ilvl w:val="0"/>
        <w:numId w:val="0"/>
      </w:numPr>
    </w:pPr>
    <w:rPr>
      <w:color w:val="363636"/>
      <w:szCs w:val="24"/>
      <w:u w:val="single"/>
    </w:rPr>
  </w:style>
  <w:style w:type="paragraph" w:customStyle="1" w:styleId="65">
    <w:name w:val="Glossary"/>
    <w:basedOn w:val="1"/>
    <w:link w:val="66"/>
    <w:qFormat/>
    <w:uiPriority w:val="99"/>
    <w:pPr>
      <w:spacing w:before="40"/>
    </w:pPr>
    <w:rPr>
      <w:rFonts w:cstheme="majorBidi"/>
      <w:sz w:val="16"/>
      <w:szCs w:val="16"/>
      <w:lang w:eastAsia="en-GB"/>
    </w:rPr>
  </w:style>
  <w:style w:type="character" w:customStyle="1" w:styleId="66">
    <w:name w:val="Glossary Char"/>
    <w:basedOn w:val="28"/>
    <w:link w:val="65"/>
    <w:uiPriority w:val="99"/>
    <w:rPr>
      <w:sz w:val="16"/>
      <w:szCs w:val="16"/>
      <w:lang w:eastAsia="en-GB"/>
    </w:rPr>
  </w:style>
  <w:style w:type="character" w:customStyle="1" w:styleId="67">
    <w:name w:val="页眉 Char"/>
    <w:basedOn w:val="28"/>
    <w:link w:val="16"/>
    <w:uiPriority w:val="99"/>
    <w:rPr>
      <w:rFonts w:cs="Times New Roman"/>
      <w:szCs w:val="24"/>
      <w:lang w:eastAsia="fr-FR"/>
    </w:rPr>
  </w:style>
  <w:style w:type="table" w:customStyle="1" w:styleId="68">
    <w:name w:val="SGS Table Basic 2"/>
    <w:basedOn w:val="22"/>
    <w:qFormat/>
    <w:uiPriority w:val="99"/>
    <w:pPr>
      <w:spacing w:before="0"/>
    </w:pPr>
    <w:tblPr>
      <w:tblCellMar>
        <w:top w:w="0" w:type="dxa"/>
        <w:left w:w="108" w:type="dxa"/>
        <w:bottom w:w="0" w:type="dxa"/>
        <w:right w:w="108" w:type="dxa"/>
      </w:tblCellMar>
    </w:tblPr>
    <w:tcPr>
      <w:shd w:val="clear" w:color="auto" w:fill="BCBCBC"/>
    </w:tcPr>
    <w:tblStylePr w:type="firstRow">
      <w:pPr>
        <w:jc w:val="left"/>
      </w:pPr>
      <w:tcPr>
        <w:shd w:val="clear" w:color="auto" w:fill="363636"/>
        <w:vAlign w:val="center"/>
      </w:tcPr>
    </w:tblStylePr>
  </w:style>
  <w:style w:type="character" w:customStyle="1" w:styleId="69">
    <w:name w:val="批注框文本 Char"/>
    <w:basedOn w:val="28"/>
    <w:link w:val="14"/>
    <w:semiHidden/>
    <w:uiPriority w:val="0"/>
    <w:rPr>
      <w:rFonts w:cs="Tahoma"/>
      <w:sz w:val="16"/>
      <w:szCs w:val="16"/>
      <w:lang w:val="fr-FR" w:eastAsia="fr-FR"/>
    </w:rPr>
  </w:style>
  <w:style w:type="character" w:customStyle="1" w:styleId="70">
    <w:name w:val="NormalCharacter"/>
    <w:semiHidden/>
    <w:qFormat/>
    <w:uiPriority w:val="0"/>
  </w:style>
  <w:style w:type="character" w:customStyle="1" w:styleId="71">
    <w:name w:val="批注文字 Char"/>
    <w:basedOn w:val="28"/>
    <w:link w:val="11"/>
    <w:uiPriority w:val="0"/>
    <w:rPr>
      <w:rFonts w:ascii="Calibri" w:hAnsi="Calibri" w:eastAsia="宋体" w:cs="Calibri"/>
      <w:kern w:val="2"/>
      <w:sz w:val="21"/>
      <w:szCs w:val="21"/>
    </w:rPr>
  </w:style>
  <w:style w:type="character" w:customStyle="1" w:styleId="72">
    <w:name w:val="批注主题 Char"/>
    <w:basedOn w:val="71"/>
    <w:link w:val="21"/>
    <w:semiHidden/>
    <w:qFormat/>
    <w:uiPriority w:val="0"/>
    <w:rPr>
      <w:rFonts w:ascii="Calibri" w:hAnsi="Calibri" w:eastAsia="宋体" w:cs="Calibri"/>
      <w:b/>
      <w:bCs/>
      <w:kern w:val="2"/>
      <w:sz w:val="21"/>
      <w:szCs w:val="21"/>
    </w:rPr>
  </w:style>
  <w:style w:type="character" w:customStyle="1" w:styleId="73">
    <w:name w:val="纯文本 Char"/>
    <w:basedOn w:val="28"/>
    <w:link w:val="13"/>
    <w:semiHidden/>
    <w:uiPriority w:val="0"/>
    <w:rPr>
      <w:rFonts w:ascii="宋体" w:hAnsi="Courier New" w:eastAsia="宋体" w:cs="Courier New"/>
      <w:kern w:val="2"/>
      <w:sz w:val="21"/>
      <w:szCs w:val="21"/>
    </w:rPr>
  </w:style>
  <w:style w:type="character" w:customStyle="1" w:styleId="74">
    <w:name w:val="纯文本 Char1"/>
    <w:link w:val="13"/>
    <w:qFormat/>
    <w:uiPriority w:val="0"/>
    <w:rPr>
      <w:rFonts w:ascii="宋体" w:hAnsi="Courier New" w:eastAsia="宋体" w:cs="Times New Roman"/>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736CC-44D2-42F8-82E1-BC24B2EB9CE8}">
  <ds:schemaRefs/>
</ds:datastoreItem>
</file>

<file path=docProps/app.xml><?xml version="1.0" encoding="utf-8"?>
<Properties xmlns="http://schemas.openxmlformats.org/officeDocument/2006/extended-properties" xmlns:vt="http://schemas.openxmlformats.org/officeDocument/2006/docPropsVTypes">
  <Template>Normal</Template>
  <Pages>2</Pages>
  <Words>1099</Words>
  <Characters>455</Characters>
  <Lines>3</Lines>
  <Paragraphs>3</Paragraphs>
  <TotalTime>55</TotalTime>
  <ScaleCrop>false</ScaleCrop>
  <LinksUpToDate>false</LinksUpToDate>
  <CharactersWithSpaces>1551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2023-08-01T00:42:00Z</dcterms:created>
  <dc:creator>Zhao, Rose (Shanghai)</dc:creator>
  <cp:lastModifiedBy>菠萝啵啵</cp:lastModifiedBy>
  <dcterms:modified xsi:type="dcterms:W3CDTF">2024-07-17T07:52:51Z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96E75DE8B9724EBD905C084FBF4DFB72_12</vt:lpwstr>
  </property>
</Properties>
</file>