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简体" w:cs="Times New Roman"/>
          <w:sz w:val="32"/>
          <w:szCs w:val="32"/>
        </w:rPr>
      </w:pPr>
      <w:r>
        <w:rPr>
          <w:rFonts w:hint="eastAsia"/>
        </w:rPr>
        <w:t xml:space="preserve"> </w:t>
      </w:r>
      <w:r>
        <w:rPr>
          <w:rFonts w:hint="eastAsia"/>
        </w:rPr>
        <w:tab/>
      </w:r>
      <w:r>
        <w:rPr>
          <w:rFonts w:hint="eastAsia" w:ascii="Times New Roman" w:hAnsi="Times New Roman" w:eastAsia="方正小标宋简体" w:cs="Times New Roman"/>
          <w:sz w:val="32"/>
          <w:szCs w:val="32"/>
        </w:rPr>
        <w:t xml:space="preserve">2024年湖州市车用润滑油产品质量监督抽查实施细则 </w:t>
      </w:r>
    </w:p>
    <w:p>
      <w:pPr>
        <w:snapToGrid w:val="0"/>
        <w:spacing w:line="440" w:lineRule="exact"/>
        <w:rPr>
          <w:rFonts w:ascii="Times New Roman" w:hAnsi="Times New Roman" w:eastAsia="黑体"/>
          <w:color w:val="000000"/>
        </w:rPr>
      </w:pPr>
    </w:p>
    <w:p>
      <w:pPr>
        <w:adjustRightInd w:val="0"/>
        <w:snapToGrid w:val="0"/>
        <w:spacing w:line="360" w:lineRule="auto"/>
        <w:outlineLvl w:val="1"/>
        <w:rPr>
          <w:rFonts w:ascii="Times New Roman" w:hAnsi="Times New Roman" w:eastAsia="黑体" w:cs="黑体"/>
        </w:rPr>
      </w:pPr>
      <w:r>
        <w:rPr>
          <w:rFonts w:hint="eastAsia" w:ascii="Times New Roman" w:hAnsi="Times New Roman" w:eastAsia="黑体" w:cs="黑体"/>
        </w:rPr>
        <w:t>1 抽样方法</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olor w:val="000000"/>
        </w:rPr>
        <w:t>以随机抽样的方式在被抽样生产者、销售者</w:t>
      </w:r>
      <w:r>
        <w:rPr>
          <w:rFonts w:ascii="Times New Roman" w:hAnsi="Times New Roman"/>
          <w:color w:val="000000"/>
        </w:rPr>
        <w:t>的待销产品中随机抽取</w:t>
      </w:r>
      <w:r>
        <w:rPr>
          <w:rFonts w:hint="eastAsia" w:ascii="Times New Roman" w:hAnsi="Times New Roman"/>
          <w:color w:val="000000"/>
        </w:rPr>
        <w:t>待销产品中抽取。</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olor w:val="000000"/>
        </w:rPr>
        <w:t>随机数一般可使用随机数表等方法产生。</w:t>
      </w:r>
    </w:p>
    <w:p>
      <w:pPr>
        <w:adjustRightInd w:val="0"/>
        <w:snapToGrid w:val="0"/>
        <w:spacing w:line="440" w:lineRule="exact"/>
        <w:ind w:firstLine="420" w:firstLineChars="200"/>
        <w:rPr>
          <w:rFonts w:ascii="Times New Roman" w:hAnsi="Times New Roman"/>
          <w:color w:val="000000"/>
        </w:rPr>
      </w:pPr>
      <w:r>
        <w:rPr>
          <w:rFonts w:ascii="Times New Roman" w:hAnsi="Times New Roman"/>
          <w:color w:val="000000"/>
        </w:rPr>
        <w:t>抽样人员应当购买</w:t>
      </w:r>
      <w:r>
        <w:rPr>
          <w:rFonts w:hint="eastAsia" w:ascii="Times New Roman" w:hAnsi="Times New Roman"/>
          <w:color w:val="000000"/>
        </w:rPr>
        <w:t>检样</w:t>
      </w:r>
      <w:r>
        <w:rPr>
          <w:rFonts w:ascii="Times New Roman" w:hAnsi="Times New Roman"/>
          <w:color w:val="000000"/>
        </w:rPr>
        <w:t>，样品的价格以生产、销售产品的标价为准；没有标价的，以同类产品的市场价格为准。</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olor w:val="000000"/>
        </w:rPr>
        <w:t>抽取同一生产者、同一标准生产的同一商标、同一规格型号的产品各2件（满1kg/1L算1件，不满1kg/1L的抽样数量需抽满1kg/1L），其中1件为检验样品，1件为备用样品。</w:t>
      </w:r>
    </w:p>
    <w:p>
      <w:pPr>
        <w:tabs>
          <w:tab w:val="left" w:pos="648"/>
          <w:tab w:val="left" w:pos="3528"/>
          <w:tab w:val="left" w:pos="6104"/>
          <w:tab w:val="left" w:pos="8804"/>
          <w:tab w:val="left" w:pos="12224"/>
        </w:tabs>
        <w:snapToGrid w:val="0"/>
        <w:spacing w:line="360" w:lineRule="auto"/>
        <w:jc w:val="center"/>
        <w:rPr>
          <w:rFonts w:ascii="宋体"/>
        </w:rPr>
      </w:pPr>
    </w:p>
    <w:p>
      <w:pPr>
        <w:adjustRightInd w:val="0"/>
        <w:snapToGrid w:val="0"/>
        <w:spacing w:line="440" w:lineRule="exact"/>
        <w:outlineLvl w:val="1"/>
        <w:rPr>
          <w:rFonts w:ascii="Times New Roman" w:hAnsi="Times New Roman" w:eastAsia="黑体" w:cs="黑体"/>
        </w:rPr>
      </w:pPr>
      <w:r>
        <w:rPr>
          <w:rFonts w:hint="eastAsia" w:ascii="Times New Roman" w:hAnsi="Times New Roman" w:eastAsia="黑体" w:cs="黑体"/>
        </w:rPr>
        <w:t>2 检验依据</w:t>
      </w:r>
    </w:p>
    <w:p>
      <w:pPr>
        <w:adjustRightInd w:val="0"/>
        <w:snapToGrid w:val="0"/>
        <w:jc w:val="center"/>
        <w:rPr>
          <w:rFonts w:ascii="Times New Roman" w:hAnsi="Times New Roman" w:cs="Times New Roman"/>
        </w:rPr>
      </w:pPr>
      <w:r>
        <w:rPr>
          <w:rFonts w:hint="eastAsia" w:ascii="Times New Roman" w:hAnsi="Times New Roman" w:cs="Times New Roman"/>
        </w:rPr>
        <w:t>表</w:t>
      </w:r>
      <w:r>
        <w:rPr>
          <w:rFonts w:ascii="Times New Roman" w:hAnsi="Times New Roman" w:cs="Times New Roman"/>
        </w:rPr>
        <w:t>1</w:t>
      </w:r>
      <w:r>
        <w:rPr>
          <w:rFonts w:hint="eastAsia" w:ascii="Times New Roman" w:hAnsi="Times New Roman" w:cs="Times New Roman"/>
        </w:rPr>
        <w:t>明示执行标准为</w:t>
      </w:r>
      <w:r>
        <w:rPr>
          <w:rFonts w:hint="eastAsia" w:ascii="Times New Roman" w:hAnsi="Times New Roman"/>
          <w:color w:val="000000"/>
        </w:rPr>
        <w:t xml:space="preserve">GB 11121-2006 </w:t>
      </w:r>
      <w:r>
        <w:rPr>
          <w:rFonts w:hint="eastAsia" w:ascii="Times New Roman" w:hAnsi="Times New Roman" w:cs="Times New Roman"/>
        </w:rPr>
        <w:t>的</w:t>
      </w:r>
      <w:r>
        <w:rPr>
          <w:rFonts w:hint="eastAsia" w:hAnsi="宋体" w:cs="Courier New"/>
        </w:rPr>
        <w:t xml:space="preserve"> 汽油机油</w:t>
      </w:r>
      <w:r>
        <w:rPr>
          <w:rFonts w:hint="eastAsia" w:ascii="Times New Roman" w:hAnsi="Times New Roman" w:cs="Times New Roman"/>
        </w:rPr>
        <w:t>产品检验项目</w:t>
      </w:r>
    </w:p>
    <w:tbl>
      <w:tblPr>
        <w:tblStyle w:val="2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682"/>
        <w:gridCol w:w="3419"/>
        <w:gridCol w:w="3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766" w:type="dxa"/>
            <w:vAlign w:val="center"/>
          </w:tcPr>
          <w:p>
            <w:pPr>
              <w:widowControl/>
              <w:jc w:val="center"/>
              <w:textAlignment w:val="center"/>
              <w:rPr>
                <w:rFonts w:ascii="宋体" w:hAnsi="宋体" w:cs="宋体"/>
                <w:color w:val="000000"/>
              </w:rPr>
            </w:pPr>
            <w:r>
              <w:rPr>
                <w:rFonts w:hint="eastAsia" w:ascii="宋体" w:hAnsi="宋体" w:cs="宋体"/>
                <w:color w:val="000000"/>
                <w:kern w:val="0"/>
                <w:lang w:bidi="ar"/>
              </w:rPr>
              <w:t>序号</w:t>
            </w:r>
          </w:p>
        </w:tc>
        <w:tc>
          <w:tcPr>
            <w:tcW w:w="1682" w:type="dxa"/>
            <w:vAlign w:val="center"/>
          </w:tcPr>
          <w:p>
            <w:pPr>
              <w:widowControl/>
              <w:jc w:val="center"/>
              <w:textAlignment w:val="center"/>
              <w:rPr>
                <w:rFonts w:ascii="宋体" w:hAnsi="宋体" w:cs="宋体"/>
                <w:color w:val="000000"/>
              </w:rPr>
            </w:pPr>
            <w:r>
              <w:rPr>
                <w:rFonts w:hint="eastAsia" w:ascii="宋体" w:hAnsi="宋体" w:cs="宋体"/>
                <w:color w:val="000000"/>
                <w:kern w:val="0"/>
                <w:lang w:bidi="ar"/>
              </w:rPr>
              <w:t>检验项目</w:t>
            </w:r>
          </w:p>
        </w:tc>
        <w:tc>
          <w:tcPr>
            <w:tcW w:w="3419" w:type="dxa"/>
            <w:vAlign w:val="center"/>
          </w:tcPr>
          <w:p>
            <w:pPr>
              <w:widowControl/>
              <w:jc w:val="center"/>
              <w:textAlignment w:val="center"/>
              <w:rPr>
                <w:rFonts w:ascii="宋体" w:hAnsi="宋体" w:cs="宋体"/>
                <w:color w:val="000000"/>
                <w:kern w:val="0"/>
                <w:lang w:bidi="ar"/>
              </w:rPr>
            </w:pPr>
            <w:r>
              <w:rPr>
                <w:rFonts w:hint="eastAsia" w:ascii="宋体" w:hAnsi="宋体" w:cs="宋体"/>
                <w:color w:val="000000"/>
                <w:kern w:val="0"/>
                <w:lang w:bidi="ar"/>
              </w:rPr>
              <w:t>检验依据</w:t>
            </w:r>
          </w:p>
        </w:tc>
        <w:tc>
          <w:tcPr>
            <w:tcW w:w="3419" w:type="dxa"/>
            <w:vAlign w:val="center"/>
          </w:tcPr>
          <w:p>
            <w:pPr>
              <w:widowControl/>
              <w:jc w:val="center"/>
              <w:textAlignment w:val="center"/>
              <w:rPr>
                <w:rFonts w:ascii="宋体" w:hAnsi="宋体" w:cs="宋体"/>
                <w:color w:val="000000"/>
              </w:rPr>
            </w:pPr>
            <w:r>
              <w:rPr>
                <w:rFonts w:hint="eastAsia" w:ascii="宋体" w:hAnsi="宋体" w:cs="宋体"/>
                <w:color w:val="000000"/>
                <w:kern w:val="0"/>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1682" w:type="dxa"/>
            <w:vAlign w:val="center"/>
          </w:tcPr>
          <w:p>
            <w:pPr>
              <w:widowControl/>
              <w:jc w:val="center"/>
              <w:textAlignment w:val="center"/>
              <w:rPr>
                <w:rFonts w:ascii="宋体" w:hAnsi="宋体" w:cs="宋体"/>
              </w:rPr>
            </w:pPr>
            <w:r>
              <w:rPr>
                <w:rFonts w:hint="eastAsia" w:ascii="宋体" w:hAnsi="宋体"/>
              </w:rPr>
              <w:t>运动黏度（100℃）</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11121-2006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2</w:t>
            </w:r>
          </w:p>
        </w:tc>
        <w:tc>
          <w:tcPr>
            <w:tcW w:w="1682" w:type="dxa"/>
            <w:vAlign w:val="center"/>
          </w:tcPr>
          <w:p>
            <w:pPr>
              <w:widowControl/>
              <w:jc w:val="center"/>
              <w:textAlignment w:val="center"/>
              <w:rPr>
                <w:rFonts w:ascii="宋体" w:hAnsi="宋体" w:cs="宋体"/>
              </w:rPr>
            </w:pPr>
            <w:r>
              <w:rPr>
                <w:rFonts w:hint="eastAsia" w:ascii="宋体" w:hAnsi="宋体"/>
              </w:rPr>
              <w:t>黏度指数</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11121-2006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1995—1998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3</w:t>
            </w:r>
          </w:p>
        </w:tc>
        <w:tc>
          <w:tcPr>
            <w:tcW w:w="1682" w:type="dxa"/>
            <w:vAlign w:val="center"/>
          </w:tcPr>
          <w:p>
            <w:pPr>
              <w:widowControl/>
              <w:jc w:val="center"/>
              <w:textAlignment w:val="center"/>
              <w:rPr>
                <w:rFonts w:ascii="宋体" w:hAnsi="宋体" w:cs="宋体"/>
              </w:rPr>
            </w:pPr>
            <w:r>
              <w:rPr>
                <w:rFonts w:hint="eastAsia" w:ascii="宋体" w:hAnsi="宋体"/>
              </w:rPr>
              <w:t>倾点</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11121-2006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4</w:t>
            </w:r>
          </w:p>
        </w:tc>
        <w:tc>
          <w:tcPr>
            <w:tcW w:w="1682" w:type="dxa"/>
            <w:vAlign w:val="center"/>
          </w:tcPr>
          <w:p>
            <w:pPr>
              <w:widowControl/>
              <w:jc w:val="center"/>
              <w:textAlignment w:val="center"/>
              <w:rPr>
                <w:rFonts w:ascii="宋体" w:hAnsi="宋体" w:cs="宋体"/>
              </w:rPr>
            </w:pPr>
            <w:r>
              <w:rPr>
                <w:rFonts w:hint="eastAsia" w:ascii="宋体" w:hAnsi="宋体"/>
              </w:rPr>
              <w:t>水分</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11121-2006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5</w:t>
            </w:r>
          </w:p>
        </w:tc>
        <w:tc>
          <w:tcPr>
            <w:tcW w:w="1682" w:type="dxa"/>
            <w:vAlign w:val="center"/>
          </w:tcPr>
          <w:p>
            <w:pPr>
              <w:widowControl/>
              <w:jc w:val="center"/>
              <w:textAlignment w:val="center"/>
              <w:rPr>
                <w:rFonts w:ascii="宋体" w:hAnsi="宋体" w:cs="宋体"/>
              </w:rPr>
            </w:pPr>
            <w:r>
              <w:rPr>
                <w:rFonts w:hint="eastAsia" w:ascii="宋体" w:hAnsi="宋体"/>
              </w:rPr>
              <w:t>泡沫性</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11121-2006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12579—2002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6</w:t>
            </w:r>
          </w:p>
        </w:tc>
        <w:tc>
          <w:tcPr>
            <w:tcW w:w="1682" w:type="dxa"/>
            <w:vAlign w:val="center"/>
          </w:tcPr>
          <w:p>
            <w:pPr>
              <w:widowControl/>
              <w:jc w:val="center"/>
              <w:textAlignment w:val="center"/>
              <w:rPr>
                <w:rFonts w:ascii="宋体" w:hAnsi="宋体" w:cs="宋体"/>
              </w:rPr>
            </w:pPr>
            <w:r>
              <w:rPr>
                <w:rFonts w:hint="eastAsia" w:ascii="宋体" w:hAnsi="宋体"/>
              </w:rPr>
              <w:t>机械杂质</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11121-2006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kern w:val="0"/>
                <w:lang w:bidi="ar"/>
              </w:rPr>
            </w:pPr>
            <w:r>
              <w:rPr>
                <w:rFonts w:hint="eastAsia" w:ascii="Times New Roman" w:hAnsi="Times New Roman" w:cs="Times New Roman"/>
                <w:color w:val="000000"/>
                <w:kern w:val="0"/>
                <w:lang w:bidi="ar"/>
              </w:rPr>
              <w:t>7</w:t>
            </w:r>
          </w:p>
        </w:tc>
        <w:tc>
          <w:tcPr>
            <w:tcW w:w="1682" w:type="dxa"/>
            <w:vAlign w:val="center"/>
          </w:tcPr>
          <w:p>
            <w:pPr>
              <w:widowControl/>
              <w:jc w:val="center"/>
              <w:textAlignment w:val="center"/>
              <w:rPr>
                <w:rFonts w:ascii="宋体" w:hAnsi="宋体"/>
              </w:rPr>
            </w:pPr>
            <w:r>
              <w:rPr>
                <w:rFonts w:hint="eastAsia" w:ascii="宋体" w:hAnsi="宋体"/>
              </w:rPr>
              <w:t>闪点（开口）</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w:t>
            </w:r>
            <w:bookmarkStart w:id="0" w:name="_GoBack"/>
            <w:bookmarkEnd w:id="0"/>
            <w:r>
              <w:rPr>
                <w:rFonts w:hint="eastAsia" w:ascii="Times New Roman" w:hAnsi="Times New Roman"/>
                <w:color w:val="000000"/>
              </w:rPr>
              <w:t>21-2006</w:t>
            </w:r>
          </w:p>
        </w:tc>
        <w:tc>
          <w:tcPr>
            <w:tcW w:w="3419" w:type="dxa"/>
            <w:vAlign w:val="center"/>
          </w:tcPr>
          <w:p>
            <w:pPr>
              <w:widowControl/>
              <w:jc w:val="center"/>
              <w:textAlignment w:val="center"/>
              <w:rPr>
                <w:rFonts w:ascii="宋体" w:hAnsi="宋体"/>
              </w:rPr>
            </w:pPr>
            <w:r>
              <w:rPr>
                <w:rFonts w:hint="eastAsia" w:ascii="宋体" w:hAnsi="宋体"/>
              </w:rPr>
              <w:t>GB/T 3536—2008</w:t>
            </w:r>
          </w:p>
        </w:tc>
      </w:tr>
    </w:tbl>
    <w:p>
      <w:pPr>
        <w:adjustRightInd w:val="0"/>
        <w:snapToGrid w:val="0"/>
        <w:spacing w:line="440" w:lineRule="exact"/>
        <w:ind w:firstLine="420" w:firstLineChars="200"/>
        <w:rPr>
          <w:color w:val="000000"/>
        </w:rPr>
      </w:pPr>
    </w:p>
    <w:p>
      <w:pPr>
        <w:pStyle w:val="13"/>
        <w:spacing w:line="276" w:lineRule="auto"/>
        <w:ind w:firstLine="420" w:firstLineChars="200"/>
        <w:jc w:val="center"/>
        <w:rPr>
          <w:rFonts w:ascii="Times New Roman" w:hAnsi="Times New Roman"/>
          <w:color w:val="000000"/>
          <w:lang w:val="en-US"/>
        </w:rPr>
      </w:pPr>
      <w:r>
        <w:rPr>
          <w:rFonts w:hint="eastAsia" w:hAnsi="宋体" w:cs="Courier New"/>
          <w:lang w:val="en-US"/>
        </w:rPr>
        <w:t xml:space="preserve">表2 </w:t>
      </w:r>
      <w:r>
        <w:rPr>
          <w:rFonts w:hint="eastAsia" w:ascii="Times New Roman" w:hAnsi="Times New Roman"/>
        </w:rPr>
        <w:t>明示执行标准为</w:t>
      </w:r>
      <w:r>
        <w:rPr>
          <w:rFonts w:hint="eastAsia" w:ascii="Times New Roman" w:hAnsi="Times New Roman"/>
          <w:color w:val="000000"/>
        </w:rPr>
        <w:t>GB 11122-2006</w:t>
      </w:r>
      <w:r>
        <w:rPr>
          <w:rFonts w:hint="eastAsia" w:ascii="Times New Roman" w:hAnsi="Times New Roman"/>
          <w:color w:val="000000"/>
          <w:lang w:val="en-US"/>
        </w:rPr>
        <w:t>的</w:t>
      </w:r>
      <w:r>
        <w:rPr>
          <w:rFonts w:hint="eastAsia" w:hAnsi="宋体" w:cs="Courier New"/>
          <w:lang w:val="en-US"/>
        </w:rPr>
        <w:t>柴油机油产品检验项目</w:t>
      </w:r>
    </w:p>
    <w:tbl>
      <w:tblPr>
        <w:tblStyle w:val="2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682"/>
        <w:gridCol w:w="3419"/>
        <w:gridCol w:w="3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766" w:type="dxa"/>
            <w:vAlign w:val="center"/>
          </w:tcPr>
          <w:p>
            <w:pPr>
              <w:widowControl/>
              <w:jc w:val="center"/>
              <w:textAlignment w:val="center"/>
              <w:rPr>
                <w:rFonts w:ascii="宋体" w:hAnsi="宋体" w:cs="宋体"/>
                <w:color w:val="000000"/>
              </w:rPr>
            </w:pPr>
            <w:r>
              <w:rPr>
                <w:rFonts w:hint="eastAsia" w:ascii="宋体" w:hAnsi="宋体" w:cs="宋体"/>
                <w:color w:val="000000"/>
                <w:kern w:val="0"/>
                <w:lang w:bidi="ar"/>
              </w:rPr>
              <w:t>序号</w:t>
            </w:r>
          </w:p>
        </w:tc>
        <w:tc>
          <w:tcPr>
            <w:tcW w:w="1682" w:type="dxa"/>
            <w:vAlign w:val="center"/>
          </w:tcPr>
          <w:p>
            <w:pPr>
              <w:widowControl/>
              <w:jc w:val="center"/>
              <w:textAlignment w:val="center"/>
              <w:rPr>
                <w:rFonts w:ascii="宋体" w:hAnsi="宋体" w:cs="宋体"/>
                <w:color w:val="000000"/>
              </w:rPr>
            </w:pPr>
            <w:r>
              <w:rPr>
                <w:rFonts w:hint="eastAsia" w:ascii="宋体" w:hAnsi="宋体" w:cs="宋体"/>
                <w:color w:val="000000"/>
                <w:kern w:val="0"/>
                <w:lang w:bidi="ar"/>
              </w:rPr>
              <w:t>检验项目</w:t>
            </w:r>
          </w:p>
        </w:tc>
        <w:tc>
          <w:tcPr>
            <w:tcW w:w="3419" w:type="dxa"/>
            <w:vAlign w:val="center"/>
          </w:tcPr>
          <w:p>
            <w:pPr>
              <w:widowControl/>
              <w:jc w:val="center"/>
              <w:textAlignment w:val="center"/>
              <w:rPr>
                <w:rFonts w:ascii="宋体" w:hAnsi="宋体" w:cs="宋体"/>
                <w:color w:val="000000"/>
                <w:kern w:val="0"/>
                <w:lang w:bidi="ar"/>
              </w:rPr>
            </w:pPr>
            <w:r>
              <w:rPr>
                <w:rFonts w:hint="eastAsia" w:ascii="宋体" w:hAnsi="宋体" w:cs="宋体"/>
                <w:color w:val="000000"/>
                <w:kern w:val="0"/>
                <w:lang w:bidi="ar"/>
              </w:rPr>
              <w:t>检验依据</w:t>
            </w:r>
          </w:p>
        </w:tc>
        <w:tc>
          <w:tcPr>
            <w:tcW w:w="3419" w:type="dxa"/>
            <w:vAlign w:val="center"/>
          </w:tcPr>
          <w:p>
            <w:pPr>
              <w:widowControl/>
              <w:jc w:val="center"/>
              <w:textAlignment w:val="center"/>
              <w:rPr>
                <w:rFonts w:ascii="宋体" w:hAnsi="宋体" w:cs="宋体"/>
                <w:color w:val="000000"/>
              </w:rPr>
            </w:pPr>
            <w:r>
              <w:rPr>
                <w:rFonts w:hint="eastAsia" w:ascii="宋体" w:hAnsi="宋体" w:cs="宋体"/>
                <w:color w:val="000000"/>
                <w:kern w:val="0"/>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1</w:t>
            </w:r>
          </w:p>
        </w:tc>
        <w:tc>
          <w:tcPr>
            <w:tcW w:w="1682" w:type="dxa"/>
            <w:vAlign w:val="center"/>
          </w:tcPr>
          <w:p>
            <w:pPr>
              <w:widowControl/>
              <w:jc w:val="center"/>
              <w:textAlignment w:val="center"/>
              <w:rPr>
                <w:rFonts w:ascii="宋体" w:hAnsi="宋体" w:cs="宋体"/>
                <w:color w:val="000000"/>
              </w:rPr>
            </w:pPr>
            <w:r>
              <w:rPr>
                <w:rFonts w:hint="eastAsia" w:ascii="宋体" w:hAnsi="宋体"/>
              </w:rPr>
              <w:t>运动黏度（100℃）</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11122-2006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265—1988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2</w:t>
            </w:r>
          </w:p>
        </w:tc>
        <w:tc>
          <w:tcPr>
            <w:tcW w:w="1682" w:type="dxa"/>
            <w:vAlign w:val="center"/>
          </w:tcPr>
          <w:p>
            <w:pPr>
              <w:widowControl/>
              <w:jc w:val="center"/>
              <w:textAlignment w:val="center"/>
              <w:rPr>
                <w:rFonts w:ascii="宋体" w:hAnsi="宋体" w:cs="宋体"/>
                <w:color w:val="000000"/>
              </w:rPr>
            </w:pPr>
            <w:r>
              <w:rPr>
                <w:rFonts w:hint="eastAsia" w:ascii="宋体" w:hAnsi="宋体"/>
              </w:rPr>
              <w:t>黏度指数</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11122-2006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1995—1998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3</w:t>
            </w:r>
          </w:p>
        </w:tc>
        <w:tc>
          <w:tcPr>
            <w:tcW w:w="1682" w:type="dxa"/>
            <w:vAlign w:val="center"/>
          </w:tcPr>
          <w:p>
            <w:pPr>
              <w:widowControl/>
              <w:jc w:val="center"/>
              <w:textAlignment w:val="center"/>
              <w:rPr>
                <w:rFonts w:ascii="宋体" w:hAnsi="宋体" w:cs="宋体"/>
                <w:color w:val="000000"/>
              </w:rPr>
            </w:pPr>
            <w:r>
              <w:rPr>
                <w:rFonts w:hint="eastAsia" w:ascii="宋体" w:hAnsi="宋体"/>
              </w:rPr>
              <w:t>倾点</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11122-2006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3535—2006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4</w:t>
            </w:r>
          </w:p>
        </w:tc>
        <w:tc>
          <w:tcPr>
            <w:tcW w:w="1682" w:type="dxa"/>
            <w:vAlign w:val="center"/>
          </w:tcPr>
          <w:p>
            <w:pPr>
              <w:widowControl/>
              <w:jc w:val="center"/>
              <w:textAlignment w:val="center"/>
              <w:rPr>
                <w:rFonts w:ascii="宋体" w:hAnsi="宋体" w:cs="宋体"/>
                <w:color w:val="000000"/>
              </w:rPr>
            </w:pPr>
            <w:r>
              <w:rPr>
                <w:rFonts w:hint="eastAsia" w:ascii="宋体" w:hAnsi="宋体"/>
              </w:rPr>
              <w:t>水分</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11122-2006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260—2016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5</w:t>
            </w:r>
          </w:p>
        </w:tc>
        <w:tc>
          <w:tcPr>
            <w:tcW w:w="1682" w:type="dxa"/>
            <w:vAlign w:val="center"/>
          </w:tcPr>
          <w:p>
            <w:pPr>
              <w:widowControl/>
              <w:jc w:val="center"/>
              <w:textAlignment w:val="center"/>
              <w:rPr>
                <w:rFonts w:ascii="宋体" w:hAnsi="宋体" w:cs="宋体"/>
                <w:color w:val="000000"/>
              </w:rPr>
            </w:pPr>
            <w:r>
              <w:rPr>
                <w:rFonts w:hint="eastAsia" w:ascii="宋体" w:hAnsi="宋体"/>
              </w:rPr>
              <w:t>泡沫性</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11122-2006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12579—2002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rPr>
            </w:pPr>
            <w:r>
              <w:rPr>
                <w:rFonts w:ascii="Times New Roman" w:hAnsi="Times New Roman" w:cs="Times New Roman"/>
                <w:color w:val="000000"/>
                <w:kern w:val="0"/>
                <w:lang w:bidi="ar"/>
              </w:rPr>
              <w:t>6</w:t>
            </w:r>
          </w:p>
        </w:tc>
        <w:tc>
          <w:tcPr>
            <w:tcW w:w="1682" w:type="dxa"/>
            <w:vAlign w:val="center"/>
          </w:tcPr>
          <w:p>
            <w:pPr>
              <w:widowControl/>
              <w:jc w:val="center"/>
              <w:textAlignment w:val="center"/>
              <w:rPr>
                <w:rFonts w:ascii="宋体" w:hAnsi="宋体" w:cs="宋体"/>
                <w:color w:val="000000"/>
              </w:rPr>
            </w:pPr>
            <w:r>
              <w:rPr>
                <w:rFonts w:hint="eastAsia" w:ascii="宋体" w:hAnsi="宋体"/>
              </w:rPr>
              <w:t>机械杂质</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11122-2006</w:t>
            </w:r>
          </w:p>
        </w:tc>
        <w:tc>
          <w:tcPr>
            <w:tcW w:w="3419" w:type="dxa"/>
            <w:vAlign w:val="center"/>
          </w:tcPr>
          <w:p>
            <w:pPr>
              <w:widowControl/>
              <w:jc w:val="center"/>
              <w:textAlignment w:val="center"/>
              <w:rPr>
                <w:rFonts w:ascii="Times New Roman" w:hAnsi="Times New Roman" w:cs="Times New Roman"/>
                <w:color w:val="000000"/>
              </w:rPr>
            </w:pPr>
            <w:r>
              <w:rPr>
                <w:rFonts w:hint="eastAsia" w:ascii="宋体" w:hAnsi="宋体"/>
              </w:rPr>
              <w:t>GB/T 511—2010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66" w:type="dxa"/>
            <w:vAlign w:val="center"/>
          </w:tcPr>
          <w:p>
            <w:pPr>
              <w:widowControl/>
              <w:jc w:val="center"/>
              <w:textAlignment w:val="center"/>
              <w:rPr>
                <w:rFonts w:ascii="Times New Roman" w:hAnsi="Times New Roman" w:cs="Times New Roman"/>
                <w:color w:val="000000"/>
                <w:kern w:val="0"/>
                <w:lang w:bidi="ar"/>
              </w:rPr>
            </w:pPr>
            <w:r>
              <w:rPr>
                <w:rFonts w:hint="eastAsia" w:ascii="Times New Roman" w:hAnsi="Times New Roman" w:cs="Times New Roman"/>
                <w:color w:val="000000"/>
                <w:kern w:val="0"/>
                <w:lang w:bidi="ar"/>
              </w:rPr>
              <w:t>7</w:t>
            </w:r>
          </w:p>
        </w:tc>
        <w:tc>
          <w:tcPr>
            <w:tcW w:w="1682" w:type="dxa"/>
            <w:vAlign w:val="center"/>
          </w:tcPr>
          <w:p>
            <w:pPr>
              <w:widowControl/>
              <w:jc w:val="center"/>
              <w:textAlignment w:val="center"/>
              <w:rPr>
                <w:rFonts w:ascii="宋体" w:hAnsi="宋体"/>
              </w:rPr>
            </w:pPr>
            <w:r>
              <w:rPr>
                <w:rFonts w:hint="eastAsia" w:ascii="宋体" w:hAnsi="宋体"/>
              </w:rPr>
              <w:t>闪点（开口）</w:t>
            </w:r>
          </w:p>
        </w:tc>
        <w:tc>
          <w:tcPr>
            <w:tcW w:w="3419" w:type="dxa"/>
            <w:vAlign w:val="center"/>
          </w:tcPr>
          <w:p>
            <w:pPr>
              <w:widowControl/>
              <w:jc w:val="center"/>
              <w:textAlignment w:val="center"/>
              <w:rPr>
                <w:rFonts w:ascii="宋体" w:hAnsi="宋体"/>
              </w:rPr>
            </w:pPr>
            <w:r>
              <w:rPr>
                <w:rFonts w:hint="eastAsia" w:ascii="Times New Roman" w:hAnsi="Times New Roman"/>
                <w:color w:val="000000"/>
              </w:rPr>
              <w:t>GB 11122-2006</w:t>
            </w:r>
          </w:p>
        </w:tc>
        <w:tc>
          <w:tcPr>
            <w:tcW w:w="3419" w:type="dxa"/>
            <w:vAlign w:val="center"/>
          </w:tcPr>
          <w:p>
            <w:pPr>
              <w:widowControl/>
              <w:jc w:val="center"/>
              <w:textAlignment w:val="center"/>
              <w:rPr>
                <w:rFonts w:ascii="宋体" w:hAnsi="宋体"/>
              </w:rPr>
            </w:pPr>
            <w:r>
              <w:rPr>
                <w:rFonts w:hint="eastAsia" w:ascii="宋体" w:hAnsi="宋体"/>
              </w:rPr>
              <w:t>GB/T 3536—2008</w:t>
            </w:r>
          </w:p>
        </w:tc>
      </w:tr>
    </w:tbl>
    <w:p>
      <w:pPr>
        <w:adjustRightInd w:val="0"/>
        <w:snapToGrid w:val="0"/>
        <w:spacing w:line="440" w:lineRule="exact"/>
        <w:ind w:firstLine="420" w:firstLineChars="200"/>
        <w:rPr>
          <w:color w:val="000000"/>
        </w:rPr>
      </w:pPr>
    </w:p>
    <w:p>
      <w:pPr>
        <w:adjustRightInd w:val="0"/>
        <w:snapToGrid w:val="0"/>
        <w:spacing w:line="440" w:lineRule="exact"/>
        <w:ind w:firstLine="420" w:firstLineChars="200"/>
        <w:rPr>
          <w:rFonts w:hint="eastAsia"/>
          <w:color w:val="000000"/>
        </w:rPr>
      </w:pPr>
    </w:p>
    <w:p>
      <w:pPr>
        <w:adjustRightInd w:val="0"/>
        <w:snapToGrid w:val="0"/>
        <w:spacing w:line="440" w:lineRule="exact"/>
        <w:ind w:firstLine="420" w:firstLineChars="200"/>
        <w:rPr>
          <w:color w:val="000000"/>
        </w:rPr>
      </w:pPr>
      <w:r>
        <w:rPr>
          <w:rFonts w:hint="eastAsia"/>
          <w:color w:val="000000"/>
        </w:rPr>
        <w:t>执行企业标准、团体标准、地方标准的产品，检验项目参照上述内容执行。</w:t>
      </w:r>
    </w:p>
    <w:p>
      <w:pPr>
        <w:spacing w:line="440" w:lineRule="exact"/>
        <w:ind w:firstLine="420" w:firstLineChars="200"/>
        <w:rPr>
          <w:rFonts w:ascii="Times New Roman" w:hAnsi="Times New Roman"/>
          <w:color w:val="000000"/>
        </w:rPr>
      </w:pPr>
      <w:r>
        <w:rPr>
          <w:rFonts w:hint="eastAsia" w:ascii="Times New Roman" w:hAnsi="Times New Roman"/>
          <w:color w:val="000000"/>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pPr>
      <w:r>
        <w:rPr>
          <w:rFonts w:hint="eastAsia"/>
          <w:color w:val="000000"/>
        </w:rPr>
        <w:t>复检时所检测的样品为备用样品。</w:t>
      </w:r>
    </w:p>
    <w:p>
      <w:pPr>
        <w:snapToGrid w:val="0"/>
        <w:spacing w:line="440" w:lineRule="exact"/>
        <w:rPr>
          <w:rFonts w:ascii="Times New Roman" w:hAnsi="Times New Roman" w:eastAsia="黑体"/>
          <w:color w:val="000000"/>
        </w:rPr>
      </w:pPr>
      <w:r>
        <w:rPr>
          <w:rFonts w:ascii="Times New Roman" w:hAnsi="Times New Roman" w:eastAsia="黑体"/>
          <w:color w:val="000000"/>
        </w:rPr>
        <w:t>3</w:t>
      </w:r>
      <w:r>
        <w:rPr>
          <w:rFonts w:hint="eastAsia" w:ascii="Times New Roman" w:hAnsi="Times New Roman" w:eastAsia="黑体"/>
          <w:color w:val="000000"/>
        </w:rPr>
        <w:t>判定规则</w:t>
      </w:r>
    </w:p>
    <w:p>
      <w:pPr>
        <w:snapToGrid w:val="0"/>
        <w:spacing w:line="440" w:lineRule="exact"/>
        <w:rPr>
          <w:rFonts w:ascii="Times New Roman" w:hAnsi="Times New Roman"/>
          <w:color w:val="000000"/>
        </w:rPr>
      </w:pPr>
      <w:r>
        <w:rPr>
          <w:rFonts w:ascii="Times New Roman" w:hAnsi="Times New Roman"/>
          <w:color w:val="000000"/>
        </w:rPr>
        <w:t>3.1</w:t>
      </w:r>
      <w:r>
        <w:rPr>
          <w:rFonts w:hint="eastAsia" w:ascii="Times New Roman" w:hAnsi="Times New Roman"/>
          <w:color w:val="000000"/>
        </w:rPr>
        <w:t>依据标准</w:t>
      </w:r>
    </w:p>
    <w:p>
      <w:pPr>
        <w:snapToGrid w:val="0"/>
        <w:spacing w:line="440" w:lineRule="exact"/>
        <w:ind w:firstLine="420" w:firstLineChars="200"/>
        <w:rPr>
          <w:rFonts w:ascii="Times New Roman" w:hAnsi="Times New Roman"/>
          <w:color w:val="000000"/>
        </w:rPr>
      </w:pPr>
      <w:r>
        <w:rPr>
          <w:rFonts w:hint="eastAsia" w:ascii="Times New Roman" w:hAnsi="Times New Roman"/>
          <w:color w:val="000000"/>
        </w:rPr>
        <w:t>GB 11121-2006  汽油机油</w:t>
      </w:r>
    </w:p>
    <w:p>
      <w:pPr>
        <w:snapToGrid w:val="0"/>
        <w:spacing w:line="440" w:lineRule="exact"/>
        <w:ind w:firstLine="420" w:firstLineChars="200"/>
        <w:rPr>
          <w:rFonts w:ascii="Times New Roman" w:hAnsi="Times New Roman"/>
          <w:color w:val="000000"/>
        </w:rPr>
      </w:pPr>
      <w:r>
        <w:rPr>
          <w:rFonts w:hint="eastAsia" w:ascii="Times New Roman" w:hAnsi="Times New Roman"/>
          <w:color w:val="000000"/>
        </w:rPr>
        <w:t>GB 11122-2006  柴油机油</w:t>
      </w:r>
    </w:p>
    <w:p>
      <w:pPr>
        <w:snapToGrid w:val="0"/>
        <w:spacing w:line="440" w:lineRule="exact"/>
        <w:ind w:firstLine="420" w:firstLineChars="200"/>
        <w:rPr>
          <w:rFonts w:ascii="Times New Roman" w:hAnsi="Times New Roman"/>
          <w:color w:val="000000"/>
        </w:rPr>
      </w:pPr>
      <w:r>
        <w:rPr>
          <w:rFonts w:hint="eastAsia" w:ascii="Times New Roman" w:hAnsi="Times New Roman"/>
          <w:color w:val="000000"/>
        </w:rPr>
        <w:t>现行有效的其他标准及产品明示质量要求</w:t>
      </w:r>
    </w:p>
    <w:p>
      <w:pPr>
        <w:adjustRightInd w:val="0"/>
        <w:snapToGrid w:val="0"/>
        <w:spacing w:line="440" w:lineRule="exact"/>
        <w:jc w:val="left"/>
        <w:rPr>
          <w:rFonts w:hAnsi="宋体"/>
        </w:rPr>
      </w:pPr>
      <w:r>
        <w:rPr>
          <w:rFonts w:hint="eastAsia" w:hAnsi="宋体"/>
        </w:rPr>
        <w:t>3.2判定原则</w:t>
      </w:r>
    </w:p>
    <w:p>
      <w:pPr>
        <w:adjustRightInd w:val="0"/>
        <w:snapToGrid w:val="0"/>
        <w:spacing w:line="440" w:lineRule="exact"/>
        <w:ind w:firstLine="420" w:firstLineChars="200"/>
        <w:rPr>
          <w:color w:val="000000"/>
        </w:rPr>
      </w:pPr>
      <w:r>
        <w:rPr>
          <w:rFonts w:hint="eastAsia"/>
          <w:color w:val="000000"/>
        </w:rPr>
        <w:t>若被检产品明示的质量要求高于本细则中检验项目依据的标准要求时，应按被检产品明示的质量要求判定。</w:t>
      </w:r>
    </w:p>
    <w:p>
      <w:pPr>
        <w:adjustRightInd w:val="0"/>
        <w:snapToGrid w:val="0"/>
        <w:spacing w:line="440" w:lineRule="exact"/>
        <w:ind w:firstLine="420" w:firstLineChars="200"/>
        <w:rPr>
          <w:color w:val="000000"/>
        </w:rPr>
      </w:pPr>
      <w:r>
        <w:rPr>
          <w:rFonts w:hint="eastAsia"/>
          <w:color w:val="000000"/>
        </w:rPr>
        <w:t>若被检产品明示的质量要求低于本细则中检验项目依据的强制性标准要求时，应按照强制性标准要求判定。</w:t>
      </w:r>
    </w:p>
    <w:p>
      <w:pPr>
        <w:adjustRightInd w:val="0"/>
        <w:snapToGrid w:val="0"/>
        <w:spacing w:line="440" w:lineRule="exact"/>
        <w:ind w:firstLine="420" w:firstLineChars="200"/>
        <w:rPr>
          <w:color w:val="000000"/>
        </w:rPr>
      </w:pPr>
      <w:r>
        <w:rPr>
          <w:rFonts w:hint="eastAsia"/>
          <w:color w:val="000000"/>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20" w:firstLineChars="200"/>
        <w:rPr>
          <w:color w:val="000000"/>
        </w:rPr>
      </w:pPr>
      <w:r>
        <w:rPr>
          <w:rFonts w:hint="eastAsia"/>
          <w:color w:val="000000"/>
        </w:rPr>
        <w:t>若被检产品明示的质量要求缺少本细则中检验项目依据的强制性标准要求时，应按照强制性标准要求判定。</w:t>
      </w:r>
    </w:p>
    <w:p>
      <w:pPr>
        <w:adjustRightInd w:val="0"/>
        <w:snapToGrid w:val="0"/>
        <w:spacing w:line="440" w:lineRule="exact"/>
        <w:ind w:firstLine="420" w:firstLineChars="200"/>
        <w:rPr>
          <w:color w:val="000000"/>
        </w:rPr>
      </w:pPr>
      <w:r>
        <w:rPr>
          <w:rFonts w:hint="eastAsia"/>
          <w:color w:val="000000"/>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ind w:firstLine="420" w:firstLineChars="200"/>
        <w:rPr>
          <w:color w:val="000000"/>
        </w:rPr>
      </w:pPr>
    </w:p>
    <w:p>
      <w:pPr>
        <w:adjustRightInd w:val="0"/>
        <w:snapToGrid w:val="0"/>
        <w:spacing w:line="440" w:lineRule="exact"/>
        <w:rPr>
          <w:color w:val="000000"/>
        </w:rPr>
      </w:pPr>
      <w:r>
        <w:rPr>
          <w:rFonts w:hint="eastAsia"/>
          <w:color w:val="000000"/>
        </w:rPr>
        <w:t>3</w:t>
      </w:r>
      <w:r>
        <w:rPr>
          <w:color w:val="000000"/>
        </w:rPr>
        <w:t xml:space="preserve">.3 </w:t>
      </w:r>
      <w:r>
        <w:rPr>
          <w:rFonts w:hint="eastAsia"/>
          <w:color w:val="000000"/>
        </w:rPr>
        <w:t>综合结论判定</w:t>
      </w:r>
    </w:p>
    <w:p>
      <w:pPr>
        <w:snapToGrid w:val="0"/>
        <w:spacing w:line="440" w:lineRule="exact"/>
        <w:ind w:firstLine="420" w:firstLineChars="200"/>
        <w:rPr>
          <w:color w:val="000000"/>
        </w:rPr>
      </w:pPr>
      <w:r>
        <w:rPr>
          <w:color w:val="000000"/>
        </w:rPr>
        <w:t>经检验，检验项目中任一项或一项以上不合格，判定被抽查产品为</w:t>
      </w:r>
      <w:r>
        <w:rPr>
          <w:rFonts w:hint="eastAsia"/>
          <w:color w:val="000000"/>
        </w:rPr>
        <w:t>“</w:t>
      </w:r>
      <w:r>
        <w:rPr>
          <w:color w:val="000000"/>
        </w:rPr>
        <w:t>不合格</w:t>
      </w:r>
      <w:r>
        <w:rPr>
          <w:rFonts w:hint="eastAsia"/>
          <w:color w:val="000000"/>
        </w:rPr>
        <w:t>”；</w:t>
      </w:r>
    </w:p>
    <w:p>
      <w:pPr>
        <w:snapToGrid w:val="0"/>
        <w:spacing w:line="440" w:lineRule="exact"/>
        <w:ind w:firstLine="420" w:firstLineChars="200"/>
        <w:rPr>
          <w:rFonts w:hAnsi="宋体"/>
        </w:rPr>
      </w:pPr>
      <w:r>
        <w:rPr>
          <w:color w:val="000000"/>
        </w:rPr>
        <w:t>检验项目全部</w:t>
      </w:r>
      <w:r>
        <w:rPr>
          <w:rFonts w:hint="eastAsia"/>
          <w:color w:val="000000"/>
        </w:rPr>
        <w:t>符合明示质量要求</w:t>
      </w:r>
      <w:r>
        <w:rPr>
          <w:color w:val="000000"/>
        </w:rPr>
        <w:t>，</w:t>
      </w:r>
      <w:r>
        <w:rPr>
          <w:rFonts w:hint="eastAsia"/>
          <w:color w:val="000000"/>
        </w:rPr>
        <w:t>但不符合本细则检验项目依据的推荐性标准，</w:t>
      </w:r>
      <w:r>
        <w:rPr>
          <w:color w:val="000000"/>
        </w:rPr>
        <w:t>判定被抽查产品</w:t>
      </w:r>
      <w:r>
        <w:rPr>
          <w:rFonts w:hint="eastAsia"/>
          <w:color w:val="000000"/>
        </w:rPr>
        <w:t>“</w:t>
      </w:r>
      <w:r>
        <w:rPr>
          <w:rFonts w:hint="eastAsia" w:hAnsi="宋体"/>
        </w:rPr>
        <w:t>所检项目符合企业标准，未达到国家、行业、地方标准规定”；</w:t>
      </w:r>
    </w:p>
    <w:p>
      <w:pPr>
        <w:snapToGrid w:val="0"/>
        <w:spacing w:line="440" w:lineRule="exact"/>
        <w:ind w:firstLine="420" w:firstLineChars="200"/>
        <w:rPr>
          <w:color w:val="000000"/>
        </w:rPr>
      </w:pPr>
      <w:r>
        <w:rPr>
          <w:color w:val="000000"/>
        </w:rPr>
        <w:t>检验项目全部</w:t>
      </w:r>
      <w:r>
        <w:rPr>
          <w:rFonts w:hint="eastAsia"/>
          <w:color w:val="000000"/>
        </w:rPr>
        <w:t>符合明示质量要求</w:t>
      </w:r>
      <w:r>
        <w:rPr>
          <w:color w:val="000000"/>
        </w:rPr>
        <w:t>，</w:t>
      </w:r>
      <w:r>
        <w:rPr>
          <w:rFonts w:hint="eastAsia"/>
          <w:color w:val="000000"/>
        </w:rPr>
        <w:t>且符合本细则检验项目依据的推荐性标准，</w:t>
      </w:r>
      <w:r>
        <w:rPr>
          <w:rFonts w:hint="eastAsia" w:hAnsi="宋体"/>
        </w:rPr>
        <w:t>判定被抽查产品为</w:t>
      </w:r>
      <w:r>
        <w:rPr>
          <w:rFonts w:hint="eastAsia"/>
          <w:color w:val="000000"/>
        </w:rPr>
        <w:t>“所检项目符合本次监督抽查要求”。</w:t>
      </w:r>
    </w:p>
    <w:p/>
    <w:sectPr>
      <w:pgSz w:w="11906" w:h="16838"/>
      <w:pgMar w:top="1417" w:right="1417" w:bottom="1417"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D0E09"/>
    <w:multiLevelType w:val="multilevel"/>
    <w:tmpl w:val="20CD0E09"/>
    <w:lvl w:ilvl="0" w:tentative="0">
      <w:start w:val="1"/>
      <w:numFmt w:val="decimal"/>
      <w:pStyle w:val="62"/>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214B6843"/>
    <w:multiLevelType w:val="multilevel"/>
    <w:tmpl w:val="214B6843"/>
    <w:lvl w:ilvl="0" w:tentative="0">
      <w:start w:val="1"/>
      <w:numFmt w:val="decimal"/>
      <w:pStyle w:val="2"/>
      <w:lvlText w:val="%1"/>
      <w:lvlJc w:val="left"/>
      <w:pPr>
        <w:ind w:left="578" w:hanging="578"/>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2">
    <w:nsid w:val="70D15105"/>
    <w:multiLevelType w:val="multilevel"/>
    <w:tmpl w:val="70D15105"/>
    <w:lvl w:ilvl="0" w:tentative="0">
      <w:start w:val="1"/>
      <w:numFmt w:val="bullet"/>
      <w:pStyle w:val="59"/>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2YmM0Yzk2MWFhYTA0Y2RmYzg3YjJhYzJkYTc0NDIifQ=="/>
  </w:docVars>
  <w:rsids>
    <w:rsidRoot w:val="00E778FE"/>
    <w:rsid w:val="0001524D"/>
    <w:rsid w:val="0003311D"/>
    <w:rsid w:val="00051572"/>
    <w:rsid w:val="000551F0"/>
    <w:rsid w:val="000723E1"/>
    <w:rsid w:val="000732FD"/>
    <w:rsid w:val="000A394A"/>
    <w:rsid w:val="000A7B13"/>
    <w:rsid w:val="000B032A"/>
    <w:rsid w:val="000B0FED"/>
    <w:rsid w:val="000B50AA"/>
    <w:rsid w:val="000B5B1E"/>
    <w:rsid w:val="000B5F22"/>
    <w:rsid w:val="000C45DC"/>
    <w:rsid w:val="000E5BAF"/>
    <w:rsid w:val="000F7F91"/>
    <w:rsid w:val="001000FA"/>
    <w:rsid w:val="001130C7"/>
    <w:rsid w:val="001163C2"/>
    <w:rsid w:val="00122158"/>
    <w:rsid w:val="00124F98"/>
    <w:rsid w:val="00155265"/>
    <w:rsid w:val="00164EAB"/>
    <w:rsid w:val="0017011F"/>
    <w:rsid w:val="00175800"/>
    <w:rsid w:val="00177574"/>
    <w:rsid w:val="00181719"/>
    <w:rsid w:val="001A0758"/>
    <w:rsid w:val="001B03D9"/>
    <w:rsid w:val="001B189F"/>
    <w:rsid w:val="001B6633"/>
    <w:rsid w:val="001B702B"/>
    <w:rsid w:val="001C685E"/>
    <w:rsid w:val="001D0B06"/>
    <w:rsid w:val="001D49ED"/>
    <w:rsid w:val="001E3D3B"/>
    <w:rsid w:val="00205687"/>
    <w:rsid w:val="00206087"/>
    <w:rsid w:val="00216EC5"/>
    <w:rsid w:val="00221558"/>
    <w:rsid w:val="00223E52"/>
    <w:rsid w:val="00226ED0"/>
    <w:rsid w:val="00233BF0"/>
    <w:rsid w:val="00237DAE"/>
    <w:rsid w:val="00241F99"/>
    <w:rsid w:val="00242237"/>
    <w:rsid w:val="00256A14"/>
    <w:rsid w:val="00274058"/>
    <w:rsid w:val="00275EB4"/>
    <w:rsid w:val="002874F5"/>
    <w:rsid w:val="002903B2"/>
    <w:rsid w:val="00291BE2"/>
    <w:rsid w:val="002C2F8E"/>
    <w:rsid w:val="002D1FDC"/>
    <w:rsid w:val="002D6D5B"/>
    <w:rsid w:val="002E0A86"/>
    <w:rsid w:val="00303C88"/>
    <w:rsid w:val="00307AF3"/>
    <w:rsid w:val="003108BB"/>
    <w:rsid w:val="0032700C"/>
    <w:rsid w:val="0033744B"/>
    <w:rsid w:val="0034492E"/>
    <w:rsid w:val="00347880"/>
    <w:rsid w:val="00356A35"/>
    <w:rsid w:val="00382DD3"/>
    <w:rsid w:val="003870CE"/>
    <w:rsid w:val="00390DBD"/>
    <w:rsid w:val="00396417"/>
    <w:rsid w:val="003A3C32"/>
    <w:rsid w:val="003C6824"/>
    <w:rsid w:val="003D383C"/>
    <w:rsid w:val="003E236B"/>
    <w:rsid w:val="003E4636"/>
    <w:rsid w:val="003F1603"/>
    <w:rsid w:val="003F3ACE"/>
    <w:rsid w:val="003F5070"/>
    <w:rsid w:val="004107E1"/>
    <w:rsid w:val="004131DE"/>
    <w:rsid w:val="00420C93"/>
    <w:rsid w:val="00432BC1"/>
    <w:rsid w:val="00437072"/>
    <w:rsid w:val="00437399"/>
    <w:rsid w:val="004449B6"/>
    <w:rsid w:val="00462687"/>
    <w:rsid w:val="004701AC"/>
    <w:rsid w:val="00491008"/>
    <w:rsid w:val="004A7626"/>
    <w:rsid w:val="004C40AF"/>
    <w:rsid w:val="004D4292"/>
    <w:rsid w:val="004F14A2"/>
    <w:rsid w:val="004F3FE1"/>
    <w:rsid w:val="00500259"/>
    <w:rsid w:val="00520378"/>
    <w:rsid w:val="00523446"/>
    <w:rsid w:val="00544B19"/>
    <w:rsid w:val="005666AB"/>
    <w:rsid w:val="00566DD3"/>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607EA5"/>
    <w:rsid w:val="006319E2"/>
    <w:rsid w:val="00671B99"/>
    <w:rsid w:val="00675BF6"/>
    <w:rsid w:val="00677767"/>
    <w:rsid w:val="006B382B"/>
    <w:rsid w:val="006B5D43"/>
    <w:rsid w:val="006B6B50"/>
    <w:rsid w:val="006E20EC"/>
    <w:rsid w:val="006F08C7"/>
    <w:rsid w:val="006F0E5A"/>
    <w:rsid w:val="00700C3D"/>
    <w:rsid w:val="0070711A"/>
    <w:rsid w:val="00722DC1"/>
    <w:rsid w:val="00727447"/>
    <w:rsid w:val="00742BA6"/>
    <w:rsid w:val="00753525"/>
    <w:rsid w:val="007608F3"/>
    <w:rsid w:val="00761864"/>
    <w:rsid w:val="00764EE7"/>
    <w:rsid w:val="00772660"/>
    <w:rsid w:val="0077504F"/>
    <w:rsid w:val="00781BFD"/>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63123"/>
    <w:rsid w:val="008722C9"/>
    <w:rsid w:val="008822D1"/>
    <w:rsid w:val="00883640"/>
    <w:rsid w:val="00893EB6"/>
    <w:rsid w:val="008A154B"/>
    <w:rsid w:val="008A4C9E"/>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A6D8E"/>
    <w:rsid w:val="009A75A5"/>
    <w:rsid w:val="009B2ACF"/>
    <w:rsid w:val="009B4E71"/>
    <w:rsid w:val="009C49B5"/>
    <w:rsid w:val="009C6EDF"/>
    <w:rsid w:val="009D2393"/>
    <w:rsid w:val="009D3951"/>
    <w:rsid w:val="009E5DC0"/>
    <w:rsid w:val="009E6DE7"/>
    <w:rsid w:val="009F386F"/>
    <w:rsid w:val="00A154BE"/>
    <w:rsid w:val="00A16267"/>
    <w:rsid w:val="00A203B4"/>
    <w:rsid w:val="00A252D0"/>
    <w:rsid w:val="00A25AE2"/>
    <w:rsid w:val="00A402D9"/>
    <w:rsid w:val="00A43B7D"/>
    <w:rsid w:val="00A56416"/>
    <w:rsid w:val="00A84E71"/>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63FF8"/>
    <w:rsid w:val="00B73601"/>
    <w:rsid w:val="00B81FD7"/>
    <w:rsid w:val="00B865E8"/>
    <w:rsid w:val="00B903C3"/>
    <w:rsid w:val="00BB5FC9"/>
    <w:rsid w:val="00BE21A1"/>
    <w:rsid w:val="00BF49E4"/>
    <w:rsid w:val="00C03978"/>
    <w:rsid w:val="00C101E4"/>
    <w:rsid w:val="00C174A5"/>
    <w:rsid w:val="00C17C10"/>
    <w:rsid w:val="00C26065"/>
    <w:rsid w:val="00C501B8"/>
    <w:rsid w:val="00C53174"/>
    <w:rsid w:val="00C54A56"/>
    <w:rsid w:val="00C57D61"/>
    <w:rsid w:val="00C72CF6"/>
    <w:rsid w:val="00C774F1"/>
    <w:rsid w:val="00C8150C"/>
    <w:rsid w:val="00C91D6E"/>
    <w:rsid w:val="00CB67F2"/>
    <w:rsid w:val="00CD1ED8"/>
    <w:rsid w:val="00CE4A84"/>
    <w:rsid w:val="00CE72B0"/>
    <w:rsid w:val="00CF0145"/>
    <w:rsid w:val="00CF0D56"/>
    <w:rsid w:val="00CF457F"/>
    <w:rsid w:val="00D018F3"/>
    <w:rsid w:val="00D14A10"/>
    <w:rsid w:val="00D2744C"/>
    <w:rsid w:val="00D46E54"/>
    <w:rsid w:val="00D572EA"/>
    <w:rsid w:val="00D81DCA"/>
    <w:rsid w:val="00D87D88"/>
    <w:rsid w:val="00DA7C89"/>
    <w:rsid w:val="00DB343A"/>
    <w:rsid w:val="00DC553D"/>
    <w:rsid w:val="00DE1F2C"/>
    <w:rsid w:val="00DF4307"/>
    <w:rsid w:val="00DF55E8"/>
    <w:rsid w:val="00E00C8B"/>
    <w:rsid w:val="00E14A99"/>
    <w:rsid w:val="00E225A4"/>
    <w:rsid w:val="00E269F5"/>
    <w:rsid w:val="00E31893"/>
    <w:rsid w:val="00E46A0C"/>
    <w:rsid w:val="00E65166"/>
    <w:rsid w:val="00E778FE"/>
    <w:rsid w:val="00E77D4B"/>
    <w:rsid w:val="00E82E31"/>
    <w:rsid w:val="00EA5B9F"/>
    <w:rsid w:val="00EA6E03"/>
    <w:rsid w:val="00EB7065"/>
    <w:rsid w:val="00ED0730"/>
    <w:rsid w:val="00ED1D51"/>
    <w:rsid w:val="00ED3B66"/>
    <w:rsid w:val="00ED5C3A"/>
    <w:rsid w:val="00ED6AAB"/>
    <w:rsid w:val="00EE35CB"/>
    <w:rsid w:val="00F04B2F"/>
    <w:rsid w:val="00F14FF5"/>
    <w:rsid w:val="00F30A01"/>
    <w:rsid w:val="00F41E46"/>
    <w:rsid w:val="00F57112"/>
    <w:rsid w:val="00F73806"/>
    <w:rsid w:val="00F75313"/>
    <w:rsid w:val="00F75EA8"/>
    <w:rsid w:val="00F93CA7"/>
    <w:rsid w:val="00FA32C1"/>
    <w:rsid w:val="00FA5983"/>
    <w:rsid w:val="00FA5B27"/>
    <w:rsid w:val="00FB42DD"/>
    <w:rsid w:val="00FC2961"/>
    <w:rsid w:val="00FC59F1"/>
    <w:rsid w:val="00FC71F7"/>
    <w:rsid w:val="1BD57A89"/>
    <w:rsid w:val="5F41229A"/>
    <w:rsid w:val="64EB213E"/>
    <w:rsid w:val="68310FB9"/>
    <w:rsid w:val="6BCC6A2A"/>
  </w:rsids>
  <m:mathPr>
    <m:mathFont m:val="Cambria Math"/>
    <m:brkBin m:val="before"/>
    <m:brkBinSub m:val="--"/>
    <m:smallFrac m:val="0"/>
    <m:dispDef/>
    <m:lMargin m:val="0"/>
    <m:rMargin m:val="0"/>
    <m:defJc m:val="centerGroup"/>
    <m:wrapIndent m:val="1440"/>
    <m:intLim m:val="subSup"/>
    <m:naryLim m:val="undOvr"/>
  </m:mathPr>
  <w:doNotAutoCompressPictures/>
  <w:themeFontLang w:val="fr-CH"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theme="maj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99" w:semiHidden="0" w:name="header"/>
    <w:lsdException w:qFormat="1" w:unhideWhenUsed="0" w:uiPriority="99"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99" w:name="List"/>
    <w:lsdException w:unhideWhenUsed="0" w:uiPriority="0" w:semiHidden="0" w:name="List Bullet"/>
    <w:lsdException w:unhideWhenUsed="0" w:uiPriority="0" w:semiHidden="0" w:name="List Number"/>
    <w:lsdException w:uiPriority="99" w:name="List 2"/>
    <w:lsdException w:uiPriority="99" w:name="List 3"/>
    <w:lsdException w:uiPriority="99" w:name="List 4"/>
    <w:lsdException w:uiPriority="99"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qFormat="1" w:unhideWhenUsed="0" w:uiPriority="0" w:semiHidden="0" w:name="Table Classic 2"/>
    <w:lsdException w:qFormat="1" w:unhideWhenUsed="0" w:uiPriority="0" w:semiHidden="0" w:name="Table Classic 3"/>
    <w:lsdException w:uiPriority="0" w:name="Table Classic 4"/>
    <w:lsdException w:qFormat="1" w:unhideWhenUsed="0" w:uiPriority="0" w:semiHidden="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qFormat="1" w:unhideWhenUsed="0" w:uiPriority="0" w:semiHidden="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34"/>
    <w:qFormat/>
    <w:uiPriority w:val="9"/>
    <w:pPr>
      <w:keepNext/>
      <w:numPr>
        <w:ilvl w:val="0"/>
        <w:numId w:val="1"/>
      </w:numPr>
      <w:spacing w:before="360" w:after="120"/>
      <w:outlineLvl w:val="0"/>
    </w:pPr>
    <w:rPr>
      <w:rFonts w:cs="Arial" w:eastAsiaTheme="minorHAnsi"/>
      <w:b/>
      <w:caps/>
      <w:color w:val="FF6600"/>
      <w:spacing w:val="20"/>
    </w:rPr>
  </w:style>
  <w:style w:type="paragraph" w:styleId="3">
    <w:name w:val="heading 2"/>
    <w:basedOn w:val="1"/>
    <w:next w:val="1"/>
    <w:link w:val="35"/>
    <w:qFormat/>
    <w:uiPriority w:val="9"/>
    <w:pPr>
      <w:numPr>
        <w:ilvl w:val="1"/>
        <w:numId w:val="1"/>
      </w:numPr>
      <w:pBdr>
        <w:bottom w:val="single" w:color="FF6600" w:sz="4" w:space="1"/>
      </w:pBdr>
      <w:spacing w:before="240"/>
      <w:outlineLvl w:val="1"/>
    </w:pPr>
    <w:rPr>
      <w:rFonts w:cs="Arial" w:eastAsiaTheme="minorHAnsi"/>
      <w:b/>
      <w:iCs/>
      <w:smallCaps/>
      <w:color w:val="363636"/>
      <w:spacing w:val="15"/>
      <w:kern w:val="32"/>
      <w:sz w:val="22"/>
    </w:rPr>
  </w:style>
  <w:style w:type="paragraph" w:styleId="4">
    <w:name w:val="heading 3"/>
    <w:basedOn w:val="1"/>
    <w:next w:val="1"/>
    <w:link w:val="36"/>
    <w:qFormat/>
    <w:uiPriority w:val="9"/>
    <w:pPr>
      <w:keepNext/>
      <w:numPr>
        <w:ilvl w:val="2"/>
        <w:numId w:val="1"/>
      </w:numPr>
      <w:spacing w:before="240" w:after="60"/>
      <w:outlineLvl w:val="2"/>
    </w:pPr>
    <w:rPr>
      <w:rFonts w:cs="Arial"/>
      <w:b/>
      <w:bCs/>
      <w:smallCaps/>
      <w:color w:val="FF6600"/>
    </w:rPr>
  </w:style>
  <w:style w:type="paragraph" w:styleId="5">
    <w:name w:val="heading 4"/>
    <w:basedOn w:val="1"/>
    <w:next w:val="1"/>
    <w:link w:val="37"/>
    <w:qFormat/>
    <w:uiPriority w:val="9"/>
    <w:pPr>
      <w:keepNext/>
      <w:numPr>
        <w:ilvl w:val="3"/>
        <w:numId w:val="1"/>
      </w:numPr>
      <w:outlineLvl w:val="3"/>
    </w:pPr>
    <w:rPr>
      <w:rFonts w:eastAsiaTheme="majorEastAsia" w:cstheme="majorBidi"/>
      <w:bCs/>
      <w:sz w:val="18"/>
      <w:szCs w:val="28"/>
      <w:lang w:eastAsia="en-US" w:bidi="en-US"/>
    </w:rPr>
  </w:style>
  <w:style w:type="paragraph" w:styleId="6">
    <w:name w:val="heading 5"/>
    <w:basedOn w:val="1"/>
    <w:next w:val="1"/>
    <w:link w:val="38"/>
    <w:qFormat/>
    <w:uiPriority w:val="9"/>
    <w:pPr>
      <w:keepNext/>
      <w:keepLines/>
      <w:numPr>
        <w:ilvl w:val="4"/>
        <w:numId w:val="1"/>
      </w:numPr>
      <w:outlineLvl w:val="4"/>
    </w:pPr>
    <w:rPr>
      <w:sz w:val="18"/>
      <w:szCs w:val="22"/>
    </w:rPr>
  </w:style>
  <w:style w:type="paragraph" w:styleId="7">
    <w:name w:val="heading 6"/>
    <w:basedOn w:val="1"/>
    <w:next w:val="1"/>
    <w:link w:val="39"/>
    <w:qFormat/>
    <w:uiPriority w:val="9"/>
    <w:pPr>
      <w:numPr>
        <w:ilvl w:val="5"/>
        <w:numId w:val="1"/>
      </w:numPr>
      <w:spacing w:before="240" w:after="60"/>
      <w:outlineLvl w:val="5"/>
    </w:pPr>
    <w:rPr>
      <w:bCs/>
      <w:sz w:val="18"/>
    </w:rPr>
  </w:style>
  <w:style w:type="paragraph" w:styleId="8">
    <w:name w:val="heading 7"/>
    <w:basedOn w:val="1"/>
    <w:next w:val="1"/>
    <w:link w:val="40"/>
    <w:qFormat/>
    <w:uiPriority w:val="9"/>
    <w:pPr>
      <w:numPr>
        <w:ilvl w:val="6"/>
        <w:numId w:val="1"/>
      </w:numPr>
      <w:spacing w:before="240" w:after="60"/>
      <w:outlineLvl w:val="6"/>
    </w:pPr>
    <w:rPr>
      <w:sz w:val="18"/>
    </w:rPr>
  </w:style>
  <w:style w:type="paragraph" w:styleId="9">
    <w:name w:val="heading 8"/>
    <w:basedOn w:val="1"/>
    <w:next w:val="1"/>
    <w:link w:val="41"/>
    <w:qFormat/>
    <w:uiPriority w:val="9"/>
    <w:pPr>
      <w:numPr>
        <w:ilvl w:val="7"/>
        <w:numId w:val="1"/>
      </w:numPr>
      <w:spacing w:before="240" w:after="60"/>
      <w:outlineLvl w:val="7"/>
    </w:pPr>
    <w:rPr>
      <w:iCs/>
      <w:sz w:val="18"/>
    </w:rPr>
  </w:style>
  <w:style w:type="paragraph" w:styleId="10">
    <w:name w:val="heading 9"/>
    <w:basedOn w:val="1"/>
    <w:next w:val="1"/>
    <w:link w:val="42"/>
    <w:qFormat/>
    <w:uiPriority w:val="9"/>
    <w:pPr>
      <w:numPr>
        <w:ilvl w:val="8"/>
        <w:numId w:val="1"/>
      </w:numPr>
      <w:spacing w:before="240" w:after="60"/>
      <w:outlineLvl w:val="8"/>
    </w:pPr>
    <w:rPr>
      <w:sz w:val="18"/>
    </w:rPr>
  </w:style>
  <w:style w:type="character" w:default="1" w:styleId="28">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71"/>
    <w:autoRedefine/>
    <w:unhideWhenUsed/>
    <w:qFormat/>
    <w:uiPriority w:val="0"/>
    <w:pPr>
      <w:jc w:val="left"/>
    </w:pPr>
  </w:style>
  <w:style w:type="paragraph" w:styleId="12">
    <w:name w:val="toc 3"/>
    <w:basedOn w:val="1"/>
    <w:next w:val="1"/>
    <w:autoRedefine/>
    <w:qFormat/>
    <w:uiPriority w:val="39"/>
    <w:pPr>
      <w:keepNext/>
      <w:keepLines/>
      <w:tabs>
        <w:tab w:val="left" w:pos="1418"/>
        <w:tab w:val="right" w:leader="dot" w:pos="9072"/>
      </w:tabs>
      <w:ind w:left="1418" w:hanging="567"/>
    </w:pPr>
    <w:rPr>
      <w:rFonts w:eastAsiaTheme="majorEastAsia" w:cstheme="majorBidi"/>
      <w:sz w:val="18"/>
      <w:szCs w:val="22"/>
      <w:lang w:eastAsia="en-US" w:bidi="en-US"/>
    </w:rPr>
  </w:style>
  <w:style w:type="paragraph" w:styleId="13">
    <w:name w:val="Plain Text"/>
    <w:basedOn w:val="1"/>
    <w:link w:val="73"/>
    <w:autoRedefine/>
    <w:qFormat/>
    <w:uiPriority w:val="0"/>
    <w:rPr>
      <w:rFonts w:ascii="宋体" w:hAnsi="Courier New" w:cs="Times New Roman"/>
      <w:lang w:val="zh-CN"/>
    </w:rPr>
  </w:style>
  <w:style w:type="paragraph" w:styleId="14">
    <w:name w:val="Balloon Text"/>
    <w:basedOn w:val="1"/>
    <w:link w:val="69"/>
    <w:autoRedefine/>
    <w:semiHidden/>
    <w:qFormat/>
    <w:uiPriority w:val="0"/>
    <w:rPr>
      <w:rFonts w:cs="Tahoma"/>
      <w:sz w:val="16"/>
      <w:szCs w:val="16"/>
    </w:rPr>
  </w:style>
  <w:style w:type="paragraph" w:styleId="15">
    <w:name w:val="footer"/>
    <w:basedOn w:val="1"/>
    <w:link w:val="43"/>
    <w:autoRedefine/>
    <w:qFormat/>
    <w:uiPriority w:val="99"/>
    <w:pPr>
      <w:tabs>
        <w:tab w:val="center" w:pos="4513"/>
        <w:tab w:val="right" w:pos="9026"/>
      </w:tabs>
    </w:pPr>
    <w:rPr>
      <w:rFonts w:eastAsiaTheme="majorEastAsia" w:cstheme="majorBidi"/>
      <w:sz w:val="16"/>
      <w:szCs w:val="20"/>
      <w:lang w:eastAsia="en-US" w:bidi="en-US"/>
    </w:rPr>
  </w:style>
  <w:style w:type="paragraph" w:styleId="16">
    <w:name w:val="header"/>
    <w:basedOn w:val="1"/>
    <w:link w:val="67"/>
    <w:autoRedefine/>
    <w:qFormat/>
    <w:uiPriority w:val="99"/>
    <w:pPr>
      <w:tabs>
        <w:tab w:val="center" w:pos="4536"/>
        <w:tab w:val="right" w:pos="9072"/>
      </w:tabs>
    </w:pPr>
  </w:style>
  <w:style w:type="paragraph" w:styleId="17">
    <w:name w:val="toc 1"/>
    <w:basedOn w:val="1"/>
    <w:next w:val="1"/>
    <w:autoRedefine/>
    <w:qFormat/>
    <w:uiPriority w:val="39"/>
    <w:pPr>
      <w:keepNext/>
      <w:keepLines/>
      <w:pBdr>
        <w:left w:val="single" w:color="FF6600" w:sz="48" w:space="4"/>
      </w:pBdr>
      <w:shd w:val="clear" w:color="auto" w:fill="363636"/>
      <w:tabs>
        <w:tab w:val="left" w:pos="426"/>
        <w:tab w:val="right" w:leader="dot" w:pos="9072"/>
      </w:tabs>
    </w:pPr>
    <w:rPr>
      <w:rFonts w:eastAsiaTheme="majorEastAsia" w:cstheme="majorBidi"/>
      <w:b/>
      <w:caps/>
      <w:color w:val="FFFFFF" w:themeColor="background1"/>
      <w:sz w:val="18"/>
      <w:szCs w:val="20"/>
      <w:lang w:eastAsia="en-US" w:bidi="en-US"/>
      <w14:textFill>
        <w14:solidFill>
          <w14:schemeClr w14:val="bg1"/>
        </w14:solidFill>
      </w14:textFill>
    </w:rPr>
  </w:style>
  <w:style w:type="paragraph" w:styleId="18">
    <w:name w:val="Subtitle"/>
    <w:basedOn w:val="1"/>
    <w:next w:val="1"/>
    <w:link w:val="45"/>
    <w:autoRedefine/>
    <w:qFormat/>
    <w:uiPriority w:val="11"/>
    <w:pPr>
      <w:spacing w:after="60"/>
      <w:jc w:val="center"/>
      <w:outlineLvl w:val="1"/>
    </w:pPr>
    <w:rPr>
      <w:rFonts w:eastAsiaTheme="majorEastAsia" w:cstheme="majorBidi"/>
      <w:szCs w:val="20"/>
      <w:lang w:eastAsia="en-US" w:bidi="en-US"/>
    </w:rPr>
  </w:style>
  <w:style w:type="paragraph" w:styleId="19">
    <w:name w:val="toc 2"/>
    <w:basedOn w:val="1"/>
    <w:next w:val="1"/>
    <w:autoRedefine/>
    <w:qFormat/>
    <w:uiPriority w:val="39"/>
    <w:pPr>
      <w:keepNext/>
      <w:keepLines/>
      <w:tabs>
        <w:tab w:val="left" w:pos="880"/>
        <w:tab w:val="right" w:leader="dot" w:pos="9072"/>
      </w:tabs>
    </w:pPr>
    <w:rPr>
      <w:rFonts w:eastAsiaTheme="majorEastAsia" w:cstheme="majorBidi"/>
      <w:smallCaps/>
      <w:sz w:val="18"/>
      <w:szCs w:val="18"/>
      <w:lang w:eastAsia="en-US" w:bidi="en-US"/>
    </w:rPr>
  </w:style>
  <w:style w:type="paragraph" w:styleId="20">
    <w:name w:val="Title"/>
    <w:basedOn w:val="1"/>
    <w:next w:val="1"/>
    <w:link w:val="44"/>
    <w:autoRedefine/>
    <w:qFormat/>
    <w:uiPriority w:val="10"/>
    <w:pPr>
      <w:spacing w:before="240" w:after="60"/>
      <w:jc w:val="center"/>
      <w:outlineLvl w:val="0"/>
    </w:pPr>
    <w:rPr>
      <w:rFonts w:eastAsiaTheme="majorEastAsia" w:cstheme="majorBidi"/>
      <w:b/>
      <w:bCs/>
      <w:kern w:val="28"/>
      <w:szCs w:val="32"/>
      <w:u w:val="single"/>
      <w:lang w:eastAsia="en-US" w:bidi="en-US"/>
    </w:rPr>
  </w:style>
  <w:style w:type="paragraph" w:styleId="21">
    <w:name w:val="annotation subject"/>
    <w:basedOn w:val="11"/>
    <w:next w:val="11"/>
    <w:link w:val="72"/>
    <w:autoRedefine/>
    <w:semiHidden/>
    <w:unhideWhenUsed/>
    <w:qFormat/>
    <w:uiPriority w:val="0"/>
    <w:rPr>
      <w:b/>
      <w:bCs/>
    </w:rPr>
  </w:style>
  <w:style w:type="table" w:styleId="23">
    <w:name w:val="Table Grid"/>
    <w:basedOn w:val="22"/>
    <w:autoRedefine/>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tblStylePr w:type="firstRow">
      <w:pPr>
        <w:jc w:val="left"/>
      </w:pPr>
      <w:rPr>
        <w:color w:val="FF6600"/>
      </w:rPr>
      <w:tcPr>
        <w:tcBorders>
          <w:bottom w:val="single" w:color="363636" w:sz="12" w:space="0"/>
        </w:tcBorders>
      </w:tcPr>
    </w:tblStylePr>
  </w:style>
  <w:style w:type="table" w:styleId="24">
    <w:name w:val="Table Colorful 1"/>
    <w:basedOn w:val="22"/>
    <w:autoRedefine/>
    <w:qFormat/>
    <w:uiPriority w:val="0"/>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Pr/>
    </w:tblStylePr>
  </w:style>
  <w:style w:type="table" w:styleId="25">
    <w:name w:val="Table Classic 2"/>
    <w:basedOn w:val="22"/>
    <w:autoRedefine/>
    <w:qFormat/>
    <w:uiPriority w:val="0"/>
    <w:tblPr>
      <w:tblBorders>
        <w:top w:val="single" w:color="000000" w:sz="12" w:space="0"/>
        <w:bottom w:val="single" w:color="000000" w:sz="12" w:space="0"/>
      </w:tblBorders>
    </w:tblPr>
    <w:tcPr>
      <w:shd w:val="clear" w:color="auto" w:fill="auto"/>
    </w:tcPr>
    <w:tblStylePr w:type="firstRow">
      <w:rPr>
        <w:color w:val="FFFFFF"/>
      </w:rPr>
      <w:tblPr/>
      <w:tcPr>
        <w:shd w:val="clear" w:color="auto" w:fill="FF6600"/>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shd w:val="clear" w:color="auto" w:fill="363636"/>
      </w:tcPr>
    </w:tblStylePr>
    <w:tblStylePr w:type="swCell">
      <w:rPr>
        <w:color w:val="auto"/>
      </w:rPr>
      <w:tblPr/>
      <w:tcPr>
        <w:tcBorders>
          <w:tl2br w:val="nil"/>
          <w:tr2bl w:val="nil"/>
        </w:tcBorders>
      </w:tcPr>
    </w:tblStylePr>
  </w:style>
  <w:style w:type="table" w:styleId="26">
    <w:name w:val="Table Classic 3"/>
    <w:basedOn w:val="22"/>
    <w:autoRedefine/>
    <w:qFormat/>
    <w:uiPriority w:val="0"/>
    <w:rPr>
      <w:color w:val="000080"/>
    </w:rPr>
    <w:tblPr>
      <w:tblBorders>
        <w:top w:val="single" w:color="000000" w:sz="12" w:space="0"/>
        <w:left w:val="single" w:color="000000" w:sz="12" w:space="0"/>
        <w:bottom w:val="single" w:color="000000" w:sz="12" w:space="0"/>
        <w:right w:val="single" w:color="000000" w:sz="12" w:space="0"/>
      </w:tblBorders>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27">
    <w:name w:val="Table List 8"/>
    <w:basedOn w:val="22"/>
    <w:autoRedefine/>
    <w:qFormat/>
    <w:uiPriority w:val="0"/>
    <w:tblPr>
      <w:tblBorders>
        <w:top w:val="single" w:color="000000" w:sz="6" w:space="0"/>
        <w:left w:val="single" w:color="000000" w:sz="6" w:space="0"/>
        <w:bottom w:val="single" w:color="000000" w:sz="6" w:space="0"/>
        <w:right w:val="single" w:color="000000" w:sz="6" w:space="0"/>
        <w:insideV w:val="single" w:color="000000" w:sz="6" w:space="0"/>
      </w:tblBorders>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shd w:val="clear" w:color="auto" w:fill="BCBCBC"/>
      </w:tcPr>
    </w:tblStylePr>
    <w:tblStylePr w:type="band2Horz">
      <w:tblPr/>
      <w:tcPr>
        <w:shd w:val="clear" w:color="auto" w:fill="363636"/>
      </w:tcPr>
    </w:tblStylePr>
    <w:tblStylePr w:type="nwCell">
      <w:tblPr/>
      <w:tcPr>
        <w:tcBorders>
          <w:tl2br w:val="single" w:color="auto" w:sz="6" w:space="0"/>
          <w:tr2bl w:val="nil"/>
        </w:tcBorders>
      </w:tcPr>
    </w:tblStylePr>
  </w:style>
  <w:style w:type="character" w:styleId="29">
    <w:name w:val="Strong"/>
    <w:basedOn w:val="28"/>
    <w:autoRedefine/>
    <w:qFormat/>
    <w:uiPriority w:val="22"/>
    <w:rPr>
      <w:b/>
      <w:bCs/>
    </w:rPr>
  </w:style>
  <w:style w:type="character" w:styleId="30">
    <w:name w:val="FollowedHyperlink"/>
    <w:basedOn w:val="28"/>
    <w:autoRedefine/>
    <w:qFormat/>
    <w:uiPriority w:val="99"/>
    <w:rPr>
      <w:rFonts w:ascii="Arial" w:hAnsi="Arial"/>
      <w:i/>
      <w:color w:val="363636"/>
      <w:sz w:val="20"/>
      <w:u w:val="single"/>
    </w:rPr>
  </w:style>
  <w:style w:type="character" w:styleId="31">
    <w:name w:val="Emphasis"/>
    <w:basedOn w:val="28"/>
    <w:autoRedefine/>
    <w:qFormat/>
    <w:uiPriority w:val="20"/>
    <w:rPr>
      <w:rFonts w:asciiTheme="minorHAnsi" w:hAnsiTheme="minorHAnsi"/>
      <w:b/>
      <w:i/>
      <w:iCs/>
    </w:rPr>
  </w:style>
  <w:style w:type="character" w:styleId="32">
    <w:name w:val="Hyperlink"/>
    <w:basedOn w:val="28"/>
    <w:autoRedefine/>
    <w:qFormat/>
    <w:uiPriority w:val="99"/>
    <w:rPr>
      <w:rFonts w:ascii="Arial" w:hAnsi="Arial"/>
      <w:color w:val="FF6600"/>
      <w:sz w:val="20"/>
      <w:u w:val="single"/>
    </w:rPr>
  </w:style>
  <w:style w:type="character" w:styleId="33">
    <w:name w:val="annotation reference"/>
    <w:basedOn w:val="28"/>
    <w:autoRedefine/>
    <w:semiHidden/>
    <w:unhideWhenUsed/>
    <w:qFormat/>
    <w:uiPriority w:val="0"/>
    <w:rPr>
      <w:sz w:val="21"/>
      <w:szCs w:val="21"/>
    </w:rPr>
  </w:style>
  <w:style w:type="character" w:customStyle="1" w:styleId="34">
    <w:name w:val="标题 1 字符"/>
    <w:basedOn w:val="28"/>
    <w:link w:val="2"/>
    <w:qFormat/>
    <w:uiPriority w:val="9"/>
    <w:rPr>
      <w:rFonts w:cs="Arial" w:eastAsiaTheme="minorHAnsi"/>
      <w:b/>
      <w:caps/>
      <w:color w:val="FF6600"/>
      <w:spacing w:val="20"/>
      <w:szCs w:val="24"/>
      <w:lang w:eastAsia="fr-FR"/>
    </w:rPr>
  </w:style>
  <w:style w:type="character" w:customStyle="1" w:styleId="35">
    <w:name w:val="标题 2 字符"/>
    <w:basedOn w:val="28"/>
    <w:link w:val="3"/>
    <w:qFormat/>
    <w:uiPriority w:val="9"/>
    <w:rPr>
      <w:rFonts w:cs="Arial" w:eastAsiaTheme="minorHAnsi"/>
      <w:b/>
      <w:iCs/>
      <w:smallCaps/>
      <w:color w:val="363636"/>
      <w:spacing w:val="15"/>
      <w:kern w:val="32"/>
      <w:sz w:val="22"/>
      <w:szCs w:val="24"/>
      <w:lang w:eastAsia="fr-FR"/>
    </w:rPr>
  </w:style>
  <w:style w:type="character" w:customStyle="1" w:styleId="36">
    <w:name w:val="标题 3 字符"/>
    <w:basedOn w:val="28"/>
    <w:link w:val="4"/>
    <w:qFormat/>
    <w:uiPriority w:val="9"/>
    <w:rPr>
      <w:rFonts w:cs="Arial"/>
      <w:b/>
      <w:bCs/>
      <w:smallCaps/>
      <w:color w:val="FF6600"/>
      <w:szCs w:val="24"/>
      <w:lang w:eastAsia="fr-FR"/>
    </w:rPr>
  </w:style>
  <w:style w:type="character" w:customStyle="1" w:styleId="37">
    <w:name w:val="标题 4 字符"/>
    <w:basedOn w:val="28"/>
    <w:link w:val="5"/>
    <w:qFormat/>
    <w:uiPriority w:val="9"/>
    <w:rPr>
      <w:rFonts w:eastAsiaTheme="majorEastAsia"/>
      <w:bCs/>
      <w:sz w:val="18"/>
      <w:szCs w:val="28"/>
      <w:lang w:bidi="en-US"/>
    </w:rPr>
  </w:style>
  <w:style w:type="character" w:customStyle="1" w:styleId="38">
    <w:name w:val="标题 5 字符"/>
    <w:basedOn w:val="28"/>
    <w:link w:val="6"/>
    <w:qFormat/>
    <w:uiPriority w:val="9"/>
    <w:rPr>
      <w:rFonts w:cs="Times New Roman"/>
      <w:sz w:val="18"/>
      <w:szCs w:val="22"/>
      <w:lang w:eastAsia="fr-FR"/>
    </w:rPr>
  </w:style>
  <w:style w:type="character" w:customStyle="1" w:styleId="39">
    <w:name w:val="标题 6 字符"/>
    <w:basedOn w:val="28"/>
    <w:link w:val="7"/>
    <w:uiPriority w:val="9"/>
    <w:rPr>
      <w:rFonts w:cs="Times New Roman"/>
      <w:bCs/>
      <w:sz w:val="18"/>
      <w:szCs w:val="24"/>
      <w:lang w:eastAsia="fr-FR"/>
    </w:rPr>
  </w:style>
  <w:style w:type="character" w:customStyle="1" w:styleId="40">
    <w:name w:val="标题 7 字符"/>
    <w:basedOn w:val="28"/>
    <w:link w:val="8"/>
    <w:uiPriority w:val="9"/>
    <w:rPr>
      <w:rFonts w:cs="Times New Roman"/>
      <w:sz w:val="18"/>
      <w:szCs w:val="24"/>
      <w:lang w:eastAsia="fr-FR"/>
    </w:rPr>
  </w:style>
  <w:style w:type="character" w:customStyle="1" w:styleId="41">
    <w:name w:val="标题 8 字符"/>
    <w:basedOn w:val="28"/>
    <w:link w:val="9"/>
    <w:autoRedefine/>
    <w:qFormat/>
    <w:uiPriority w:val="9"/>
    <w:rPr>
      <w:rFonts w:cs="Times New Roman"/>
      <w:iCs/>
      <w:sz w:val="18"/>
      <w:szCs w:val="24"/>
      <w:lang w:eastAsia="fr-FR"/>
    </w:rPr>
  </w:style>
  <w:style w:type="character" w:customStyle="1" w:styleId="42">
    <w:name w:val="标题 9 字符"/>
    <w:basedOn w:val="28"/>
    <w:link w:val="10"/>
    <w:autoRedefine/>
    <w:uiPriority w:val="9"/>
    <w:rPr>
      <w:rFonts w:cs="Times New Roman"/>
      <w:sz w:val="18"/>
      <w:szCs w:val="24"/>
      <w:lang w:eastAsia="fr-FR"/>
    </w:rPr>
  </w:style>
  <w:style w:type="character" w:customStyle="1" w:styleId="43">
    <w:name w:val="页脚 字符"/>
    <w:basedOn w:val="28"/>
    <w:link w:val="15"/>
    <w:autoRedefine/>
    <w:qFormat/>
    <w:uiPriority w:val="99"/>
    <w:rPr>
      <w:rFonts w:eastAsiaTheme="majorEastAsia"/>
      <w:sz w:val="16"/>
      <w:lang w:bidi="en-US"/>
    </w:rPr>
  </w:style>
  <w:style w:type="character" w:customStyle="1" w:styleId="44">
    <w:name w:val="标题 字符"/>
    <w:basedOn w:val="28"/>
    <w:link w:val="20"/>
    <w:autoRedefine/>
    <w:qFormat/>
    <w:uiPriority w:val="10"/>
    <w:rPr>
      <w:rFonts w:eastAsiaTheme="majorEastAsia"/>
      <w:b/>
      <w:bCs/>
      <w:kern w:val="28"/>
      <w:szCs w:val="32"/>
      <w:u w:val="single"/>
      <w:lang w:bidi="en-US"/>
    </w:rPr>
  </w:style>
  <w:style w:type="character" w:customStyle="1" w:styleId="45">
    <w:name w:val="副标题 字符"/>
    <w:basedOn w:val="28"/>
    <w:link w:val="18"/>
    <w:autoRedefine/>
    <w:qFormat/>
    <w:uiPriority w:val="11"/>
    <w:rPr>
      <w:rFonts w:eastAsiaTheme="majorEastAsia"/>
      <w:lang w:bidi="en-US"/>
    </w:rPr>
  </w:style>
  <w:style w:type="paragraph" w:styleId="46">
    <w:name w:val="No Spacing"/>
    <w:basedOn w:val="1"/>
    <w:link w:val="47"/>
    <w:autoRedefine/>
    <w:qFormat/>
    <w:uiPriority w:val="1"/>
    <w:rPr>
      <w:rFonts w:eastAsiaTheme="majorEastAsia" w:cstheme="majorBidi"/>
      <w:szCs w:val="32"/>
      <w:lang w:eastAsia="en-US" w:bidi="en-US"/>
    </w:rPr>
  </w:style>
  <w:style w:type="character" w:customStyle="1" w:styleId="47">
    <w:name w:val="无间隔 字符"/>
    <w:basedOn w:val="28"/>
    <w:link w:val="46"/>
    <w:autoRedefine/>
    <w:uiPriority w:val="1"/>
    <w:rPr>
      <w:rFonts w:eastAsiaTheme="majorEastAsia"/>
      <w:szCs w:val="32"/>
      <w:lang w:bidi="en-US"/>
    </w:rPr>
  </w:style>
  <w:style w:type="paragraph" w:styleId="48">
    <w:name w:val="List Paragraph"/>
    <w:basedOn w:val="1"/>
    <w:autoRedefine/>
    <w:qFormat/>
    <w:uiPriority w:val="34"/>
    <w:pPr>
      <w:ind w:left="720"/>
      <w:contextualSpacing/>
    </w:pPr>
  </w:style>
  <w:style w:type="paragraph" w:styleId="49">
    <w:name w:val="Quote"/>
    <w:basedOn w:val="1"/>
    <w:next w:val="1"/>
    <w:link w:val="50"/>
    <w:autoRedefine/>
    <w:qFormat/>
    <w:uiPriority w:val="29"/>
    <w:rPr>
      <w:rFonts w:eastAsiaTheme="majorEastAsia" w:cstheme="majorBidi"/>
      <w:i/>
      <w:szCs w:val="20"/>
      <w:lang w:eastAsia="en-US" w:bidi="en-US"/>
    </w:rPr>
  </w:style>
  <w:style w:type="character" w:customStyle="1" w:styleId="50">
    <w:name w:val="引用 字符"/>
    <w:basedOn w:val="28"/>
    <w:link w:val="49"/>
    <w:autoRedefine/>
    <w:qFormat/>
    <w:uiPriority w:val="29"/>
    <w:rPr>
      <w:rFonts w:eastAsiaTheme="majorEastAsia"/>
      <w:i/>
      <w:lang w:bidi="en-US"/>
    </w:rPr>
  </w:style>
  <w:style w:type="paragraph" w:styleId="51">
    <w:name w:val="Intense Quote"/>
    <w:basedOn w:val="1"/>
    <w:next w:val="1"/>
    <w:link w:val="52"/>
    <w:autoRedefine/>
    <w:qFormat/>
    <w:uiPriority w:val="30"/>
    <w:pPr>
      <w:ind w:left="720" w:right="720"/>
    </w:pPr>
    <w:rPr>
      <w:rFonts w:eastAsiaTheme="majorEastAsia" w:cstheme="majorBidi"/>
      <w:b/>
      <w:i/>
      <w:szCs w:val="20"/>
      <w:lang w:eastAsia="en-US" w:bidi="en-US"/>
    </w:rPr>
  </w:style>
  <w:style w:type="character" w:customStyle="1" w:styleId="52">
    <w:name w:val="明显引用 字符"/>
    <w:basedOn w:val="28"/>
    <w:link w:val="51"/>
    <w:autoRedefine/>
    <w:uiPriority w:val="30"/>
    <w:rPr>
      <w:rFonts w:eastAsiaTheme="majorEastAsia"/>
      <w:b/>
      <w:i/>
      <w:lang w:bidi="en-US"/>
    </w:rPr>
  </w:style>
  <w:style w:type="character" w:customStyle="1" w:styleId="53">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54">
    <w:name w:val="明显强调1"/>
    <w:basedOn w:val="28"/>
    <w:autoRedefine/>
    <w:qFormat/>
    <w:uiPriority w:val="21"/>
    <w:rPr>
      <w:b/>
      <w:i/>
      <w:sz w:val="24"/>
      <w:szCs w:val="24"/>
      <w:u w:val="single"/>
    </w:rPr>
  </w:style>
  <w:style w:type="character" w:customStyle="1" w:styleId="55">
    <w:name w:val="不明显参考1"/>
    <w:basedOn w:val="28"/>
    <w:autoRedefine/>
    <w:qFormat/>
    <w:uiPriority w:val="31"/>
    <w:rPr>
      <w:sz w:val="24"/>
      <w:szCs w:val="24"/>
      <w:u w:val="single"/>
    </w:rPr>
  </w:style>
  <w:style w:type="character" w:customStyle="1" w:styleId="56">
    <w:name w:val="明显参考1"/>
    <w:basedOn w:val="28"/>
    <w:autoRedefine/>
    <w:qFormat/>
    <w:uiPriority w:val="32"/>
    <w:rPr>
      <w:b/>
      <w:sz w:val="24"/>
      <w:u w:val="single"/>
    </w:rPr>
  </w:style>
  <w:style w:type="character" w:customStyle="1" w:styleId="57">
    <w:name w:val="书籍标题1"/>
    <w:basedOn w:val="28"/>
    <w:autoRedefine/>
    <w:qFormat/>
    <w:uiPriority w:val="33"/>
    <w:rPr>
      <w:rFonts w:asciiTheme="majorHAnsi" w:hAnsiTheme="majorHAnsi" w:eastAsiaTheme="majorEastAsia"/>
      <w:b/>
      <w:i/>
      <w:sz w:val="24"/>
      <w:szCs w:val="24"/>
    </w:rPr>
  </w:style>
  <w:style w:type="paragraph" w:customStyle="1" w:styleId="58">
    <w:name w:val="TOC 标题1"/>
    <w:basedOn w:val="2"/>
    <w:next w:val="1"/>
    <w:autoRedefine/>
    <w:qFormat/>
    <w:uiPriority w:val="39"/>
    <w:pPr>
      <w:numPr>
        <w:numId w:val="0"/>
      </w:numPr>
      <w:outlineLvl w:val="9"/>
    </w:pPr>
  </w:style>
  <w:style w:type="paragraph" w:customStyle="1" w:styleId="59">
    <w:name w:val="List 1"/>
    <w:basedOn w:val="1"/>
    <w:link w:val="60"/>
    <w:autoRedefine/>
    <w:qFormat/>
    <w:uiPriority w:val="99"/>
    <w:pPr>
      <w:numPr>
        <w:ilvl w:val="0"/>
        <w:numId w:val="2"/>
      </w:numPr>
      <w:spacing w:before="60"/>
    </w:pPr>
    <w:rPr>
      <w:rFonts w:eastAsiaTheme="majorEastAsia" w:cstheme="majorBidi"/>
      <w:szCs w:val="20"/>
      <w:lang w:eastAsia="en-US" w:bidi="en-US"/>
    </w:rPr>
  </w:style>
  <w:style w:type="character" w:customStyle="1" w:styleId="60">
    <w:name w:val="List 1 Char"/>
    <w:basedOn w:val="28"/>
    <w:link w:val="59"/>
    <w:autoRedefine/>
    <w:qFormat/>
    <w:uiPriority w:val="99"/>
    <w:rPr>
      <w:rFonts w:eastAsiaTheme="majorEastAsia"/>
      <w:lang w:bidi="en-US"/>
    </w:rPr>
  </w:style>
  <w:style w:type="paragraph" w:customStyle="1" w:styleId="61">
    <w:name w:val="Highlight"/>
    <w:basedOn w:val="1"/>
    <w:autoRedefine/>
    <w:qFormat/>
    <w:uiPriority w:val="99"/>
    <w:rPr>
      <w:color w:val="BF0000" w:themeColor="accent6" w:themeShade="BF"/>
    </w:rPr>
  </w:style>
  <w:style w:type="paragraph" w:customStyle="1" w:styleId="62">
    <w:name w:val="Numbered 1"/>
    <w:basedOn w:val="1"/>
    <w:autoRedefine/>
    <w:qFormat/>
    <w:uiPriority w:val="0"/>
    <w:pPr>
      <w:numPr>
        <w:ilvl w:val="0"/>
        <w:numId w:val="3"/>
      </w:numPr>
      <w:spacing w:before="60"/>
    </w:pPr>
  </w:style>
  <w:style w:type="paragraph" w:customStyle="1" w:styleId="63">
    <w:name w:val="List2"/>
    <w:basedOn w:val="59"/>
    <w:autoRedefine/>
    <w:qFormat/>
    <w:uiPriority w:val="99"/>
    <w:pPr>
      <w:numPr>
        <w:numId w:val="0"/>
      </w:numPr>
      <w:spacing w:before="0"/>
    </w:pPr>
    <w:rPr>
      <w:szCs w:val="24"/>
      <w:lang w:val="fr-FR" w:eastAsia="fr-FR" w:bidi="ar-SA"/>
    </w:rPr>
  </w:style>
  <w:style w:type="paragraph" w:customStyle="1" w:styleId="64">
    <w:name w:val="Style Heading 5 + First line:  0 cm"/>
    <w:basedOn w:val="6"/>
    <w:autoRedefine/>
    <w:qFormat/>
    <w:uiPriority w:val="0"/>
    <w:pPr>
      <w:numPr>
        <w:ilvl w:val="0"/>
        <w:numId w:val="0"/>
      </w:numPr>
    </w:pPr>
    <w:rPr>
      <w:color w:val="363636"/>
      <w:szCs w:val="24"/>
      <w:u w:val="single"/>
    </w:rPr>
  </w:style>
  <w:style w:type="paragraph" w:customStyle="1" w:styleId="65">
    <w:name w:val="Glossary"/>
    <w:basedOn w:val="1"/>
    <w:link w:val="66"/>
    <w:autoRedefine/>
    <w:qFormat/>
    <w:uiPriority w:val="99"/>
    <w:pPr>
      <w:spacing w:before="40"/>
    </w:pPr>
    <w:rPr>
      <w:rFonts w:cstheme="majorBidi"/>
      <w:sz w:val="16"/>
      <w:szCs w:val="16"/>
      <w:lang w:eastAsia="en-GB"/>
    </w:rPr>
  </w:style>
  <w:style w:type="character" w:customStyle="1" w:styleId="66">
    <w:name w:val="Glossary Char"/>
    <w:basedOn w:val="28"/>
    <w:link w:val="65"/>
    <w:autoRedefine/>
    <w:qFormat/>
    <w:uiPriority w:val="99"/>
    <w:rPr>
      <w:sz w:val="16"/>
      <w:szCs w:val="16"/>
      <w:lang w:eastAsia="en-GB"/>
    </w:rPr>
  </w:style>
  <w:style w:type="character" w:customStyle="1" w:styleId="67">
    <w:name w:val="页眉 字符"/>
    <w:basedOn w:val="28"/>
    <w:link w:val="16"/>
    <w:autoRedefine/>
    <w:qFormat/>
    <w:uiPriority w:val="99"/>
    <w:rPr>
      <w:rFonts w:cs="Times New Roman"/>
      <w:szCs w:val="24"/>
      <w:lang w:eastAsia="fr-FR"/>
    </w:rPr>
  </w:style>
  <w:style w:type="table" w:customStyle="1" w:styleId="68">
    <w:name w:val="SGS Table Basic 2"/>
    <w:basedOn w:val="22"/>
    <w:autoRedefine/>
    <w:qFormat/>
    <w:uiPriority w:val="99"/>
    <w:tcPr>
      <w:shd w:val="clear" w:color="auto" w:fill="BCBCBC"/>
    </w:tcPr>
    <w:tblStylePr w:type="firstRow">
      <w:pPr>
        <w:jc w:val="left"/>
      </w:pPr>
      <w:tcPr>
        <w:shd w:val="clear" w:color="auto" w:fill="363636"/>
        <w:vAlign w:val="center"/>
      </w:tcPr>
    </w:tblStylePr>
  </w:style>
  <w:style w:type="character" w:customStyle="1" w:styleId="69">
    <w:name w:val="批注框文本 字符"/>
    <w:basedOn w:val="28"/>
    <w:link w:val="14"/>
    <w:autoRedefine/>
    <w:semiHidden/>
    <w:qFormat/>
    <w:uiPriority w:val="0"/>
    <w:rPr>
      <w:rFonts w:cs="Tahoma"/>
      <w:sz w:val="16"/>
      <w:szCs w:val="16"/>
      <w:lang w:val="fr-FR" w:eastAsia="fr-FR"/>
    </w:rPr>
  </w:style>
  <w:style w:type="character" w:customStyle="1" w:styleId="70">
    <w:name w:val="NormalCharacter"/>
    <w:autoRedefine/>
    <w:semiHidden/>
    <w:qFormat/>
    <w:uiPriority w:val="0"/>
  </w:style>
  <w:style w:type="character" w:customStyle="1" w:styleId="71">
    <w:name w:val="批注文字 字符"/>
    <w:basedOn w:val="28"/>
    <w:link w:val="11"/>
    <w:autoRedefine/>
    <w:qFormat/>
    <w:uiPriority w:val="0"/>
    <w:rPr>
      <w:rFonts w:ascii="Calibri" w:hAnsi="Calibri" w:eastAsia="宋体" w:cs="Calibri"/>
      <w:kern w:val="2"/>
      <w:sz w:val="21"/>
      <w:szCs w:val="21"/>
    </w:rPr>
  </w:style>
  <w:style w:type="character" w:customStyle="1" w:styleId="72">
    <w:name w:val="批注主题 字符"/>
    <w:basedOn w:val="71"/>
    <w:link w:val="21"/>
    <w:autoRedefine/>
    <w:semiHidden/>
    <w:qFormat/>
    <w:uiPriority w:val="0"/>
    <w:rPr>
      <w:rFonts w:ascii="Calibri" w:hAnsi="Calibri" w:eastAsia="宋体" w:cs="Calibri"/>
      <w:b/>
      <w:bCs/>
      <w:kern w:val="2"/>
      <w:sz w:val="21"/>
      <w:szCs w:val="21"/>
    </w:rPr>
  </w:style>
  <w:style w:type="character" w:customStyle="1" w:styleId="73">
    <w:name w:val="纯文本 字符"/>
    <w:basedOn w:val="28"/>
    <w:link w:val="13"/>
    <w:autoRedefine/>
    <w:qFormat/>
    <w:uiPriority w:val="0"/>
    <w:rPr>
      <w:rFonts w:ascii="宋体" w:hAnsi="Courier New" w:eastAsia="宋体" w:cs="Times New Roman"/>
      <w:kern w:val="2"/>
      <w:sz w:val="21"/>
      <w:szCs w:val="21"/>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65833-17A3-4EA8-89FA-61E2AA337959}">
  <ds:schemaRefs/>
</ds:datastoreItem>
</file>

<file path=docProps/app.xml><?xml version="1.0" encoding="utf-8"?>
<Properties xmlns="http://schemas.openxmlformats.org/officeDocument/2006/extended-properties" xmlns:vt="http://schemas.openxmlformats.org/officeDocument/2006/docPropsVTypes">
  <Template>Normal</Template>
  <Pages>2</Pages>
  <Words>1057</Words>
  <Characters>1387</Characters>
  <Lines>10</Lines>
  <Paragraphs>3</Paragraphs>
  <TotalTime>12</TotalTime>
  <ScaleCrop>false</ScaleCrop>
  <LinksUpToDate>false</LinksUpToDate>
  <CharactersWithSpaces>1432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2023-08-01T00:42:00Z</dcterms:created>
  <dc:creator>Zhao, Rose (Shanghai)</dc:creator>
  <cp:lastModifiedBy>卡卡西里路耶</cp:lastModifiedBy>
  <dcterms:modified xsi:type="dcterms:W3CDTF">2024-07-17T07:06:32Z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760D6F5326774BC8B0318242EF13D4C7_13</vt:lpwstr>
  </property>
</Properties>
</file>