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2"/>
          <w:szCs w:val="32"/>
        </w:rPr>
        <w:t>2024年湖州市普通照明用灯具产品质量监督抽查实施细则</w:t>
      </w:r>
    </w:p>
    <w:p>
      <w:pPr>
        <w:adjustRightInd w:val="0"/>
        <w:snapToGrid w:val="0"/>
        <w:spacing w:line="440" w:lineRule="exact"/>
        <w:rPr>
          <w:rFonts w:ascii="Times New Roman" w:hAnsi="Times New Roman" w:eastAsia="方正小标宋简体" w:cs="Times New Roman"/>
          <w:sz w:val="24"/>
          <w:szCs w:val="24"/>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eastAsia="黑体" w:cs="Times New Roman"/>
        </w:rPr>
        <w:t>1 抽样方法</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以随机抽样的方式在被抽样生产者、销售者的待销产品中抽取。</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eastAsia="黑体"/>
          <w:color w:val="000000"/>
        </w:rPr>
      </w:pPr>
      <w:r>
        <w:rPr>
          <w:rFonts w:ascii="Times New Roman" w:hAnsi="Times New Roman"/>
        </w:rPr>
        <w:t>随机数一般可使用随机数表等方法产生。</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rPr>
      </w:pPr>
      <w:r>
        <w:rPr>
          <w:rFonts w:hint="eastAsia"/>
        </w:rPr>
        <w:t>从同一生产者同一标准生产的同一商标、同一规格型号的产品中抽取3只样品，</w:t>
      </w:r>
      <w:r>
        <w:rPr>
          <w:rFonts w:hint="eastAsia" w:hAnsi="宋体"/>
        </w:rPr>
        <w:t>其中2只为检验样品</w:t>
      </w:r>
      <w:r>
        <w:rPr>
          <w:rFonts w:hint="eastAsia" w:hAnsi="宋体"/>
          <w:kern w:val="0"/>
        </w:rPr>
        <w:t>，1只为备用样品。</w:t>
      </w: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cs="Times New Roman"/>
        </w:rPr>
      </w:pPr>
    </w:p>
    <w:p>
      <w:pPr>
        <w:keepNext w:val="0"/>
        <w:keepLines w:val="0"/>
        <w:pageBreakBefore w:val="0"/>
        <w:kinsoku/>
        <w:wordWrap/>
        <w:overflowPunct/>
        <w:topLinePunct w:val="0"/>
        <w:autoSpaceDE/>
        <w:autoSpaceDN/>
        <w:bidi w:val="0"/>
        <w:adjustRightInd w:val="0"/>
        <w:snapToGrid w:val="0"/>
        <w:spacing w:line="440" w:lineRule="exact"/>
        <w:textAlignment w:val="auto"/>
        <w:rPr>
          <w:rFonts w:ascii="Times New Roman" w:hAnsi="Times New Roman" w:eastAsia="黑体" w:cs="Times New Roman"/>
        </w:rPr>
      </w:pPr>
      <w:r>
        <w:rPr>
          <w:rFonts w:ascii="Times New Roman" w:hAnsi="Times New Roman" w:cs="Times New Roman"/>
        </w:rPr>
        <w:t xml:space="preserve">2 </w:t>
      </w:r>
      <w:r>
        <w:rPr>
          <w:rFonts w:ascii="Times New Roman" w:hAnsi="Times New Roman" w:eastAsia="黑体" w:cs="Times New Roman"/>
        </w:rPr>
        <w:t>检验依据</w:t>
      </w:r>
    </w:p>
    <w:p>
      <w:pPr>
        <w:keepNext w:val="0"/>
        <w:keepLines w:val="0"/>
        <w:pageBreakBefore w:val="0"/>
        <w:kinsoku/>
        <w:wordWrap/>
        <w:overflowPunct/>
        <w:topLinePunct w:val="0"/>
        <w:autoSpaceDE/>
        <w:autoSpaceDN/>
        <w:bidi w:val="0"/>
        <w:spacing w:line="440" w:lineRule="exact"/>
        <w:textAlignment w:val="auto"/>
        <w:rPr>
          <w:rFonts w:hint="eastAsia"/>
        </w:rPr>
      </w:pPr>
    </w:p>
    <w:p>
      <w:pPr>
        <w:keepNext w:val="0"/>
        <w:keepLines w:val="0"/>
        <w:pageBreakBefore w:val="0"/>
        <w:tabs>
          <w:tab w:val="left" w:pos="4080"/>
        </w:tabs>
        <w:kinsoku/>
        <w:wordWrap/>
        <w:overflowPunct/>
        <w:topLinePunct w:val="0"/>
        <w:autoSpaceDE/>
        <w:autoSpaceDN/>
        <w:bidi w:val="0"/>
        <w:adjustRightInd w:val="0"/>
        <w:snapToGrid w:val="0"/>
        <w:spacing w:line="440" w:lineRule="exact"/>
        <w:ind w:firstLine="420" w:firstLineChars="200"/>
        <w:jc w:val="center"/>
        <w:textAlignment w:val="auto"/>
        <w:rPr>
          <w:rFonts w:hint="default" w:eastAsia="宋体"/>
          <w:lang w:val="en-US" w:eastAsia="zh-CN"/>
        </w:rPr>
      </w:pPr>
      <w:r>
        <w:rPr>
          <w:rFonts w:hint="eastAsia"/>
        </w:rPr>
        <w:t>表1 固定式通用灯具</w:t>
      </w:r>
      <w:r>
        <w:rPr>
          <w:rFonts w:hint="eastAsia"/>
          <w:lang w:val="en-US" w:eastAsia="zh-CN"/>
        </w:rPr>
        <w:t>检验项目表</w:t>
      </w:r>
    </w:p>
    <w:tbl>
      <w:tblPr>
        <w:tblStyle w:val="22"/>
        <w:tblW w:w="96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24"/>
        <w:gridCol w:w="3204"/>
        <w:gridCol w:w="3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序号</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检验项目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rPr>
              <w:t>检验依据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1</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标记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2</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结构</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3</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爬电距离和电气间隙</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4</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接地规定</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5</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接线端子</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6</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外部接线和内部接线</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7</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防触电保护</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8</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耐久性试验和热试验</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7000.201-2008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9</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防尘、防固体异物和防水</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10</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绝缘电阻和电气强度、接触电流和保护导体电流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11</w:t>
            </w:r>
          </w:p>
        </w:tc>
        <w:tc>
          <w:tcPr>
            <w:tcW w:w="222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耐热、耐火和耐起痕</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7000.201-2008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12</w:t>
            </w:r>
          </w:p>
        </w:tc>
        <w:tc>
          <w:tcPr>
            <w:tcW w:w="2224"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骚扰电压</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13</w:t>
            </w:r>
          </w:p>
        </w:tc>
        <w:tc>
          <w:tcPr>
            <w:tcW w:w="2224"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辐射骚扰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14</w:t>
            </w:r>
          </w:p>
        </w:tc>
        <w:tc>
          <w:tcPr>
            <w:tcW w:w="2224"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谐波电流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r>
    </w:tbl>
    <w:p>
      <w:pPr>
        <w:keepNext w:val="0"/>
        <w:keepLines w:val="0"/>
        <w:pageBreakBefore w:val="0"/>
        <w:tabs>
          <w:tab w:val="left" w:pos="4080"/>
        </w:tabs>
        <w:kinsoku/>
        <w:wordWrap/>
        <w:overflowPunct/>
        <w:topLinePunct w:val="0"/>
        <w:autoSpaceDE/>
        <w:autoSpaceDN/>
        <w:bidi w:val="0"/>
        <w:adjustRightInd w:val="0"/>
        <w:snapToGrid w:val="0"/>
        <w:spacing w:line="440" w:lineRule="exact"/>
        <w:ind w:firstLine="420" w:firstLineChars="200"/>
        <w:jc w:val="center"/>
        <w:textAlignment w:val="auto"/>
      </w:pPr>
    </w:p>
    <w:p>
      <w:pPr>
        <w:keepNext w:val="0"/>
        <w:keepLines w:val="0"/>
        <w:pageBreakBefore w:val="0"/>
        <w:tabs>
          <w:tab w:val="left" w:pos="4080"/>
        </w:tabs>
        <w:kinsoku/>
        <w:wordWrap/>
        <w:overflowPunct/>
        <w:topLinePunct w:val="0"/>
        <w:autoSpaceDE/>
        <w:autoSpaceDN/>
        <w:bidi w:val="0"/>
        <w:adjustRightInd w:val="0"/>
        <w:snapToGrid w:val="0"/>
        <w:spacing w:line="440" w:lineRule="exact"/>
        <w:ind w:firstLine="420" w:firstLineChars="200"/>
        <w:jc w:val="center"/>
        <w:textAlignment w:val="auto"/>
      </w:pPr>
      <w:r>
        <w:rPr>
          <w:rFonts w:hint="eastAsia"/>
        </w:rPr>
        <w:t xml:space="preserve">表2 </w:t>
      </w:r>
      <w:r>
        <w:rPr>
          <w:rFonts w:hint="eastAsia"/>
          <w:color w:val="000000"/>
        </w:rPr>
        <w:t>嵌入式灯具</w:t>
      </w:r>
      <w:r>
        <w:rPr>
          <w:rFonts w:hint="eastAsia"/>
          <w:lang w:val="en-US" w:eastAsia="zh-CN"/>
        </w:rPr>
        <w:t>检验项目表</w:t>
      </w:r>
    </w:p>
    <w:tbl>
      <w:tblPr>
        <w:tblStyle w:val="22"/>
        <w:tblW w:w="9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306"/>
        <w:gridCol w:w="3204"/>
        <w:gridCol w:w="3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序号</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检验项目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rPr>
              <w:t>检验依据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1</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标记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2</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结构</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3</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爬电距离和电气间隙</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4</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接地规定</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5</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接线端子</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6</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外部接线和内部接线</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7000.202-2008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7000.202-2008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7</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防触电保护</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7000.202-2008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7000.202-2008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8</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耐久性试验和热试验</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7000.202-2008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9</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防尘、防固体异物和防水</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10</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绝缘电阻和电气强度、接触电流和保护导体电流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11</w:t>
            </w:r>
          </w:p>
        </w:tc>
        <w:tc>
          <w:tcPr>
            <w:tcW w:w="2306"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耐热、耐火和耐起痕</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7000.202-2008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12</w:t>
            </w:r>
          </w:p>
        </w:tc>
        <w:tc>
          <w:tcPr>
            <w:tcW w:w="2306"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骚扰电压</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13</w:t>
            </w:r>
          </w:p>
        </w:tc>
        <w:tc>
          <w:tcPr>
            <w:tcW w:w="2306"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辐射骚扰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14</w:t>
            </w:r>
          </w:p>
        </w:tc>
        <w:tc>
          <w:tcPr>
            <w:tcW w:w="2306"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谐波电流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r>
    </w:tbl>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pPr>
    </w:p>
    <w:p>
      <w:pPr>
        <w:keepNext w:val="0"/>
        <w:keepLines w:val="0"/>
        <w:pageBreakBefore w:val="0"/>
        <w:tabs>
          <w:tab w:val="left" w:pos="4080"/>
        </w:tabs>
        <w:kinsoku/>
        <w:wordWrap/>
        <w:overflowPunct/>
        <w:topLinePunct w:val="0"/>
        <w:autoSpaceDE/>
        <w:autoSpaceDN/>
        <w:bidi w:val="0"/>
        <w:adjustRightInd w:val="0"/>
        <w:snapToGrid w:val="0"/>
        <w:spacing w:line="440" w:lineRule="exact"/>
        <w:ind w:firstLine="420" w:firstLineChars="200"/>
        <w:jc w:val="center"/>
        <w:textAlignment w:val="auto"/>
      </w:pPr>
      <w:r>
        <w:rPr>
          <w:rFonts w:hint="eastAsia"/>
        </w:rPr>
        <w:t>表3</w:t>
      </w:r>
      <w:r>
        <w:rPr>
          <w:rFonts w:hint="eastAsia"/>
          <w:color w:val="000000"/>
        </w:rPr>
        <w:t>可移式通用灯具</w:t>
      </w:r>
      <w:r>
        <w:rPr>
          <w:rFonts w:hint="eastAsia"/>
          <w:lang w:val="en-US" w:eastAsia="zh-CN"/>
        </w:rPr>
        <w:t>检验项目表</w:t>
      </w:r>
      <w:bookmarkStart w:id="0" w:name="_GoBack"/>
      <w:bookmarkEnd w:id="0"/>
    </w:p>
    <w:tbl>
      <w:tblPr>
        <w:tblStyle w:val="22"/>
        <w:tblW w:w="9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373"/>
        <w:gridCol w:w="3204"/>
        <w:gridCol w:w="3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序号</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检验项目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rPr>
              <w:t>检验依据</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1</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标记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color w:val="000000"/>
              </w:rPr>
              <w:t>2</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结构</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3</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爬电距离和电气间隙</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4</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接地规定</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5</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接线端子</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6</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外部接线和内部接线</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7</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防触电保护</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8</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耐久性试验和热试验</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9</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防尘、防固体异物和防水</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7000.204-2008 </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 xml:space="preserve">GB 7000.1-2015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10</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绝缘电阻和电气强度、接触电流和保护导体电流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11</w:t>
            </w:r>
          </w:p>
        </w:tc>
        <w:tc>
          <w:tcPr>
            <w:tcW w:w="237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耐热、耐火和耐起痕</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7000.204-2008</w:t>
            </w:r>
          </w:p>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GB 7000.1-2015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12</w:t>
            </w:r>
          </w:p>
        </w:tc>
        <w:tc>
          <w:tcPr>
            <w:tcW w:w="2373"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骚扰电压</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13</w:t>
            </w:r>
          </w:p>
        </w:tc>
        <w:tc>
          <w:tcPr>
            <w:tcW w:w="2373"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辐射骚扰</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GB/T 17743</w:t>
            </w:r>
            <w:r>
              <w:rPr>
                <w:rFonts w:hint="eastAsia"/>
              </w:rPr>
              <w:t>—</w:t>
            </w:r>
            <w: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993"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rPr>
                <w:color w:val="000000"/>
              </w:rPr>
            </w:pPr>
            <w:r>
              <w:rPr>
                <w:rFonts w:hint="eastAsia"/>
                <w:color w:val="000000"/>
              </w:rPr>
              <w:t>14</w:t>
            </w:r>
          </w:p>
        </w:tc>
        <w:tc>
          <w:tcPr>
            <w:tcW w:w="2373" w:type="dxa"/>
            <w:vAlign w:val="center"/>
          </w:tcPr>
          <w:p>
            <w:pPr>
              <w:keepNext w:val="0"/>
              <w:keepLines w:val="0"/>
              <w:pageBreakBefore w:val="0"/>
              <w:kinsoku/>
              <w:wordWrap/>
              <w:overflowPunct/>
              <w:topLinePunct w:val="0"/>
              <w:autoSpaceDE/>
              <w:autoSpaceDN/>
              <w:bidi w:val="0"/>
              <w:spacing w:line="440" w:lineRule="exact"/>
              <w:jc w:val="center"/>
              <w:textAlignment w:val="auto"/>
            </w:pPr>
            <w:r>
              <w:rPr>
                <w:rFonts w:hint="eastAsia"/>
              </w:rPr>
              <w:t>谐波电流</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c>
          <w:tcPr>
            <w:tcW w:w="3204" w:type="dxa"/>
            <w:vAlign w:val="center"/>
          </w:tcPr>
          <w:p>
            <w:pPr>
              <w:keepNext w:val="0"/>
              <w:keepLines w:val="0"/>
              <w:pageBreakBefore w:val="0"/>
              <w:kinsoku/>
              <w:wordWrap/>
              <w:overflowPunct/>
              <w:topLinePunct w:val="0"/>
              <w:autoSpaceDE/>
              <w:autoSpaceDN/>
              <w:bidi w:val="0"/>
              <w:snapToGrid w:val="0"/>
              <w:spacing w:line="440" w:lineRule="exact"/>
              <w:jc w:val="center"/>
              <w:textAlignment w:val="auto"/>
            </w:pPr>
            <w:r>
              <w:t>GB 17625.1-2012</w:t>
            </w:r>
          </w:p>
          <w:p>
            <w:pPr>
              <w:keepNext w:val="0"/>
              <w:keepLines w:val="0"/>
              <w:pageBreakBefore w:val="0"/>
              <w:kinsoku/>
              <w:wordWrap/>
              <w:overflowPunct/>
              <w:topLinePunct w:val="0"/>
              <w:autoSpaceDE/>
              <w:autoSpaceDN/>
              <w:bidi w:val="0"/>
              <w:snapToGrid w:val="0"/>
              <w:spacing w:line="440" w:lineRule="exact"/>
              <w:jc w:val="center"/>
              <w:textAlignment w:val="auto"/>
            </w:pPr>
            <w:r>
              <w:rPr>
                <w:rFonts w:hint="eastAsia"/>
                <w:color w:val="000000"/>
              </w:rPr>
              <w:t>GB 17625.1-2022</w:t>
            </w:r>
          </w:p>
        </w:tc>
      </w:tr>
    </w:tbl>
    <w:p>
      <w:pPr>
        <w:keepNext w:val="0"/>
        <w:keepLines w:val="0"/>
        <w:pageBreakBefore w:val="0"/>
        <w:kinsoku/>
        <w:wordWrap/>
        <w:overflowPunct/>
        <w:topLinePunct w:val="0"/>
        <w:autoSpaceDE/>
        <w:autoSpaceDN/>
        <w:bidi w:val="0"/>
        <w:spacing w:line="440" w:lineRule="exact"/>
        <w:textAlignment w:val="auto"/>
        <w:rPr>
          <w:rFonts w:hint="eastAsia"/>
        </w:rPr>
      </w:pPr>
    </w:p>
    <w:p>
      <w:pPr>
        <w:keepNext w:val="0"/>
        <w:keepLines w:val="0"/>
        <w:pageBreakBefore w:val="0"/>
        <w:kinsoku/>
        <w:wordWrap/>
        <w:overflowPunct/>
        <w:topLinePunct w:val="0"/>
        <w:autoSpaceDE/>
        <w:autoSpaceDN/>
        <w:bidi w:val="0"/>
        <w:spacing w:line="440" w:lineRule="exact"/>
        <w:textAlignment w:val="auto"/>
      </w:pPr>
    </w:p>
    <w:p>
      <w:pPr>
        <w:keepNext w:val="0"/>
        <w:keepLines w:val="0"/>
        <w:pageBreakBefore w:val="0"/>
        <w:widowControl/>
        <w:kinsoku/>
        <w:wordWrap/>
        <w:overflowPunct/>
        <w:topLinePunct w:val="0"/>
        <w:autoSpaceDE/>
        <w:autoSpaceDN/>
        <w:bidi w:val="0"/>
        <w:adjustRightInd w:val="0"/>
        <w:snapToGrid w:val="0"/>
        <w:spacing w:line="440" w:lineRule="exact"/>
        <w:ind w:firstLine="420" w:firstLineChars="200"/>
        <w:textAlignment w:val="auto"/>
        <w:rPr>
          <w:rFonts w:ascii="Times New Roman" w:hAnsi="Times New Roman"/>
          <w:color w:val="000000"/>
        </w:rPr>
      </w:pPr>
      <w:r>
        <w:rPr>
          <w:rFonts w:ascii="Times New Roman" w:hAnsi="Times New Roman"/>
          <w:color w:val="000000"/>
        </w:rPr>
        <w:t>执行企业标准、团体标准、地方标准的产品，检验项目参照上述内容执行。</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ascii="Times New Roman" w:hAnsi="Times New Roman"/>
          <w:color w:val="000000"/>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440" w:lineRule="exact"/>
        <w:ind w:firstLine="359" w:firstLineChars="171"/>
        <w:textAlignment w:val="auto"/>
        <w:rPr>
          <w:color w:val="000000"/>
        </w:rPr>
      </w:pPr>
      <w:r>
        <w:rPr>
          <w:rFonts w:hint="eastAsia"/>
          <w:color w:val="000000"/>
        </w:rPr>
        <w:t>复检时所检测的样品为备用样品。</w:t>
      </w:r>
    </w:p>
    <w:p>
      <w:pPr>
        <w:keepNext w:val="0"/>
        <w:keepLines w:val="0"/>
        <w:pageBreakBefore w:val="0"/>
        <w:kinsoku/>
        <w:wordWrap/>
        <w:overflowPunct/>
        <w:topLinePunct w:val="0"/>
        <w:autoSpaceDE/>
        <w:autoSpaceDN/>
        <w:bidi w:val="0"/>
        <w:spacing w:line="440" w:lineRule="exact"/>
        <w:textAlignment w:val="auto"/>
      </w:pPr>
    </w:p>
    <w:p>
      <w:pPr>
        <w:keepNext w:val="0"/>
        <w:keepLines w:val="0"/>
        <w:pageBreakBefore w:val="0"/>
        <w:kinsoku/>
        <w:wordWrap/>
        <w:overflowPunct/>
        <w:topLinePunct w:val="0"/>
        <w:autoSpaceDE/>
        <w:autoSpaceDN/>
        <w:bidi w:val="0"/>
        <w:adjustRightInd w:val="0"/>
        <w:snapToGrid w:val="0"/>
        <w:spacing w:line="440" w:lineRule="exact"/>
        <w:textAlignment w:val="auto"/>
        <w:outlineLvl w:val="1"/>
        <w:rPr>
          <w:rFonts w:eastAsia="黑体" w:cs="黑体"/>
        </w:rPr>
      </w:pPr>
      <w:r>
        <w:rPr>
          <w:rFonts w:hint="eastAsia" w:eastAsia="黑体" w:cs="黑体"/>
        </w:rPr>
        <w:t>3 判定规则</w:t>
      </w: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ascii="Times New Roman" w:hAnsi="宋体" w:cs="Times New Roman"/>
        </w:rPr>
      </w:pPr>
      <w:r>
        <w:rPr>
          <w:rFonts w:hint="eastAsia" w:ascii="Times New Roman" w:hAnsi="宋体" w:cs="Times New Roman"/>
        </w:rPr>
        <w:t>3.1依据标准</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color w:val="000000"/>
        </w:rPr>
      </w:pPr>
      <w:r>
        <w:rPr>
          <w:rFonts w:hint="eastAsia" w:ascii="Times New Roman" w:hAnsi="Times New Roman"/>
          <w:color w:val="000000"/>
        </w:rPr>
        <w:t>GB 7000.1-2015    灯具 第1部分：一般要求与试验</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ascii="Times New Roman" w:hAnsi="Times New Roman"/>
          <w:color w:val="000000"/>
        </w:rPr>
      </w:pPr>
      <w:r>
        <w:rPr>
          <w:rFonts w:ascii="Times New Roman" w:hAnsi="Times New Roman"/>
          <w:color w:val="000000"/>
        </w:rPr>
        <w:t>GB</w:t>
      </w:r>
      <w:r>
        <w:rPr>
          <w:rFonts w:hint="eastAsia" w:ascii="Times New Roman" w:hAnsi="Times New Roman"/>
          <w:color w:val="000000"/>
        </w:rPr>
        <w:t xml:space="preserve"> </w:t>
      </w:r>
      <w:r>
        <w:rPr>
          <w:rFonts w:ascii="Times New Roman" w:hAnsi="Times New Roman"/>
          <w:color w:val="000000"/>
        </w:rPr>
        <w:t>7000.201-2008</w:t>
      </w:r>
      <w:r>
        <w:rPr>
          <w:rFonts w:hint="eastAsia" w:ascii="Times New Roman" w:hAnsi="Times New Roman"/>
          <w:color w:val="000000"/>
        </w:rPr>
        <w:t xml:space="preserve">  灯具 第2-1部分：特殊要求 固定式通用灯具</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ascii="Times New Roman" w:hAnsi="Times New Roman"/>
          <w:color w:val="000000"/>
        </w:rPr>
      </w:pPr>
      <w:r>
        <w:rPr>
          <w:rFonts w:ascii="Times New Roman" w:hAnsi="Times New Roman"/>
          <w:color w:val="000000"/>
        </w:rPr>
        <w:t>GB</w:t>
      </w:r>
      <w:r>
        <w:rPr>
          <w:rFonts w:hint="eastAsia" w:ascii="Times New Roman" w:hAnsi="Times New Roman"/>
          <w:color w:val="000000"/>
        </w:rPr>
        <w:t xml:space="preserve"> </w:t>
      </w:r>
      <w:r>
        <w:rPr>
          <w:rFonts w:ascii="Times New Roman" w:hAnsi="Times New Roman"/>
          <w:color w:val="000000"/>
        </w:rPr>
        <w:t>7000.202-2008</w:t>
      </w:r>
      <w:r>
        <w:rPr>
          <w:rFonts w:hint="eastAsia" w:ascii="Times New Roman" w:hAnsi="Times New Roman"/>
          <w:color w:val="000000"/>
        </w:rPr>
        <w:t xml:space="preserve">  灯具 第2-2部分：特殊要求 嵌入式灯具</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ascii="Times New Roman" w:hAnsi="Times New Roman"/>
          <w:color w:val="000000"/>
        </w:rPr>
      </w:pPr>
      <w:r>
        <w:rPr>
          <w:rFonts w:ascii="Times New Roman" w:hAnsi="Times New Roman"/>
          <w:color w:val="000000"/>
        </w:rPr>
        <w:t>GB</w:t>
      </w:r>
      <w:r>
        <w:rPr>
          <w:rFonts w:hint="eastAsia" w:ascii="Times New Roman" w:hAnsi="Times New Roman"/>
          <w:color w:val="000000"/>
        </w:rPr>
        <w:t xml:space="preserve"> </w:t>
      </w:r>
      <w:r>
        <w:rPr>
          <w:rFonts w:ascii="Times New Roman" w:hAnsi="Times New Roman"/>
          <w:color w:val="000000"/>
        </w:rPr>
        <w:t>7000.204-2008</w:t>
      </w:r>
      <w:r>
        <w:rPr>
          <w:rFonts w:hint="eastAsia" w:ascii="Times New Roman" w:hAnsi="Times New Roman"/>
          <w:color w:val="000000"/>
        </w:rPr>
        <w:t xml:space="preserve">  灯具 第2-4部分：特殊要求 可移式通用灯具</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ascii="Times New Roman" w:hAnsi="Times New Roman"/>
          <w:color w:val="000000"/>
        </w:rPr>
      </w:pPr>
      <w:r>
        <w:rPr>
          <w:rFonts w:hint="eastAsia" w:ascii="Times New Roman" w:hAnsi="Times New Roman"/>
          <w:color w:val="000000"/>
        </w:rPr>
        <w:t>GB/T 17743-2021   电气照明和类似设备的无线电骚扰特性的限值和测量方法</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hint="eastAsia" w:ascii="Times New Roman" w:hAnsi="Times New Roman"/>
          <w:color w:val="000000"/>
        </w:rPr>
      </w:pPr>
      <w:r>
        <w:rPr>
          <w:rFonts w:hint="eastAsia" w:ascii="Times New Roman" w:hAnsi="Times New Roman"/>
          <w:color w:val="000000"/>
        </w:rPr>
        <w:t>GB 17625.1-2012   电磁兼容 限值 谐波电流发射限值（设备每相输入电流≤16A）</w:t>
      </w:r>
    </w:p>
    <w:p>
      <w:pPr>
        <w:pStyle w:val="13"/>
        <w:keepNext w:val="0"/>
        <w:keepLines w:val="0"/>
        <w:pageBreakBefore w:val="0"/>
        <w:tabs>
          <w:tab w:val="left" w:pos="6615"/>
        </w:tabs>
        <w:kinsoku/>
        <w:wordWrap/>
        <w:overflowPunct/>
        <w:topLinePunct w:val="0"/>
        <w:autoSpaceDE/>
        <w:autoSpaceDN/>
        <w:bidi w:val="0"/>
        <w:adjustRightInd w:val="0"/>
        <w:snapToGrid w:val="0"/>
        <w:spacing w:line="440" w:lineRule="exact"/>
        <w:textAlignment w:val="auto"/>
        <w:rPr>
          <w:rFonts w:ascii="Times New Roman" w:hAnsi="Times New Roman"/>
          <w:color w:val="000000"/>
        </w:rPr>
      </w:pPr>
      <w:r>
        <w:rPr>
          <w:rFonts w:hint="eastAsia" w:ascii="Times New Roman" w:hAnsi="Times New Roman"/>
          <w:color w:val="000000"/>
        </w:rPr>
        <w:t>GB 17625.1-2022   电磁兼容 限值 第1部分：谐波电流发射限值（设备每相输入电流≤16A）</w:t>
      </w:r>
    </w:p>
    <w:p>
      <w:pPr>
        <w:keepNext w:val="0"/>
        <w:keepLines w:val="0"/>
        <w:pageBreakBefore w:val="0"/>
        <w:kinsoku/>
        <w:wordWrap/>
        <w:overflowPunct/>
        <w:topLinePunct w:val="0"/>
        <w:autoSpaceDE/>
        <w:autoSpaceDN/>
        <w:bidi w:val="0"/>
        <w:adjustRightInd w:val="0"/>
        <w:snapToGrid w:val="0"/>
        <w:spacing w:line="440" w:lineRule="exact"/>
        <w:textAlignment w:val="auto"/>
        <w:rPr>
          <w:color w:val="000000"/>
        </w:rPr>
      </w:pPr>
      <w:r>
        <w:rPr>
          <w:rFonts w:ascii="Times New Roman" w:hAnsi="Times New Roman"/>
          <w:color w:val="000000"/>
        </w:rPr>
        <w:t>现行有效的企业标准、团体标准、地方标准及产品明示质量要求</w:t>
      </w:r>
    </w:p>
    <w:p>
      <w:pPr>
        <w:keepNext w:val="0"/>
        <w:keepLines w:val="0"/>
        <w:pageBreakBefore w:val="0"/>
        <w:kinsoku/>
        <w:wordWrap/>
        <w:overflowPunct/>
        <w:topLinePunct w:val="0"/>
        <w:autoSpaceDE/>
        <w:autoSpaceDN/>
        <w:bidi w:val="0"/>
        <w:adjustRightInd w:val="0"/>
        <w:snapToGrid w:val="0"/>
        <w:spacing w:line="440" w:lineRule="exact"/>
        <w:jc w:val="left"/>
        <w:textAlignment w:val="auto"/>
        <w:rPr>
          <w:rFonts w:hAnsi="宋体"/>
        </w:rPr>
      </w:pPr>
      <w:r>
        <w:rPr>
          <w:rFonts w:hint="eastAsia" w:hAnsi="宋体"/>
        </w:rPr>
        <w:t>3.2判定原则</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r>
        <w:rPr>
          <w:rFonts w:hint="eastAsia"/>
          <w:color w:val="000000"/>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kinsoku/>
        <w:wordWrap/>
        <w:overflowPunct/>
        <w:topLinePunct w:val="0"/>
        <w:autoSpaceDE/>
        <w:autoSpaceDN/>
        <w:bidi w:val="0"/>
        <w:adjustRightInd w:val="0"/>
        <w:snapToGrid w:val="0"/>
        <w:spacing w:line="440" w:lineRule="exact"/>
        <w:ind w:firstLine="420" w:firstLineChars="200"/>
        <w:textAlignment w:val="auto"/>
        <w:rPr>
          <w:color w:val="000000"/>
        </w:rPr>
      </w:pPr>
    </w:p>
    <w:p>
      <w:pPr>
        <w:keepNext w:val="0"/>
        <w:keepLines w:val="0"/>
        <w:pageBreakBefore w:val="0"/>
        <w:kinsoku/>
        <w:wordWrap/>
        <w:overflowPunct/>
        <w:topLinePunct w:val="0"/>
        <w:autoSpaceDE/>
        <w:autoSpaceDN/>
        <w:bidi w:val="0"/>
        <w:adjustRightInd w:val="0"/>
        <w:snapToGrid w:val="0"/>
        <w:spacing w:line="440" w:lineRule="exact"/>
        <w:textAlignment w:val="auto"/>
        <w:rPr>
          <w:color w:val="000000"/>
        </w:rPr>
      </w:pPr>
      <w:r>
        <w:rPr>
          <w:rFonts w:hint="eastAsia"/>
          <w:color w:val="000000"/>
        </w:rPr>
        <w:t>3</w:t>
      </w:r>
      <w:r>
        <w:rPr>
          <w:color w:val="000000"/>
        </w:rPr>
        <w:t xml:space="preserve">.3 </w:t>
      </w:r>
      <w:r>
        <w:rPr>
          <w:rFonts w:hint="eastAsia"/>
          <w:color w:val="000000"/>
        </w:rPr>
        <w:t>综合结论判定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经检验，检验项目中任一项或一项以上不合格，判定被抽查产品为</w:t>
      </w:r>
      <w:r>
        <w:rPr>
          <w:rFonts w:hint="eastAsia"/>
          <w:color w:val="000000"/>
        </w:rPr>
        <w:t>“</w:t>
      </w:r>
      <w:r>
        <w:rPr>
          <w:color w:val="000000"/>
        </w:rPr>
        <w:t>不合格</w:t>
      </w:r>
      <w:r>
        <w:rPr>
          <w:rFonts w:hint="eastAsia"/>
          <w:color w:val="000000"/>
        </w:rPr>
        <w:t>”；</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rFonts w:hAnsi="宋体"/>
        </w:rPr>
      </w:pPr>
      <w:r>
        <w:rPr>
          <w:color w:val="000000"/>
        </w:rPr>
        <w:t>检验项目全部</w:t>
      </w:r>
      <w:r>
        <w:rPr>
          <w:rFonts w:hint="eastAsia"/>
          <w:color w:val="000000"/>
        </w:rPr>
        <w:t>符合明示质量要求</w:t>
      </w:r>
      <w:r>
        <w:rPr>
          <w:color w:val="000000"/>
        </w:rPr>
        <w:t>，</w:t>
      </w:r>
      <w:r>
        <w:rPr>
          <w:rFonts w:hint="eastAsia"/>
          <w:color w:val="000000"/>
        </w:rPr>
        <w:t>但不符合本细则检验项目依据的推荐性标准，</w:t>
      </w:r>
      <w:r>
        <w:rPr>
          <w:color w:val="000000"/>
        </w:rPr>
        <w:t>判定被抽查产品</w:t>
      </w:r>
      <w:r>
        <w:rPr>
          <w:rFonts w:hint="eastAsia"/>
          <w:color w:val="000000"/>
        </w:rPr>
        <w:t>“</w:t>
      </w:r>
      <w:r>
        <w:rPr>
          <w:rFonts w:hint="eastAsia" w:hAnsi="宋体"/>
        </w:rPr>
        <w:t>所检项目符合企业标准，未达到国家、行业、地方标准规定”；</w:t>
      </w:r>
    </w:p>
    <w:p>
      <w:pPr>
        <w:keepNext w:val="0"/>
        <w:keepLines w:val="0"/>
        <w:pageBreakBefore w:val="0"/>
        <w:kinsoku/>
        <w:wordWrap/>
        <w:overflowPunct/>
        <w:topLinePunct w:val="0"/>
        <w:autoSpaceDE/>
        <w:autoSpaceDN/>
        <w:bidi w:val="0"/>
        <w:snapToGrid w:val="0"/>
        <w:spacing w:line="440" w:lineRule="exact"/>
        <w:ind w:firstLine="420" w:firstLineChars="200"/>
        <w:textAlignment w:val="auto"/>
        <w:rPr>
          <w:color w:val="000000"/>
        </w:rPr>
      </w:pPr>
      <w:r>
        <w:rPr>
          <w:color w:val="000000"/>
        </w:rPr>
        <w:t>检验项目全部</w:t>
      </w:r>
      <w:r>
        <w:rPr>
          <w:rFonts w:hint="eastAsia"/>
          <w:color w:val="000000"/>
        </w:rPr>
        <w:t>符合明示质量要求</w:t>
      </w:r>
      <w:r>
        <w:rPr>
          <w:color w:val="000000"/>
        </w:rPr>
        <w:t>，</w:t>
      </w:r>
      <w:r>
        <w:rPr>
          <w:rFonts w:hint="eastAsia"/>
          <w:color w:val="000000"/>
        </w:rPr>
        <w:t>且符合本细则检验项目依据的推荐性标准，</w:t>
      </w:r>
      <w:r>
        <w:rPr>
          <w:rFonts w:hint="eastAsia" w:hAnsi="宋体"/>
        </w:rPr>
        <w:t>判定被抽查产品为</w:t>
      </w:r>
      <w:r>
        <w:rPr>
          <w:rFonts w:hint="eastAsia"/>
          <w:color w:val="000000"/>
        </w:rPr>
        <w:t>“所检项目符合本次监督抽查要求”。</w:t>
      </w:r>
    </w:p>
    <w:p>
      <w:pPr>
        <w:adjustRightInd w:val="0"/>
        <w:snapToGrid w:val="0"/>
        <w:spacing w:line="440" w:lineRule="exact"/>
        <w:rPr>
          <w:rFonts w:hAnsi="宋体"/>
        </w:rPr>
      </w:pPr>
    </w:p>
    <w:p/>
    <w:sectPr>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2"/>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2">
    <w:nsid w:val="70D15105"/>
    <w:multiLevelType w:val="multilevel"/>
    <w:tmpl w:val="70D15105"/>
    <w:lvl w:ilvl="0" w:tentative="0">
      <w:start w:val="1"/>
      <w:numFmt w:val="bullet"/>
      <w:pStyle w:val="59"/>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hyphenationZone w:val="425"/>
  <w:characterSpacingControl w:val="doNotCompress"/>
  <w:footnotePr>
    <w:footnote w:id="0"/>
    <w:footnote w:id="1"/>
  </w:footnotePr>
  <w:compat>
    <w:useFELayout/>
    <w:compatSetting w:name="compatibilityMode" w:uri="http://schemas.microsoft.com/office/word" w:val="12"/>
  </w:compat>
  <w:docVars>
    <w:docVar w:name="commondata" w:val="eyJoZGlkIjoiMTcyZDNjMGY0YTFkMGYzOTBjY2EzOWZlOGRkNGQ2NzEifQ=="/>
  </w:docVars>
  <w:rsids>
    <w:rsidRoot w:val="00E778FE"/>
    <w:rsid w:val="0001524D"/>
    <w:rsid w:val="0003311D"/>
    <w:rsid w:val="00051572"/>
    <w:rsid w:val="000551F0"/>
    <w:rsid w:val="000723E1"/>
    <w:rsid w:val="000732FD"/>
    <w:rsid w:val="000A394A"/>
    <w:rsid w:val="000A7B13"/>
    <w:rsid w:val="000B032A"/>
    <w:rsid w:val="000B0FED"/>
    <w:rsid w:val="000B50AA"/>
    <w:rsid w:val="000B5B1E"/>
    <w:rsid w:val="000B5F22"/>
    <w:rsid w:val="000C45DC"/>
    <w:rsid w:val="000E5BAF"/>
    <w:rsid w:val="000F7F91"/>
    <w:rsid w:val="001000FA"/>
    <w:rsid w:val="00107040"/>
    <w:rsid w:val="001130C7"/>
    <w:rsid w:val="001163C2"/>
    <w:rsid w:val="00124F98"/>
    <w:rsid w:val="00155265"/>
    <w:rsid w:val="00164EAB"/>
    <w:rsid w:val="0017011F"/>
    <w:rsid w:val="00175800"/>
    <w:rsid w:val="001B03D9"/>
    <w:rsid w:val="001B189F"/>
    <w:rsid w:val="001B6633"/>
    <w:rsid w:val="001B702B"/>
    <w:rsid w:val="001C685E"/>
    <w:rsid w:val="001D0B06"/>
    <w:rsid w:val="001D49ED"/>
    <w:rsid w:val="001E3D3B"/>
    <w:rsid w:val="00205687"/>
    <w:rsid w:val="00206087"/>
    <w:rsid w:val="00216EC5"/>
    <w:rsid w:val="00221558"/>
    <w:rsid w:val="00223E52"/>
    <w:rsid w:val="00226ED0"/>
    <w:rsid w:val="00233BF0"/>
    <w:rsid w:val="00237DAE"/>
    <w:rsid w:val="00241F99"/>
    <w:rsid w:val="00242237"/>
    <w:rsid w:val="00256A14"/>
    <w:rsid w:val="00274058"/>
    <w:rsid w:val="002874F5"/>
    <w:rsid w:val="00291BE2"/>
    <w:rsid w:val="002C2F8E"/>
    <w:rsid w:val="002D1FDC"/>
    <w:rsid w:val="002D6D5B"/>
    <w:rsid w:val="002E0A86"/>
    <w:rsid w:val="00303C88"/>
    <w:rsid w:val="00307AF3"/>
    <w:rsid w:val="003108BB"/>
    <w:rsid w:val="0032700C"/>
    <w:rsid w:val="0033744B"/>
    <w:rsid w:val="00341735"/>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91008"/>
    <w:rsid w:val="004A7626"/>
    <w:rsid w:val="004C40AF"/>
    <w:rsid w:val="004D4292"/>
    <w:rsid w:val="004F14A2"/>
    <w:rsid w:val="004F1907"/>
    <w:rsid w:val="004F3FE1"/>
    <w:rsid w:val="00500259"/>
    <w:rsid w:val="00520378"/>
    <w:rsid w:val="00523446"/>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71B99"/>
    <w:rsid w:val="00675BF6"/>
    <w:rsid w:val="00677767"/>
    <w:rsid w:val="006B382B"/>
    <w:rsid w:val="006B5D43"/>
    <w:rsid w:val="006E20EC"/>
    <w:rsid w:val="006F08C7"/>
    <w:rsid w:val="006F0E5A"/>
    <w:rsid w:val="00700C3D"/>
    <w:rsid w:val="0070711A"/>
    <w:rsid w:val="00722DC1"/>
    <w:rsid w:val="00727447"/>
    <w:rsid w:val="00742BA6"/>
    <w:rsid w:val="00753525"/>
    <w:rsid w:val="007608F3"/>
    <w:rsid w:val="00761864"/>
    <w:rsid w:val="0077504F"/>
    <w:rsid w:val="00781BFD"/>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3B4"/>
    <w:rsid w:val="00A252D0"/>
    <w:rsid w:val="00A25AE2"/>
    <w:rsid w:val="00A402D9"/>
    <w:rsid w:val="00A43B7D"/>
    <w:rsid w:val="00A56416"/>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53174"/>
    <w:rsid w:val="00C54A56"/>
    <w:rsid w:val="00C57D61"/>
    <w:rsid w:val="00C72CF6"/>
    <w:rsid w:val="00C774F1"/>
    <w:rsid w:val="00C8150C"/>
    <w:rsid w:val="00C91D6E"/>
    <w:rsid w:val="00CB67F2"/>
    <w:rsid w:val="00CD1ED8"/>
    <w:rsid w:val="00CE4A84"/>
    <w:rsid w:val="00CE72B0"/>
    <w:rsid w:val="00CF0145"/>
    <w:rsid w:val="00CF0D56"/>
    <w:rsid w:val="00CF457F"/>
    <w:rsid w:val="00D018F3"/>
    <w:rsid w:val="00D13758"/>
    <w:rsid w:val="00D14A10"/>
    <w:rsid w:val="00D2744C"/>
    <w:rsid w:val="00D46E54"/>
    <w:rsid w:val="00D572EA"/>
    <w:rsid w:val="00D81DCA"/>
    <w:rsid w:val="00D87D88"/>
    <w:rsid w:val="00DA7C89"/>
    <w:rsid w:val="00DB343A"/>
    <w:rsid w:val="00DC553D"/>
    <w:rsid w:val="00DE1F2C"/>
    <w:rsid w:val="00DF4307"/>
    <w:rsid w:val="00E00C8B"/>
    <w:rsid w:val="00E14A99"/>
    <w:rsid w:val="00E225A4"/>
    <w:rsid w:val="00E269F5"/>
    <w:rsid w:val="00E31893"/>
    <w:rsid w:val="00E46A0C"/>
    <w:rsid w:val="00E65166"/>
    <w:rsid w:val="00E778FE"/>
    <w:rsid w:val="00E77D4B"/>
    <w:rsid w:val="00E82E31"/>
    <w:rsid w:val="00EA5B9F"/>
    <w:rsid w:val="00EA6E03"/>
    <w:rsid w:val="00EB7065"/>
    <w:rsid w:val="00ED0730"/>
    <w:rsid w:val="00ED3B66"/>
    <w:rsid w:val="00ED5C3A"/>
    <w:rsid w:val="00ED6AAB"/>
    <w:rsid w:val="00EE35CB"/>
    <w:rsid w:val="00F04B2F"/>
    <w:rsid w:val="00F14FF5"/>
    <w:rsid w:val="00F30A01"/>
    <w:rsid w:val="00F57112"/>
    <w:rsid w:val="00F73806"/>
    <w:rsid w:val="00F75313"/>
    <w:rsid w:val="00F75EA8"/>
    <w:rsid w:val="00F93CA7"/>
    <w:rsid w:val="00FA32C1"/>
    <w:rsid w:val="00FA5983"/>
    <w:rsid w:val="00FA5B27"/>
    <w:rsid w:val="00FC2961"/>
    <w:rsid w:val="00FC71F7"/>
    <w:rsid w:val="6B282BC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qFormat="1" w:unhideWhenUsed="0" w:uiPriority="0" w:semiHidden="0" w:name="Table Classic 3"/>
    <w:lsdException w:uiPriority="0" w:name="Table Classic 4"/>
    <w:lsdException w:qFormat="1"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qFormat="1"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ind w:left="0" w:firstLine="0"/>
      <w:jc w:val="both"/>
    </w:pPr>
    <w:rPr>
      <w:rFonts w:ascii="Calibri" w:hAnsi="Calibri" w:eastAsia="宋体" w:cs="Calibri"/>
      <w:kern w:val="2"/>
      <w:sz w:val="21"/>
      <w:szCs w:val="21"/>
      <w:lang w:val="en-US" w:eastAsia="zh-CN" w:bidi="ar-SA"/>
    </w:rPr>
  </w:style>
  <w:style w:type="paragraph" w:styleId="2">
    <w:name w:val="heading 1"/>
    <w:basedOn w:val="1"/>
    <w:next w:val="1"/>
    <w:link w:val="34"/>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5"/>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6"/>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7"/>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8"/>
    <w:qFormat/>
    <w:uiPriority w:val="9"/>
    <w:pPr>
      <w:keepNext/>
      <w:keepLines/>
      <w:numPr>
        <w:ilvl w:val="4"/>
        <w:numId w:val="1"/>
      </w:numPr>
      <w:outlineLvl w:val="4"/>
    </w:pPr>
    <w:rPr>
      <w:sz w:val="18"/>
      <w:szCs w:val="22"/>
    </w:rPr>
  </w:style>
  <w:style w:type="paragraph" w:styleId="7">
    <w:name w:val="heading 6"/>
    <w:basedOn w:val="1"/>
    <w:next w:val="1"/>
    <w:link w:val="39"/>
    <w:autoRedefine/>
    <w:qFormat/>
    <w:uiPriority w:val="9"/>
    <w:pPr>
      <w:numPr>
        <w:ilvl w:val="5"/>
        <w:numId w:val="1"/>
      </w:numPr>
      <w:spacing w:before="240" w:after="60"/>
      <w:outlineLvl w:val="5"/>
    </w:pPr>
    <w:rPr>
      <w:bCs/>
      <w:sz w:val="18"/>
    </w:rPr>
  </w:style>
  <w:style w:type="paragraph" w:styleId="8">
    <w:name w:val="heading 7"/>
    <w:basedOn w:val="1"/>
    <w:next w:val="1"/>
    <w:link w:val="40"/>
    <w:qFormat/>
    <w:uiPriority w:val="9"/>
    <w:pPr>
      <w:numPr>
        <w:ilvl w:val="6"/>
        <w:numId w:val="1"/>
      </w:numPr>
      <w:spacing w:before="240" w:after="60"/>
      <w:outlineLvl w:val="6"/>
    </w:pPr>
    <w:rPr>
      <w:sz w:val="18"/>
    </w:rPr>
  </w:style>
  <w:style w:type="paragraph" w:styleId="9">
    <w:name w:val="heading 8"/>
    <w:basedOn w:val="1"/>
    <w:next w:val="1"/>
    <w:link w:val="41"/>
    <w:autoRedefine/>
    <w:qFormat/>
    <w:uiPriority w:val="9"/>
    <w:pPr>
      <w:numPr>
        <w:ilvl w:val="7"/>
        <w:numId w:val="1"/>
      </w:numPr>
      <w:spacing w:before="240" w:after="60"/>
      <w:outlineLvl w:val="7"/>
    </w:pPr>
    <w:rPr>
      <w:iCs/>
      <w:sz w:val="18"/>
    </w:rPr>
  </w:style>
  <w:style w:type="paragraph" w:styleId="10">
    <w:name w:val="heading 9"/>
    <w:basedOn w:val="1"/>
    <w:next w:val="1"/>
    <w:link w:val="42"/>
    <w:qFormat/>
    <w:uiPriority w:val="9"/>
    <w:pPr>
      <w:numPr>
        <w:ilvl w:val="8"/>
        <w:numId w:val="1"/>
      </w:numPr>
      <w:spacing w:before="240" w:after="60"/>
      <w:outlineLvl w:val="8"/>
    </w:pPr>
    <w:rPr>
      <w:sz w:val="18"/>
    </w:rPr>
  </w:style>
  <w:style w:type="character" w:default="1" w:styleId="28">
    <w:name w:val="Default Paragraph Font"/>
    <w:autoRedefine/>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71"/>
    <w:autoRedefine/>
    <w:unhideWhenUsed/>
    <w:qFormat/>
    <w:uiPriority w:val="0"/>
    <w:pPr>
      <w:jc w:val="left"/>
    </w:pPr>
  </w:style>
  <w:style w:type="paragraph" w:styleId="12">
    <w:name w:val="toc 3"/>
    <w:basedOn w:val="1"/>
    <w:next w:val="1"/>
    <w:autoRedefine/>
    <w:qFormat/>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Plain Text"/>
    <w:basedOn w:val="1"/>
    <w:link w:val="74"/>
    <w:autoRedefine/>
    <w:qFormat/>
    <w:uiPriority w:val="0"/>
    <w:rPr>
      <w:rFonts w:ascii="宋体" w:hAnsi="Courier New" w:cs="Times New Roman"/>
    </w:rPr>
  </w:style>
  <w:style w:type="paragraph" w:styleId="14">
    <w:name w:val="Balloon Text"/>
    <w:basedOn w:val="1"/>
    <w:link w:val="69"/>
    <w:autoRedefine/>
    <w:semiHidden/>
    <w:qFormat/>
    <w:uiPriority w:val="0"/>
    <w:rPr>
      <w:rFonts w:cs="Tahoma"/>
      <w:sz w:val="16"/>
      <w:szCs w:val="16"/>
    </w:rPr>
  </w:style>
  <w:style w:type="paragraph" w:styleId="15">
    <w:name w:val="footer"/>
    <w:basedOn w:val="1"/>
    <w:link w:val="43"/>
    <w:qFormat/>
    <w:uiPriority w:val="99"/>
    <w:pPr>
      <w:tabs>
        <w:tab w:val="center" w:pos="4513"/>
        <w:tab w:val="right" w:pos="9026"/>
      </w:tabs>
    </w:pPr>
    <w:rPr>
      <w:rFonts w:eastAsiaTheme="majorEastAsia" w:cstheme="majorBidi"/>
      <w:sz w:val="16"/>
      <w:szCs w:val="20"/>
      <w:lang w:eastAsia="en-US" w:bidi="en-US"/>
    </w:rPr>
  </w:style>
  <w:style w:type="paragraph" w:styleId="16">
    <w:name w:val="header"/>
    <w:basedOn w:val="1"/>
    <w:link w:val="67"/>
    <w:autoRedefine/>
    <w:uiPriority w:val="99"/>
    <w:pPr>
      <w:tabs>
        <w:tab w:val="center" w:pos="4536"/>
        <w:tab w:val="right" w:pos="9072"/>
      </w:tabs>
    </w:pPr>
  </w:style>
  <w:style w:type="paragraph" w:styleId="17">
    <w:name w:val="toc 1"/>
    <w:basedOn w:val="1"/>
    <w:next w:val="1"/>
    <w:autoRedefine/>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rPr>
  </w:style>
  <w:style w:type="paragraph" w:styleId="18">
    <w:name w:val="Subtitle"/>
    <w:basedOn w:val="1"/>
    <w:next w:val="1"/>
    <w:link w:val="45"/>
    <w:qFormat/>
    <w:uiPriority w:val="11"/>
    <w:pPr>
      <w:spacing w:after="60"/>
      <w:jc w:val="center"/>
      <w:outlineLvl w:val="1"/>
    </w:pPr>
    <w:rPr>
      <w:rFonts w:eastAsiaTheme="majorEastAsia" w:cstheme="majorBidi"/>
      <w:szCs w:val="20"/>
      <w:lang w:eastAsia="en-US" w:bidi="en-US"/>
    </w:rPr>
  </w:style>
  <w:style w:type="paragraph" w:styleId="19">
    <w:name w:val="toc 2"/>
    <w:basedOn w:val="1"/>
    <w:next w:val="1"/>
    <w:autoRedefine/>
    <w:qFormat/>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20">
    <w:name w:val="Title"/>
    <w:basedOn w:val="1"/>
    <w:next w:val="1"/>
    <w:link w:val="44"/>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1">
    <w:name w:val="annotation subject"/>
    <w:basedOn w:val="11"/>
    <w:next w:val="11"/>
    <w:link w:val="72"/>
    <w:autoRedefine/>
    <w:semiHidden/>
    <w:unhideWhenUsed/>
    <w:qFormat/>
    <w:uiPriority w:val="0"/>
    <w:rPr>
      <w:b/>
      <w:bCs/>
    </w:rPr>
  </w:style>
  <w:style w:type="table" w:styleId="23">
    <w:name w:val="Table Grid"/>
    <w:basedOn w:val="22"/>
    <w:autoRedefine/>
    <w:uiPriority w:val="0"/>
    <w:pPr>
      <w:spacing w:before="0"/>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4">
    <w:name w:val="Table Colorful 1"/>
    <w:basedOn w:val="22"/>
    <w:autoRedefine/>
    <w:qFormat/>
    <w:uiPriority w:val="0"/>
    <w:pPr>
      <w:ind w:left="0" w:firstLine="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5">
    <w:name w:val="Table Classic 2"/>
    <w:basedOn w:val="22"/>
    <w:autoRedefine/>
    <w:qFormat/>
    <w:uiPriority w:val="0"/>
    <w:pPr>
      <w:ind w:left="0" w:firstLine="0"/>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6">
    <w:name w:val="Table Classic 3"/>
    <w:basedOn w:val="22"/>
    <w:autoRedefine/>
    <w:qFormat/>
    <w:uiPriority w:val="0"/>
    <w:pPr>
      <w:ind w:left="0" w:firstLine="0"/>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7">
    <w:name w:val="Table List 8"/>
    <w:basedOn w:val="22"/>
    <w:autoRedefine/>
    <w:qFormat/>
    <w:uiPriority w:val="0"/>
    <w:pPr>
      <w:ind w:left="0" w:firstLine="0"/>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9">
    <w:name w:val="Strong"/>
    <w:basedOn w:val="28"/>
    <w:qFormat/>
    <w:uiPriority w:val="22"/>
    <w:rPr>
      <w:b/>
      <w:bCs/>
    </w:rPr>
  </w:style>
  <w:style w:type="character" w:styleId="30">
    <w:name w:val="FollowedHyperlink"/>
    <w:basedOn w:val="28"/>
    <w:autoRedefine/>
    <w:qFormat/>
    <w:uiPriority w:val="99"/>
    <w:rPr>
      <w:rFonts w:ascii="Arial" w:hAnsi="Arial"/>
      <w:i/>
      <w:color w:val="363636"/>
      <w:sz w:val="20"/>
      <w:u w:val="single"/>
    </w:rPr>
  </w:style>
  <w:style w:type="character" w:styleId="31">
    <w:name w:val="Emphasis"/>
    <w:basedOn w:val="28"/>
    <w:autoRedefine/>
    <w:qFormat/>
    <w:uiPriority w:val="20"/>
    <w:rPr>
      <w:rFonts w:asciiTheme="minorHAnsi" w:hAnsiTheme="minorHAnsi"/>
      <w:b/>
      <w:i/>
      <w:iCs/>
    </w:rPr>
  </w:style>
  <w:style w:type="character" w:styleId="32">
    <w:name w:val="Hyperlink"/>
    <w:basedOn w:val="28"/>
    <w:qFormat/>
    <w:uiPriority w:val="99"/>
    <w:rPr>
      <w:rFonts w:ascii="Arial" w:hAnsi="Arial"/>
      <w:color w:val="FF6600"/>
      <w:sz w:val="20"/>
      <w:u w:val="single"/>
    </w:rPr>
  </w:style>
  <w:style w:type="character" w:styleId="33">
    <w:name w:val="annotation reference"/>
    <w:basedOn w:val="28"/>
    <w:autoRedefine/>
    <w:semiHidden/>
    <w:unhideWhenUsed/>
    <w:qFormat/>
    <w:uiPriority w:val="0"/>
    <w:rPr>
      <w:sz w:val="21"/>
      <w:szCs w:val="21"/>
    </w:rPr>
  </w:style>
  <w:style w:type="character" w:customStyle="1" w:styleId="34">
    <w:name w:val="标题 1 Char"/>
    <w:basedOn w:val="28"/>
    <w:link w:val="2"/>
    <w:uiPriority w:val="9"/>
    <w:rPr>
      <w:rFonts w:cs="Arial" w:eastAsiaTheme="minorHAnsi"/>
      <w:b/>
      <w:caps/>
      <w:color w:val="FF6600"/>
      <w:spacing w:val="20"/>
      <w:szCs w:val="24"/>
      <w:lang w:eastAsia="fr-FR"/>
    </w:rPr>
  </w:style>
  <w:style w:type="character" w:customStyle="1" w:styleId="35">
    <w:name w:val="标题 2 Char"/>
    <w:basedOn w:val="28"/>
    <w:link w:val="3"/>
    <w:autoRedefine/>
    <w:qFormat/>
    <w:uiPriority w:val="9"/>
    <w:rPr>
      <w:rFonts w:cs="Arial" w:eastAsiaTheme="minorHAnsi"/>
      <w:b/>
      <w:iCs/>
      <w:smallCaps/>
      <w:color w:val="363636"/>
      <w:spacing w:val="15"/>
      <w:kern w:val="32"/>
      <w:sz w:val="22"/>
      <w:szCs w:val="24"/>
      <w:lang w:eastAsia="fr-FR"/>
    </w:rPr>
  </w:style>
  <w:style w:type="character" w:customStyle="1" w:styleId="36">
    <w:name w:val="标题 3 Char"/>
    <w:basedOn w:val="28"/>
    <w:link w:val="4"/>
    <w:autoRedefine/>
    <w:qFormat/>
    <w:uiPriority w:val="9"/>
    <w:rPr>
      <w:rFonts w:cs="Arial"/>
      <w:b/>
      <w:bCs/>
      <w:smallCaps/>
      <w:color w:val="FF6600"/>
      <w:szCs w:val="24"/>
      <w:lang w:eastAsia="fr-FR"/>
    </w:rPr>
  </w:style>
  <w:style w:type="character" w:customStyle="1" w:styleId="37">
    <w:name w:val="标题 4 Char"/>
    <w:basedOn w:val="28"/>
    <w:link w:val="5"/>
    <w:qFormat/>
    <w:uiPriority w:val="9"/>
    <w:rPr>
      <w:rFonts w:eastAsiaTheme="majorEastAsia"/>
      <w:bCs/>
      <w:sz w:val="18"/>
      <w:szCs w:val="28"/>
      <w:lang w:bidi="en-US"/>
    </w:rPr>
  </w:style>
  <w:style w:type="character" w:customStyle="1" w:styleId="38">
    <w:name w:val="标题 5 Char"/>
    <w:basedOn w:val="28"/>
    <w:link w:val="6"/>
    <w:qFormat/>
    <w:uiPriority w:val="9"/>
    <w:rPr>
      <w:rFonts w:cs="Times New Roman"/>
      <w:sz w:val="18"/>
      <w:szCs w:val="22"/>
      <w:lang w:eastAsia="fr-FR"/>
    </w:rPr>
  </w:style>
  <w:style w:type="character" w:customStyle="1" w:styleId="39">
    <w:name w:val="标题 6 Char"/>
    <w:basedOn w:val="28"/>
    <w:link w:val="7"/>
    <w:autoRedefine/>
    <w:qFormat/>
    <w:uiPriority w:val="9"/>
    <w:rPr>
      <w:rFonts w:cs="Times New Roman"/>
      <w:bCs/>
      <w:sz w:val="18"/>
      <w:szCs w:val="24"/>
      <w:lang w:eastAsia="fr-FR"/>
    </w:rPr>
  </w:style>
  <w:style w:type="character" w:customStyle="1" w:styleId="40">
    <w:name w:val="标题 7 Char"/>
    <w:basedOn w:val="28"/>
    <w:link w:val="8"/>
    <w:autoRedefine/>
    <w:qFormat/>
    <w:uiPriority w:val="9"/>
    <w:rPr>
      <w:rFonts w:cs="Times New Roman"/>
      <w:sz w:val="18"/>
      <w:szCs w:val="24"/>
      <w:lang w:eastAsia="fr-FR"/>
    </w:rPr>
  </w:style>
  <w:style w:type="character" w:customStyle="1" w:styleId="41">
    <w:name w:val="标题 8 Char"/>
    <w:basedOn w:val="28"/>
    <w:link w:val="9"/>
    <w:uiPriority w:val="9"/>
    <w:rPr>
      <w:rFonts w:cs="Times New Roman"/>
      <w:iCs/>
      <w:sz w:val="18"/>
      <w:szCs w:val="24"/>
      <w:lang w:eastAsia="fr-FR"/>
    </w:rPr>
  </w:style>
  <w:style w:type="character" w:customStyle="1" w:styleId="42">
    <w:name w:val="标题 9 Char"/>
    <w:basedOn w:val="28"/>
    <w:link w:val="10"/>
    <w:autoRedefine/>
    <w:qFormat/>
    <w:uiPriority w:val="9"/>
    <w:rPr>
      <w:rFonts w:cs="Times New Roman"/>
      <w:sz w:val="18"/>
      <w:szCs w:val="24"/>
      <w:lang w:eastAsia="fr-FR"/>
    </w:rPr>
  </w:style>
  <w:style w:type="character" w:customStyle="1" w:styleId="43">
    <w:name w:val="页脚 Char"/>
    <w:basedOn w:val="28"/>
    <w:link w:val="15"/>
    <w:uiPriority w:val="99"/>
    <w:rPr>
      <w:rFonts w:eastAsiaTheme="majorEastAsia"/>
      <w:sz w:val="16"/>
      <w:lang w:bidi="en-US"/>
    </w:rPr>
  </w:style>
  <w:style w:type="character" w:customStyle="1" w:styleId="44">
    <w:name w:val="标题 Char"/>
    <w:basedOn w:val="28"/>
    <w:link w:val="20"/>
    <w:uiPriority w:val="10"/>
    <w:rPr>
      <w:rFonts w:eastAsiaTheme="majorEastAsia"/>
      <w:b/>
      <w:bCs/>
      <w:kern w:val="28"/>
      <w:szCs w:val="32"/>
      <w:u w:val="single"/>
      <w:lang w:bidi="en-US"/>
    </w:rPr>
  </w:style>
  <w:style w:type="character" w:customStyle="1" w:styleId="45">
    <w:name w:val="副标题 Char"/>
    <w:basedOn w:val="28"/>
    <w:link w:val="18"/>
    <w:autoRedefine/>
    <w:qFormat/>
    <w:uiPriority w:val="11"/>
    <w:rPr>
      <w:rFonts w:eastAsiaTheme="majorEastAsia"/>
      <w:lang w:bidi="en-US"/>
    </w:rPr>
  </w:style>
  <w:style w:type="paragraph" w:styleId="46">
    <w:name w:val="No Spacing"/>
    <w:basedOn w:val="1"/>
    <w:link w:val="47"/>
    <w:qFormat/>
    <w:uiPriority w:val="1"/>
    <w:rPr>
      <w:rFonts w:eastAsiaTheme="majorEastAsia" w:cstheme="majorBidi"/>
      <w:szCs w:val="32"/>
      <w:lang w:eastAsia="en-US" w:bidi="en-US"/>
    </w:rPr>
  </w:style>
  <w:style w:type="character" w:customStyle="1" w:styleId="47">
    <w:name w:val="无间隔 Char"/>
    <w:basedOn w:val="28"/>
    <w:link w:val="46"/>
    <w:uiPriority w:val="1"/>
    <w:rPr>
      <w:rFonts w:eastAsiaTheme="majorEastAsia"/>
      <w:szCs w:val="32"/>
      <w:lang w:bidi="en-US"/>
    </w:rPr>
  </w:style>
  <w:style w:type="paragraph" w:styleId="48">
    <w:name w:val="List Paragraph"/>
    <w:basedOn w:val="1"/>
    <w:qFormat/>
    <w:uiPriority w:val="34"/>
    <w:pPr>
      <w:ind w:left="720"/>
      <w:contextualSpacing/>
    </w:pPr>
  </w:style>
  <w:style w:type="paragraph" w:styleId="49">
    <w:name w:val="Quote"/>
    <w:basedOn w:val="1"/>
    <w:next w:val="1"/>
    <w:link w:val="50"/>
    <w:autoRedefine/>
    <w:qFormat/>
    <w:uiPriority w:val="29"/>
    <w:rPr>
      <w:rFonts w:eastAsiaTheme="majorEastAsia" w:cstheme="majorBidi"/>
      <w:i/>
      <w:szCs w:val="20"/>
      <w:lang w:eastAsia="en-US" w:bidi="en-US"/>
    </w:rPr>
  </w:style>
  <w:style w:type="character" w:customStyle="1" w:styleId="50">
    <w:name w:val="引用 Char"/>
    <w:basedOn w:val="28"/>
    <w:link w:val="49"/>
    <w:autoRedefine/>
    <w:uiPriority w:val="29"/>
    <w:rPr>
      <w:rFonts w:eastAsiaTheme="majorEastAsia"/>
      <w:i/>
      <w:lang w:bidi="en-US"/>
    </w:rPr>
  </w:style>
  <w:style w:type="paragraph" w:styleId="51">
    <w:name w:val="Intense Quote"/>
    <w:basedOn w:val="1"/>
    <w:next w:val="1"/>
    <w:link w:val="52"/>
    <w:qFormat/>
    <w:uiPriority w:val="30"/>
    <w:pPr>
      <w:ind w:left="720" w:right="720"/>
    </w:pPr>
    <w:rPr>
      <w:rFonts w:eastAsiaTheme="majorEastAsia" w:cstheme="majorBidi"/>
      <w:b/>
      <w:i/>
      <w:szCs w:val="20"/>
      <w:lang w:eastAsia="en-US" w:bidi="en-US"/>
    </w:rPr>
  </w:style>
  <w:style w:type="character" w:customStyle="1" w:styleId="52">
    <w:name w:val="明显引用 Char"/>
    <w:basedOn w:val="28"/>
    <w:link w:val="51"/>
    <w:qFormat/>
    <w:uiPriority w:val="30"/>
    <w:rPr>
      <w:rFonts w:eastAsiaTheme="majorEastAsia"/>
      <w:b/>
      <w:i/>
      <w:lang w:bidi="en-US"/>
    </w:rPr>
  </w:style>
  <w:style w:type="character" w:customStyle="1" w:styleId="53">
    <w:name w:val="Subtle Emphasis"/>
    <w:autoRedefine/>
    <w:qFormat/>
    <w:uiPriority w:val="19"/>
    <w:rPr>
      <w:i/>
      <w:color w:val="595959" w:themeColor="text1" w:themeTint="A5"/>
    </w:rPr>
  </w:style>
  <w:style w:type="character" w:customStyle="1" w:styleId="54">
    <w:name w:val="Intense Emphasis"/>
    <w:basedOn w:val="28"/>
    <w:autoRedefine/>
    <w:qFormat/>
    <w:uiPriority w:val="21"/>
    <w:rPr>
      <w:b/>
      <w:i/>
      <w:sz w:val="24"/>
      <w:szCs w:val="24"/>
      <w:u w:val="single"/>
    </w:rPr>
  </w:style>
  <w:style w:type="character" w:customStyle="1" w:styleId="55">
    <w:name w:val="Subtle Reference"/>
    <w:basedOn w:val="28"/>
    <w:qFormat/>
    <w:uiPriority w:val="31"/>
    <w:rPr>
      <w:sz w:val="24"/>
      <w:szCs w:val="24"/>
      <w:u w:val="single"/>
    </w:rPr>
  </w:style>
  <w:style w:type="character" w:customStyle="1" w:styleId="56">
    <w:name w:val="Intense Reference"/>
    <w:basedOn w:val="28"/>
    <w:autoRedefine/>
    <w:qFormat/>
    <w:uiPriority w:val="32"/>
    <w:rPr>
      <w:b/>
      <w:sz w:val="24"/>
      <w:u w:val="single"/>
    </w:rPr>
  </w:style>
  <w:style w:type="character" w:customStyle="1" w:styleId="57">
    <w:name w:val="Book Title"/>
    <w:basedOn w:val="28"/>
    <w:qFormat/>
    <w:uiPriority w:val="33"/>
    <w:rPr>
      <w:rFonts w:asciiTheme="majorHAnsi" w:hAnsiTheme="majorHAnsi" w:eastAsiaTheme="majorEastAsia"/>
      <w:b/>
      <w:i/>
      <w:sz w:val="24"/>
      <w:szCs w:val="24"/>
    </w:rPr>
  </w:style>
  <w:style w:type="paragraph" w:customStyle="1" w:styleId="58">
    <w:name w:val="TOC Heading"/>
    <w:basedOn w:val="2"/>
    <w:next w:val="1"/>
    <w:autoRedefine/>
    <w:qFormat/>
    <w:uiPriority w:val="39"/>
    <w:pPr>
      <w:numPr>
        <w:numId w:val="0"/>
      </w:numPr>
      <w:outlineLvl w:val="9"/>
    </w:pPr>
  </w:style>
  <w:style w:type="paragraph" w:customStyle="1" w:styleId="59">
    <w:name w:val="List 1"/>
    <w:basedOn w:val="1"/>
    <w:link w:val="60"/>
    <w:qFormat/>
    <w:uiPriority w:val="99"/>
    <w:pPr>
      <w:numPr>
        <w:ilvl w:val="0"/>
        <w:numId w:val="2"/>
      </w:numPr>
      <w:spacing w:before="60"/>
    </w:pPr>
    <w:rPr>
      <w:rFonts w:eastAsiaTheme="majorEastAsia" w:cstheme="majorBidi"/>
      <w:szCs w:val="20"/>
      <w:lang w:eastAsia="en-US" w:bidi="en-US"/>
    </w:rPr>
  </w:style>
  <w:style w:type="character" w:customStyle="1" w:styleId="60">
    <w:name w:val="List 1 Char"/>
    <w:basedOn w:val="28"/>
    <w:link w:val="59"/>
    <w:autoRedefine/>
    <w:uiPriority w:val="99"/>
    <w:rPr>
      <w:rFonts w:eastAsiaTheme="majorEastAsia"/>
      <w:lang w:bidi="en-US"/>
    </w:rPr>
  </w:style>
  <w:style w:type="paragraph" w:customStyle="1" w:styleId="61">
    <w:name w:val="Highlight"/>
    <w:basedOn w:val="1"/>
    <w:autoRedefine/>
    <w:qFormat/>
    <w:uiPriority w:val="99"/>
    <w:rPr>
      <w:color w:val="BE0000" w:themeColor="accent6" w:themeShade="BF"/>
    </w:rPr>
  </w:style>
  <w:style w:type="paragraph" w:customStyle="1" w:styleId="62">
    <w:name w:val="Numbered 1"/>
    <w:basedOn w:val="1"/>
    <w:autoRedefine/>
    <w:qFormat/>
    <w:uiPriority w:val="0"/>
    <w:pPr>
      <w:numPr>
        <w:ilvl w:val="0"/>
        <w:numId w:val="3"/>
      </w:numPr>
      <w:spacing w:before="60"/>
    </w:pPr>
  </w:style>
  <w:style w:type="paragraph" w:customStyle="1" w:styleId="63">
    <w:name w:val="List2"/>
    <w:basedOn w:val="59"/>
    <w:qFormat/>
    <w:uiPriority w:val="99"/>
    <w:pPr>
      <w:numPr>
        <w:numId w:val="0"/>
      </w:numPr>
      <w:spacing w:before="0"/>
    </w:pPr>
    <w:rPr>
      <w:szCs w:val="24"/>
      <w:lang w:val="fr-FR" w:eastAsia="fr-FR" w:bidi="ar-SA"/>
    </w:rPr>
  </w:style>
  <w:style w:type="paragraph" w:customStyle="1" w:styleId="64">
    <w:name w:val="Style Heading 5 + First line:  0 cm"/>
    <w:basedOn w:val="6"/>
    <w:qFormat/>
    <w:uiPriority w:val="0"/>
    <w:pPr>
      <w:numPr>
        <w:ilvl w:val="0"/>
        <w:numId w:val="0"/>
      </w:numPr>
    </w:pPr>
    <w:rPr>
      <w:color w:val="363636"/>
      <w:szCs w:val="24"/>
      <w:u w:val="single"/>
    </w:rPr>
  </w:style>
  <w:style w:type="paragraph" w:customStyle="1" w:styleId="65">
    <w:name w:val="Glossary"/>
    <w:basedOn w:val="1"/>
    <w:link w:val="66"/>
    <w:autoRedefine/>
    <w:qFormat/>
    <w:uiPriority w:val="99"/>
    <w:pPr>
      <w:spacing w:before="40"/>
    </w:pPr>
    <w:rPr>
      <w:rFonts w:cstheme="majorBidi"/>
      <w:sz w:val="16"/>
      <w:szCs w:val="16"/>
      <w:lang w:eastAsia="en-GB"/>
    </w:rPr>
  </w:style>
  <w:style w:type="character" w:customStyle="1" w:styleId="66">
    <w:name w:val="Glossary Char"/>
    <w:basedOn w:val="28"/>
    <w:link w:val="65"/>
    <w:uiPriority w:val="99"/>
    <w:rPr>
      <w:sz w:val="16"/>
      <w:szCs w:val="16"/>
      <w:lang w:eastAsia="en-GB"/>
    </w:rPr>
  </w:style>
  <w:style w:type="character" w:customStyle="1" w:styleId="67">
    <w:name w:val="页眉 Char"/>
    <w:basedOn w:val="28"/>
    <w:link w:val="16"/>
    <w:autoRedefine/>
    <w:qFormat/>
    <w:uiPriority w:val="99"/>
    <w:rPr>
      <w:rFonts w:cs="Times New Roman"/>
      <w:szCs w:val="24"/>
      <w:lang w:eastAsia="fr-FR"/>
    </w:rPr>
  </w:style>
  <w:style w:type="table" w:customStyle="1" w:styleId="68">
    <w:name w:val="SGS Table Basic 2"/>
    <w:basedOn w:val="22"/>
    <w:autoRedefine/>
    <w:qFormat/>
    <w:uiPriority w:val="99"/>
    <w:pPr>
      <w:spacing w:before="0"/>
    </w:pPr>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9">
    <w:name w:val="批注框文本 Char"/>
    <w:basedOn w:val="28"/>
    <w:link w:val="14"/>
    <w:autoRedefine/>
    <w:semiHidden/>
    <w:qFormat/>
    <w:uiPriority w:val="0"/>
    <w:rPr>
      <w:rFonts w:cs="Tahoma"/>
      <w:sz w:val="16"/>
      <w:szCs w:val="16"/>
      <w:lang w:val="fr-FR" w:eastAsia="fr-FR"/>
    </w:rPr>
  </w:style>
  <w:style w:type="character" w:customStyle="1" w:styleId="70">
    <w:name w:val="NormalCharacter"/>
    <w:autoRedefine/>
    <w:semiHidden/>
    <w:qFormat/>
    <w:uiPriority w:val="0"/>
  </w:style>
  <w:style w:type="character" w:customStyle="1" w:styleId="71">
    <w:name w:val="批注文字 Char"/>
    <w:basedOn w:val="28"/>
    <w:link w:val="11"/>
    <w:autoRedefine/>
    <w:qFormat/>
    <w:uiPriority w:val="0"/>
    <w:rPr>
      <w:rFonts w:ascii="Calibri" w:hAnsi="Calibri" w:eastAsia="宋体" w:cs="Calibri"/>
      <w:kern w:val="2"/>
      <w:sz w:val="21"/>
      <w:szCs w:val="21"/>
    </w:rPr>
  </w:style>
  <w:style w:type="character" w:customStyle="1" w:styleId="72">
    <w:name w:val="批注主题 Char"/>
    <w:basedOn w:val="71"/>
    <w:link w:val="21"/>
    <w:autoRedefine/>
    <w:semiHidden/>
    <w:qFormat/>
    <w:uiPriority w:val="0"/>
    <w:rPr>
      <w:rFonts w:ascii="Calibri" w:hAnsi="Calibri" w:eastAsia="宋体" w:cs="Calibri"/>
      <w:b/>
      <w:bCs/>
      <w:kern w:val="2"/>
      <w:sz w:val="21"/>
      <w:szCs w:val="21"/>
    </w:rPr>
  </w:style>
  <w:style w:type="character" w:customStyle="1" w:styleId="73">
    <w:name w:val="纯文本 Char"/>
    <w:basedOn w:val="28"/>
    <w:link w:val="13"/>
    <w:autoRedefine/>
    <w:semiHidden/>
    <w:qFormat/>
    <w:uiPriority w:val="0"/>
    <w:rPr>
      <w:rFonts w:ascii="宋体" w:hAnsi="Courier New" w:eastAsia="宋体" w:cs="Courier New"/>
      <w:kern w:val="2"/>
      <w:sz w:val="21"/>
      <w:szCs w:val="21"/>
    </w:rPr>
  </w:style>
  <w:style w:type="character" w:customStyle="1" w:styleId="74">
    <w:name w:val="纯文本 Char1"/>
    <w:link w:val="13"/>
    <w:autoRedefine/>
    <w:qFormat/>
    <w:uiPriority w:val="0"/>
    <w:rPr>
      <w:rFonts w:ascii="宋体" w:hAnsi="Courier New" w:eastAsia="宋体" w:cs="Times New Roman"/>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351D-6625-494E-A289-7C9492517BBD}">
  <ds:schemaRefs/>
</ds:datastoreItem>
</file>

<file path=docProps/app.xml><?xml version="1.0" encoding="utf-8"?>
<Properties xmlns="http://schemas.openxmlformats.org/officeDocument/2006/extended-properties" xmlns:vt="http://schemas.openxmlformats.org/officeDocument/2006/docPropsVTypes">
  <Template>Normal</Template>
  <Pages>5</Pages>
  <Words>672</Words>
  <Characters>3834</Characters>
  <Lines>31</Lines>
  <Paragraphs>8</Paragraphs>
  <TotalTime>0</TotalTime>
  <ScaleCrop>false</ScaleCrop>
  <LinksUpToDate>false</LinksUpToDate>
  <CharactersWithSpaces>4498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2023-08-01T00:42:00Z</dcterms:created>
  <dc:creator>Zhao, Rose (Shanghai)</dc:creator>
  <cp:lastModifiedBy>菠萝啵啵</cp:lastModifiedBy>
  <dcterms:modified xsi:type="dcterms:W3CDTF">2024-07-17T08:00:53Z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37FEE1ACFF524B98BB836E1C5A4C3330_12</vt:lpwstr>
  </property>
</Properties>
</file>