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区</w:t>
      </w:r>
      <w:r>
        <w:rPr>
          <w:rFonts w:hint="default" w:ascii="方正小标宋简体" w:eastAsia="方正小标宋简体"/>
          <w:color w:val="000000"/>
          <w:sz w:val="36"/>
          <w:szCs w:val="36"/>
          <w:lang w:eastAsia="zh-CN"/>
        </w:rPr>
        <w:t>政务办</w:t>
      </w:r>
      <w:r>
        <w:rPr>
          <w:rFonts w:hint="eastAsia" w:ascii="方正小标宋简体" w:eastAsia="方正小标宋简体"/>
          <w:color w:val="000000"/>
          <w:sz w:val="36"/>
          <w:szCs w:val="36"/>
        </w:rPr>
        <w:t>重大行政决策事项目录</w:t>
      </w:r>
    </w:p>
    <w:p>
      <w:pPr>
        <w:pStyle w:val="2"/>
        <w:rPr>
          <w:rFonts w:hint="eastAsia"/>
        </w:rPr>
      </w:pPr>
    </w:p>
    <w:tbl>
      <w:tblPr>
        <w:tblStyle w:val="4"/>
        <w:tblW w:w="12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441"/>
        <w:gridCol w:w="1395"/>
        <w:gridCol w:w="1419"/>
        <w:gridCol w:w="1822"/>
        <w:gridCol w:w="239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center"/>
          </w:tcPr>
          <w:p>
            <w:pPr>
              <w:jc w:val="center"/>
              <w:rPr>
                <w:rFonts w:hint="eastAsia" w:ascii="黑体" w:eastAsia="黑体"/>
                <w:color w:val="000000"/>
                <w:sz w:val="28"/>
                <w:szCs w:val="28"/>
              </w:rPr>
            </w:pPr>
          </w:p>
          <w:p>
            <w:pPr>
              <w:jc w:val="center"/>
              <w:rPr>
                <w:rFonts w:hint="eastAsia" w:ascii="黑体" w:eastAsia="黑体"/>
                <w:color w:val="000000"/>
                <w:sz w:val="30"/>
                <w:szCs w:val="30"/>
              </w:rPr>
            </w:pPr>
            <w:r>
              <w:rPr>
                <w:rFonts w:hint="eastAsia" w:ascii="黑体" w:eastAsia="黑体"/>
                <w:color w:val="000000"/>
                <w:sz w:val="28"/>
                <w:szCs w:val="28"/>
              </w:rPr>
              <w:t>序号</w:t>
            </w:r>
          </w:p>
        </w:tc>
        <w:tc>
          <w:tcPr>
            <w:tcW w:w="2441" w:type="dxa"/>
            <w:noWrap w:val="0"/>
            <w:vAlign w:val="center"/>
          </w:tcPr>
          <w:p>
            <w:pPr>
              <w:jc w:val="center"/>
              <w:rPr>
                <w:rFonts w:hint="eastAsia" w:ascii="黑体" w:eastAsia="黑体"/>
                <w:color w:val="000000"/>
                <w:sz w:val="30"/>
                <w:szCs w:val="30"/>
              </w:rPr>
            </w:pPr>
            <w:r>
              <w:rPr>
                <w:rFonts w:hint="eastAsia" w:ascii="黑体" w:eastAsia="黑体"/>
                <w:color w:val="000000"/>
                <w:sz w:val="28"/>
                <w:szCs w:val="28"/>
                <w:lang w:eastAsia="zh-CN"/>
              </w:rPr>
              <w:t>事项</w:t>
            </w:r>
            <w:r>
              <w:rPr>
                <w:rFonts w:hint="eastAsia" w:ascii="黑体" w:eastAsia="黑体"/>
                <w:color w:val="000000"/>
                <w:sz w:val="28"/>
                <w:szCs w:val="28"/>
              </w:rPr>
              <w:t>名称</w:t>
            </w:r>
          </w:p>
        </w:tc>
        <w:tc>
          <w:tcPr>
            <w:tcW w:w="1395" w:type="dxa"/>
            <w:noWrap w:val="0"/>
            <w:vAlign w:val="center"/>
          </w:tcPr>
          <w:p>
            <w:pPr>
              <w:widowControl/>
              <w:spacing w:line="420" w:lineRule="atLeast"/>
              <w:jc w:val="center"/>
              <w:rPr>
                <w:rFonts w:hint="eastAsia" w:ascii="黑体" w:hAnsi="宋体" w:eastAsia="黑体" w:cs="宋体"/>
                <w:color w:val="000000"/>
                <w:kern w:val="0"/>
                <w:szCs w:val="21"/>
                <w:lang w:val="en-US" w:eastAsia="zh-CN"/>
              </w:rPr>
            </w:pPr>
            <w:r>
              <w:rPr>
                <w:rFonts w:hint="eastAsia" w:ascii="黑体" w:hAnsi="宋体" w:eastAsia="黑体" w:cs="宋体"/>
                <w:color w:val="000000"/>
                <w:kern w:val="0"/>
                <w:sz w:val="28"/>
                <w:szCs w:val="28"/>
              </w:rPr>
              <w:t>决策</w:t>
            </w:r>
            <w:r>
              <w:rPr>
                <w:rFonts w:hint="eastAsia" w:ascii="黑体" w:hAnsi="宋体" w:eastAsia="黑体" w:cs="宋体"/>
                <w:color w:val="000000"/>
                <w:kern w:val="0"/>
                <w:sz w:val="28"/>
                <w:szCs w:val="28"/>
                <w:lang w:eastAsia="zh-CN"/>
              </w:rPr>
              <w:t>主体</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olor w:val="000000"/>
                <w:sz w:val="30"/>
                <w:szCs w:val="30"/>
                <w:lang w:eastAsia="zh-CN"/>
              </w:rPr>
            </w:pPr>
            <w:r>
              <w:rPr>
                <w:rFonts w:hint="eastAsia" w:ascii="黑体" w:eastAsia="黑体"/>
                <w:color w:val="000000"/>
                <w:sz w:val="28"/>
                <w:szCs w:val="28"/>
                <w:lang w:eastAsia="zh-CN"/>
              </w:rPr>
              <w:t>决策承办单位</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olor w:val="000000"/>
                <w:sz w:val="30"/>
                <w:szCs w:val="30"/>
                <w:lang w:eastAsia="zh-CN"/>
              </w:rPr>
            </w:pPr>
            <w:r>
              <w:rPr>
                <w:rFonts w:hint="eastAsia" w:ascii="黑体" w:eastAsia="黑体"/>
                <w:color w:val="000000"/>
                <w:sz w:val="28"/>
                <w:szCs w:val="28"/>
                <w:lang w:eastAsia="zh-CN"/>
              </w:rPr>
              <w:t>法律政策依据</w:t>
            </w:r>
          </w:p>
        </w:tc>
        <w:tc>
          <w:tcPr>
            <w:tcW w:w="2399" w:type="dxa"/>
            <w:noWrap w:val="0"/>
            <w:vAlign w:val="center"/>
          </w:tcPr>
          <w:p>
            <w:pPr>
              <w:jc w:val="center"/>
              <w:rPr>
                <w:rFonts w:hint="eastAsia" w:ascii="黑体" w:eastAsia="黑体"/>
                <w:color w:val="000000"/>
                <w:sz w:val="28"/>
                <w:szCs w:val="28"/>
                <w:lang w:eastAsia="zh-CN"/>
              </w:rPr>
            </w:pPr>
            <w:r>
              <w:rPr>
                <w:rFonts w:hint="eastAsia" w:ascii="黑体" w:eastAsia="黑体"/>
                <w:color w:val="000000"/>
                <w:sz w:val="28"/>
                <w:szCs w:val="28"/>
                <w:lang w:val="en-US" w:eastAsia="zh-CN"/>
              </w:rPr>
              <w:t>履行程序要求</w:t>
            </w:r>
          </w:p>
        </w:tc>
        <w:tc>
          <w:tcPr>
            <w:tcW w:w="2265" w:type="dxa"/>
            <w:noWrap w:val="0"/>
            <w:vAlign w:val="center"/>
          </w:tcPr>
          <w:p>
            <w:pPr>
              <w:jc w:val="center"/>
              <w:rPr>
                <w:rFonts w:hint="eastAsia" w:ascii="黑体" w:eastAsia="黑体"/>
                <w:color w:val="000000"/>
                <w:sz w:val="28"/>
                <w:szCs w:val="28"/>
                <w:lang w:eastAsia="zh-CN"/>
              </w:rPr>
            </w:pPr>
            <w:r>
              <w:rPr>
                <w:rFonts w:hint="eastAsia" w:ascii="黑体" w:eastAsia="黑体"/>
                <w:color w:val="000000"/>
                <w:sz w:val="28"/>
                <w:szCs w:val="28"/>
                <w:lang w:eastAsia="zh-CN"/>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center"/>
          </w:tcPr>
          <w:p>
            <w:pPr>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w:t>
            </w:r>
          </w:p>
        </w:tc>
        <w:tc>
          <w:tcPr>
            <w:tcW w:w="2441" w:type="dxa"/>
            <w:noWrap w:val="0"/>
            <w:vAlign w:val="center"/>
          </w:tcPr>
          <w:p>
            <w:pPr>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val="en-US" w:eastAsia="zh-CN"/>
              </w:rPr>
              <w:t>南浔区构建</w:t>
            </w:r>
            <w:r>
              <w:rPr>
                <w:rFonts w:hint="eastAsia" w:ascii="仿宋_GB2312" w:eastAsia="仿宋_GB2312"/>
                <w:color w:val="000000"/>
                <w:sz w:val="24"/>
                <w:szCs w:val="24"/>
                <w:lang w:eastAsia="zh-CN"/>
              </w:rPr>
              <w:t>涉企问题高效闭环解决机制的</w:t>
            </w:r>
            <w:r>
              <w:rPr>
                <w:rFonts w:hint="eastAsia" w:ascii="仿宋_GB2312" w:eastAsia="仿宋_GB2312"/>
                <w:color w:val="000000"/>
                <w:sz w:val="24"/>
                <w:szCs w:val="24"/>
                <w:lang w:val="en-US" w:eastAsia="zh-CN"/>
              </w:rPr>
              <w:t>实施方案</w:t>
            </w:r>
          </w:p>
        </w:tc>
        <w:tc>
          <w:tcPr>
            <w:tcW w:w="1395" w:type="dxa"/>
            <w:noWrap w:val="0"/>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lang w:val="en-US" w:eastAsia="zh-CN"/>
              </w:rPr>
              <w:t>区政务办</w:t>
            </w:r>
          </w:p>
        </w:tc>
        <w:tc>
          <w:tcPr>
            <w:tcW w:w="1419" w:type="dxa"/>
            <w:noWrap w:val="0"/>
            <w:vAlign w:val="center"/>
          </w:tcPr>
          <w:p>
            <w:pPr>
              <w:jc w:val="center"/>
              <w:rPr>
                <w:rFonts w:hint="default" w:ascii="仿宋_GB2312" w:eastAsia="仿宋_GB2312"/>
                <w:color w:val="000000"/>
                <w:sz w:val="24"/>
                <w:szCs w:val="24"/>
                <w:lang w:val="en-US" w:eastAsia="zh-CN"/>
              </w:rPr>
            </w:pPr>
            <w:r>
              <w:rPr>
                <w:rFonts w:hint="eastAsia" w:ascii="仿宋_GB2312" w:eastAsia="仿宋_GB2312"/>
                <w:color w:val="000000"/>
                <w:sz w:val="24"/>
                <w:szCs w:val="24"/>
                <w:lang w:val="en-US" w:eastAsia="zh-CN"/>
              </w:rPr>
              <w:t>区政务办</w:t>
            </w:r>
          </w:p>
        </w:tc>
        <w:tc>
          <w:tcPr>
            <w:tcW w:w="1822" w:type="dxa"/>
            <w:noWrap w:val="0"/>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lang w:val="en-US" w:eastAsia="zh-CN"/>
              </w:rPr>
              <w:t>《浙江省优化营商环境条例》、《湖州市强化企业综合服务中心建设构建涉企问题高效闭环解决机制的实施方案》</w:t>
            </w:r>
          </w:p>
        </w:tc>
        <w:tc>
          <w:tcPr>
            <w:tcW w:w="2399" w:type="dxa"/>
            <w:noWrap w:val="0"/>
            <w:vAlign w:val="center"/>
          </w:tcPr>
          <w:p>
            <w:pPr>
              <w:jc w:val="center"/>
              <w:rPr>
                <w:rFonts w:hint="eastAsia" w:ascii="仿宋_GB2312" w:eastAsia="仿宋_GB2312"/>
                <w:color w:val="000000"/>
                <w:sz w:val="24"/>
                <w:szCs w:val="24"/>
              </w:rPr>
            </w:pPr>
            <w:r>
              <w:rPr>
                <w:rFonts w:hint="eastAsia" w:ascii="仿宋_GB2312" w:hAnsi="宋体" w:eastAsia="仿宋_GB2312" w:cs="仿宋_GB2312"/>
                <w:i w:val="0"/>
                <w:iCs w:val="0"/>
                <w:caps w:val="0"/>
                <w:color w:val="333333"/>
                <w:spacing w:val="0"/>
                <w:sz w:val="24"/>
                <w:szCs w:val="24"/>
                <w:lang w:val="en-US" w:eastAsia="zh-CN"/>
              </w:rPr>
              <w:t>征求意见、合法性审查、集体讨论决定等程序</w:t>
            </w:r>
          </w:p>
        </w:tc>
        <w:tc>
          <w:tcPr>
            <w:tcW w:w="2265" w:type="dxa"/>
            <w:noWrap w:val="0"/>
            <w:vAlign w:val="center"/>
          </w:tcPr>
          <w:p>
            <w:pPr>
              <w:jc w:val="center"/>
              <w:rPr>
                <w:rFonts w:hint="default" w:ascii="仿宋_GB2312" w:eastAsia="仿宋_GB2312"/>
                <w:color w:val="000000"/>
                <w:sz w:val="24"/>
                <w:szCs w:val="24"/>
                <w:lang w:val="en-US" w:eastAsia="zh-CN"/>
              </w:rPr>
            </w:pPr>
            <w:r>
              <w:rPr>
                <w:rFonts w:hint="eastAsia" w:ascii="仿宋_GB2312" w:eastAsia="仿宋_GB2312"/>
                <w:color w:val="000000"/>
                <w:sz w:val="24"/>
                <w:szCs w:val="24"/>
                <w:lang w:val="en-US" w:eastAsia="zh-CN"/>
              </w:rPr>
              <w:t>2024年</w:t>
            </w:r>
          </w:p>
        </w:tc>
      </w:tr>
    </w:tbl>
    <w:p>
      <w:bookmarkStart w:id="0" w:name="_GoBack"/>
      <w:bookmarkEnd w:id="0"/>
    </w:p>
    <w:sectPr>
      <w:footerReference r:id="rId3" w:type="default"/>
      <w:pgSz w:w="16838" w:h="11906" w:orient="landscape"/>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ZGJjNDRmYjIxNTFmNjQ2OWUyMTYwNjBhNDhhNmMifQ=="/>
    <w:docVar w:name="KSO_WPS_MARK_KEY" w:val="12a4ea8c-ac58-4a9b-a509-63b41db20abb"/>
  </w:docVars>
  <w:rsids>
    <w:rsidRoot w:val="00000000"/>
    <w:rsid w:val="1C8845ED"/>
    <w:rsid w:val="1E9933DC"/>
    <w:rsid w:val="1EFD66B0"/>
    <w:rsid w:val="1FF38C93"/>
    <w:rsid w:val="24CA0FEC"/>
    <w:rsid w:val="29DEEDF5"/>
    <w:rsid w:val="3FA03250"/>
    <w:rsid w:val="426E71FB"/>
    <w:rsid w:val="4907673A"/>
    <w:rsid w:val="4FDFAF9D"/>
    <w:rsid w:val="67C13879"/>
    <w:rsid w:val="6E9EC89D"/>
    <w:rsid w:val="87E76561"/>
    <w:rsid w:val="BEBF7CC3"/>
    <w:rsid w:val="BF6B3440"/>
    <w:rsid w:val="DEBF4E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footer"/>
    <w:basedOn w:val="1"/>
    <w:unhideWhenUsed/>
    <w:qFormat/>
    <w:uiPriority w:val="99"/>
    <w:pPr>
      <w:tabs>
        <w:tab w:val="center" w:pos="4153"/>
        <w:tab w:val="right" w:pos="8306"/>
      </w:tabs>
      <w:suppressAutoHyphens w:val="0"/>
      <w:snapToGrid w:val="0"/>
      <w:jc w:val="left"/>
    </w:pPr>
    <w:rPr>
      <w:rFonts w:ascii="Times New Roman" w:hAnsi="Times New Roman"/>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182</Words>
  <Characters>203</Characters>
  <Lines>0</Lines>
  <Paragraphs>0</Paragraphs>
  <TotalTime>0</TotalTime>
  <ScaleCrop>false</ScaleCrop>
  <LinksUpToDate>false</LinksUpToDate>
  <CharactersWithSpaces>257</CharactersWithSpaces>
  <Application>WPS Office_12.1.0.16417_F1E327BC-269C-435d-A152-05C5408002CA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2023-03-28T04:32:00Z</dcterms:created>
  <dc:creator>Admin</dc:creator>
  <lastModifiedBy>沈红芳</lastModifiedBy>
  <lastPrinted>2023-03-28T04:33:00Z</lastPrinted>
  <dcterms:modified xsi:type="dcterms:W3CDTF">2024-04-19T02:22:21Z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DEA19031C6384AA4841B0964A1A9AFA9</vt:lpwstr>
  </property>
</Properties>
</file>