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eastAsia="宋体"/>
          <w:b/>
          <w:sz w:val="48"/>
          <w:szCs w:val="48"/>
          <w:lang w:eastAsia="zh-CN"/>
        </w:rPr>
      </w:pPr>
      <w:r>
        <w:rPr>
          <w:rFonts w:hint="eastAsia" w:ascii="宋体" w:hAnsi="宋体"/>
          <w:b/>
          <w:sz w:val="48"/>
          <w:szCs w:val="48"/>
          <w:lang w:eastAsia="zh-CN"/>
        </w:rPr>
        <w:t>安吉县人民政府递铺街道办事处递铺街道双河和雾山寺（安城）片区绿化养护服务政府采购项目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2"/>
        <w:snapToGrid w:val="0"/>
        <w:spacing w:before="120" w:after="120"/>
        <w:rPr>
          <w:rFonts w:hAnsi="宋体"/>
          <w:bCs/>
          <w:w w:val="95"/>
          <w:sz w:val="28"/>
          <w:szCs w:val="28"/>
        </w:rPr>
      </w:pPr>
      <w:r>
        <w:rPr>
          <w:rFonts w:hint="eastAsia" w:hAnsi="宋体"/>
          <w:bCs/>
          <w:w w:val="95"/>
          <w:sz w:val="28"/>
          <w:szCs w:val="28"/>
        </w:rPr>
        <w:t>项目编号：</w:t>
      </w:r>
      <w:r>
        <w:rPr>
          <w:rFonts w:hint="eastAsia" w:hAnsi="宋体"/>
          <w:bCs/>
          <w:w w:val="95"/>
          <w:sz w:val="28"/>
          <w:szCs w:val="28"/>
          <w:lang w:eastAsia="zh-CN"/>
        </w:rPr>
        <w:t>AJGK2022-017</w:t>
      </w:r>
      <w:r>
        <w:rPr>
          <w:rFonts w:hint="eastAsia" w:hAnsi="宋体"/>
          <w:bCs/>
          <w:w w:val="95"/>
          <w:sz w:val="28"/>
          <w:szCs w:val="28"/>
        </w:rPr>
        <w:t xml:space="preserve"> </w:t>
      </w:r>
    </w:p>
    <w:p>
      <w:pPr>
        <w:pStyle w:val="2"/>
        <w:snapToGrid w:val="0"/>
        <w:spacing w:before="120" w:after="120"/>
        <w:rPr>
          <w:rFonts w:hint="eastAsia" w:hAnsi="宋体" w:eastAsia="宋体"/>
          <w:bCs/>
          <w:w w:val="95"/>
          <w:sz w:val="28"/>
          <w:szCs w:val="28"/>
          <w:lang w:eastAsia="zh-CN"/>
        </w:rPr>
      </w:pPr>
      <w:r>
        <w:rPr>
          <w:rFonts w:hint="eastAsia" w:hAnsi="宋体"/>
          <w:bCs/>
          <w:w w:val="95"/>
          <w:sz w:val="28"/>
          <w:szCs w:val="28"/>
        </w:rPr>
        <w:t>项目名称：</w:t>
      </w:r>
      <w:r>
        <w:rPr>
          <w:rFonts w:hint="eastAsia" w:hAnsi="宋体"/>
          <w:bCs/>
          <w:w w:val="95"/>
          <w:sz w:val="28"/>
          <w:szCs w:val="28"/>
          <w:lang w:eastAsia="zh-CN"/>
        </w:rPr>
        <w:t>安吉县人民政府递铺街道办事处递铺街道双河和雾山寺（安城）片区绿化养护服务政府采购项目</w:t>
      </w:r>
    </w:p>
    <w:p>
      <w:pPr>
        <w:pStyle w:val="2"/>
        <w:snapToGrid w:val="0"/>
        <w:spacing w:before="120" w:after="120"/>
        <w:rPr>
          <w:rFonts w:hAnsi="宋体"/>
          <w:bCs/>
          <w:w w:val="95"/>
          <w:sz w:val="28"/>
          <w:szCs w:val="28"/>
        </w:rPr>
      </w:pPr>
      <w:r>
        <w:rPr>
          <w:rFonts w:hint="eastAsia" w:hAnsi="宋体"/>
          <w:bCs/>
          <w:w w:val="95"/>
          <w:sz w:val="28"/>
          <w:szCs w:val="28"/>
        </w:rPr>
        <w:t>采购单位：</w:t>
      </w:r>
      <w:r>
        <w:rPr>
          <w:rFonts w:hint="eastAsia" w:hAnsi="宋体"/>
          <w:bCs/>
          <w:w w:val="95"/>
          <w:sz w:val="28"/>
          <w:szCs w:val="28"/>
          <w:lang w:eastAsia="zh-CN"/>
        </w:rPr>
        <w:t>安吉县人民政府递铺街道办事处</w:t>
      </w:r>
      <w:r>
        <w:rPr>
          <w:rFonts w:hint="eastAsia" w:hAnsi="宋体"/>
          <w:bCs/>
          <w:w w:val="95"/>
          <w:sz w:val="28"/>
          <w:szCs w:val="28"/>
        </w:rPr>
        <w:t xml:space="preserve"> </w:t>
      </w:r>
    </w:p>
    <w:p>
      <w:pPr>
        <w:pStyle w:val="2"/>
        <w:snapToGrid w:val="0"/>
        <w:spacing w:before="120" w:after="120"/>
        <w:rPr>
          <w:rFonts w:hint="eastAsia" w:hAnsi="宋体" w:eastAsia="宋体"/>
          <w:bCs/>
          <w:w w:val="95"/>
          <w:sz w:val="28"/>
          <w:szCs w:val="28"/>
          <w:lang w:eastAsia="zh-CN"/>
        </w:rPr>
      </w:pPr>
      <w:r>
        <w:rPr>
          <w:rFonts w:hint="eastAsia" w:hAnsi="宋体"/>
          <w:bCs/>
          <w:w w:val="95"/>
          <w:sz w:val="28"/>
          <w:szCs w:val="28"/>
        </w:rPr>
        <w:t>集中采购代理机构：</w:t>
      </w:r>
      <w:r>
        <w:rPr>
          <w:rFonts w:hint="eastAsia" w:hAnsi="宋体"/>
          <w:bCs/>
          <w:w w:val="95"/>
          <w:sz w:val="28"/>
          <w:szCs w:val="28"/>
          <w:lang w:eastAsia="zh-CN"/>
        </w:rPr>
        <w:t>安吉县公共资源交易中心（安吉县政府采购中心）</w:t>
      </w:r>
    </w:p>
    <w:p>
      <w:pPr>
        <w:pStyle w:val="2"/>
        <w:snapToGrid w:val="0"/>
        <w:spacing w:beforeLines="0" w:afterLines="0" w:line="240" w:lineRule="auto"/>
        <w:jc w:val="left"/>
        <w:rPr>
          <w:rFonts w:hint="eastAsia" w:hAnsi="宋体" w:eastAsia="宋体"/>
          <w:bCs/>
          <w:w w:val="95"/>
          <w:sz w:val="28"/>
          <w:szCs w:val="28"/>
          <w:lang w:eastAsia="zh-CN"/>
        </w:rPr>
      </w:pPr>
      <w:r>
        <w:rPr>
          <w:rFonts w:hint="eastAsia" w:hAnsi="宋体"/>
          <w:bCs/>
          <w:w w:val="95"/>
          <w:sz w:val="28"/>
          <w:szCs w:val="28"/>
          <w:lang w:eastAsia="zh-CN"/>
        </w:rPr>
        <w:t>二〇二二年</w:t>
      </w:r>
      <w:r>
        <w:rPr>
          <w:rFonts w:hint="eastAsia" w:hAnsi="宋体"/>
          <w:bCs/>
          <w:w w:val="95"/>
          <w:sz w:val="28"/>
          <w:szCs w:val="28"/>
          <w:lang w:val="en-US" w:eastAsia="zh-CN"/>
        </w:rPr>
        <w:t>十二</w:t>
      </w:r>
      <w:r>
        <w:rPr>
          <w:rFonts w:hint="eastAsia" w:hAnsi="宋体"/>
          <w:bCs/>
          <w:w w:val="95"/>
          <w:sz w:val="28"/>
          <w:szCs w:val="28"/>
          <w:lang w:eastAsia="zh-CN"/>
        </w:rPr>
        <w:t>月</w:t>
      </w:r>
    </w:p>
    <w:p>
      <w:pPr>
        <w:pStyle w:val="2"/>
        <w:spacing w:beforeLines="0" w:afterLines="0" w:line="240" w:lineRule="auto"/>
        <w:jc w:val="center"/>
        <w:rPr>
          <w:rFonts w:hAnsi="宋体"/>
          <w:b/>
          <w:sz w:val="36"/>
          <w:szCs w:val="36"/>
        </w:rPr>
        <w:sectPr>
          <w:headerReference r:id="rId3" w:type="default"/>
          <w:footerReference r:id="rId4" w:type="default"/>
          <w:pgSz w:w="11906" w:h="16838"/>
          <w:pgMar w:top="1558" w:right="1531" w:bottom="1402" w:left="1531" w:header="851" w:footer="851" w:gutter="0"/>
          <w:pgNumType w:fmt="decimal" w:start="1"/>
          <w:cols w:space="720" w:num="1"/>
          <w:docGrid w:linePitch="312" w:charSpace="0"/>
        </w:sectPr>
      </w:pPr>
    </w:p>
    <w:p>
      <w:pPr>
        <w:pStyle w:val="2"/>
        <w:spacing w:beforeLines="0" w:afterLines="0" w:line="240" w:lineRule="auto"/>
        <w:jc w:val="center"/>
        <w:rPr>
          <w:rFonts w:hAnsi="宋体"/>
          <w:b/>
          <w:sz w:val="36"/>
          <w:szCs w:val="36"/>
        </w:rPr>
      </w:pPr>
      <w:r>
        <w:rPr>
          <w:rFonts w:hint="eastAsia" w:hAnsi="宋体"/>
          <w:b/>
          <w:sz w:val="36"/>
          <w:szCs w:val="36"/>
        </w:rPr>
        <w:t>目    录</w:t>
      </w:r>
    </w:p>
    <w:p>
      <w:pPr>
        <w:pStyle w:val="2"/>
        <w:spacing w:beforeLines="0" w:afterLines="0" w:line="480" w:lineRule="auto"/>
        <w:jc w:val="center"/>
        <w:rPr>
          <w:rFonts w:hAnsi="宋体"/>
          <w:b/>
          <w:sz w:val="36"/>
          <w:szCs w:val="36"/>
        </w:rPr>
      </w:pPr>
    </w:p>
    <w:p>
      <w:pPr>
        <w:pStyle w:val="21"/>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_Toc7714 </w:instrText>
      </w:r>
      <w:r>
        <w:rPr>
          <w:szCs w:val="28"/>
        </w:rPr>
        <w:fldChar w:fldCharType="separate"/>
      </w:r>
      <w:r>
        <w:rPr>
          <w:rFonts w:hint="eastAsia"/>
        </w:rPr>
        <w:t>第一章  公开招标采购公告</w:t>
      </w:r>
      <w:r>
        <w:tab/>
      </w:r>
      <w:r>
        <w:rPr>
          <w:rFonts w:hint="eastAsia"/>
          <w:lang w:val="en-US" w:eastAsia="zh-CN"/>
        </w:rPr>
        <w:t>3</w:t>
      </w:r>
      <w:r>
        <w:rPr>
          <w:szCs w:val="28"/>
        </w:rPr>
        <w:fldChar w:fldCharType="end"/>
      </w:r>
    </w:p>
    <w:p>
      <w:pPr>
        <w:pStyle w:val="21"/>
        <w:tabs>
          <w:tab w:val="right" w:leader="dot" w:pos="8844"/>
        </w:tabs>
      </w:pPr>
      <w:r>
        <w:rPr>
          <w:szCs w:val="28"/>
        </w:rPr>
        <w:fldChar w:fldCharType="begin"/>
      </w:r>
      <w:r>
        <w:rPr>
          <w:szCs w:val="28"/>
        </w:rPr>
        <w:instrText xml:space="preserve"> HYPERLINK \l _Toc18725 </w:instrText>
      </w:r>
      <w:r>
        <w:rPr>
          <w:szCs w:val="28"/>
        </w:rPr>
        <w:fldChar w:fldCharType="separate"/>
      </w:r>
      <w:r>
        <w:rPr>
          <w:rFonts w:hint="eastAsia"/>
        </w:rPr>
        <w:t>第二章  投标人须知</w:t>
      </w:r>
      <w:r>
        <w:tab/>
      </w:r>
      <w:r>
        <w:rPr>
          <w:rFonts w:hint="eastAsia"/>
          <w:lang w:val="en-US" w:eastAsia="zh-CN"/>
        </w:rPr>
        <w:t>6</w:t>
      </w:r>
      <w:r>
        <w:rPr>
          <w:szCs w:val="28"/>
        </w:rPr>
        <w:fldChar w:fldCharType="end"/>
      </w:r>
    </w:p>
    <w:p>
      <w:pPr>
        <w:pStyle w:val="21"/>
        <w:tabs>
          <w:tab w:val="right" w:leader="dot" w:pos="8844"/>
        </w:tabs>
      </w:pPr>
      <w:r>
        <w:rPr>
          <w:szCs w:val="28"/>
        </w:rPr>
        <w:fldChar w:fldCharType="begin"/>
      </w:r>
      <w:r>
        <w:rPr>
          <w:szCs w:val="28"/>
        </w:rPr>
        <w:instrText xml:space="preserve"> HYPERLINK \l _Toc28248 </w:instrText>
      </w:r>
      <w:r>
        <w:rPr>
          <w:szCs w:val="28"/>
        </w:rPr>
        <w:fldChar w:fldCharType="separate"/>
      </w:r>
      <w:r>
        <w:rPr>
          <w:rFonts w:hint="eastAsia"/>
        </w:rPr>
        <w:t>第三章  招标需求</w:t>
      </w:r>
      <w:r>
        <w:tab/>
      </w:r>
      <w:r>
        <w:fldChar w:fldCharType="begin"/>
      </w:r>
      <w:r>
        <w:instrText xml:space="preserve"> PAGEREF _Toc28248 \h </w:instrText>
      </w:r>
      <w:r>
        <w:fldChar w:fldCharType="separate"/>
      </w:r>
      <w:r>
        <w:t>17</w:t>
      </w:r>
      <w:r>
        <w:fldChar w:fldCharType="end"/>
      </w:r>
      <w:r>
        <w:rPr>
          <w:szCs w:val="28"/>
        </w:rPr>
        <w:fldChar w:fldCharType="end"/>
      </w:r>
    </w:p>
    <w:p>
      <w:pPr>
        <w:pStyle w:val="21"/>
        <w:tabs>
          <w:tab w:val="right" w:leader="dot" w:pos="8844"/>
        </w:tabs>
        <w:rPr>
          <w:rFonts w:hint="eastAsia" w:eastAsia="宋体"/>
          <w:lang w:val="en-US" w:eastAsia="zh-CN"/>
        </w:rPr>
      </w:pPr>
      <w:r>
        <w:rPr>
          <w:szCs w:val="28"/>
        </w:rPr>
        <w:fldChar w:fldCharType="begin"/>
      </w:r>
      <w:r>
        <w:rPr>
          <w:szCs w:val="28"/>
        </w:rPr>
        <w:instrText xml:space="preserve"> HYPERLINK \l _Toc8377 </w:instrText>
      </w:r>
      <w:r>
        <w:rPr>
          <w:szCs w:val="28"/>
        </w:rPr>
        <w:fldChar w:fldCharType="separate"/>
      </w:r>
      <w:r>
        <w:rPr>
          <w:rFonts w:hint="eastAsia"/>
        </w:rPr>
        <w:t>第四章</w:t>
      </w:r>
      <w:r>
        <w:t xml:space="preserve">  </w:t>
      </w:r>
      <w:r>
        <w:rPr>
          <w:rFonts w:hint="eastAsia"/>
        </w:rPr>
        <w:t>评分办法及评分标准</w:t>
      </w:r>
      <w:r>
        <w:tab/>
      </w:r>
      <w:r>
        <w:rPr>
          <w:rFonts w:hint="eastAsia"/>
          <w:lang w:val="en-US" w:eastAsia="zh-CN"/>
        </w:rPr>
        <w:t>4</w:t>
      </w:r>
      <w:r>
        <w:rPr>
          <w:szCs w:val="28"/>
        </w:rPr>
        <w:fldChar w:fldCharType="end"/>
      </w:r>
      <w:r>
        <w:rPr>
          <w:rFonts w:hint="eastAsia"/>
          <w:szCs w:val="28"/>
          <w:lang w:val="en-US" w:eastAsia="zh-CN"/>
        </w:rPr>
        <w:t>0</w:t>
      </w:r>
    </w:p>
    <w:p>
      <w:pPr>
        <w:pStyle w:val="21"/>
        <w:tabs>
          <w:tab w:val="right" w:leader="dot" w:pos="8844"/>
        </w:tabs>
        <w:rPr>
          <w:rFonts w:hint="eastAsia" w:eastAsia="宋体"/>
          <w:szCs w:val="28"/>
          <w:lang w:val="en-US" w:eastAsia="zh-CN"/>
        </w:rPr>
      </w:pPr>
      <w:r>
        <w:rPr>
          <w:szCs w:val="28"/>
        </w:rPr>
        <w:fldChar w:fldCharType="begin"/>
      </w:r>
      <w:r>
        <w:rPr>
          <w:szCs w:val="28"/>
        </w:rPr>
        <w:instrText xml:space="preserve"> HYPERLINK \l _Toc8377 </w:instrText>
      </w:r>
      <w:r>
        <w:rPr>
          <w:szCs w:val="28"/>
        </w:rPr>
        <w:fldChar w:fldCharType="separate"/>
      </w:r>
      <w:r>
        <w:rPr>
          <w:rFonts w:hint="eastAsia"/>
        </w:rPr>
        <w:t>第</w:t>
      </w:r>
      <w:r>
        <w:rPr>
          <w:rFonts w:hint="eastAsia"/>
          <w:lang w:val="en-US" w:eastAsia="zh-CN"/>
        </w:rPr>
        <w:t>五</w:t>
      </w:r>
      <w:r>
        <w:rPr>
          <w:rFonts w:hint="eastAsia"/>
        </w:rPr>
        <w:t>章</w:t>
      </w:r>
      <w:r>
        <w:t xml:space="preserve">  </w:t>
      </w:r>
      <w:r>
        <w:rPr>
          <w:rFonts w:hint="eastAsia"/>
          <w:lang w:val="en-US" w:eastAsia="zh-CN"/>
        </w:rPr>
        <w:t>合同主要条款</w:t>
      </w:r>
      <w:r>
        <w:tab/>
      </w:r>
      <w:r>
        <w:rPr>
          <w:rFonts w:hint="eastAsia"/>
          <w:lang w:val="en-US" w:eastAsia="zh-CN"/>
        </w:rPr>
        <w:t>4</w:t>
      </w:r>
      <w:r>
        <w:rPr>
          <w:szCs w:val="28"/>
        </w:rPr>
        <w:fldChar w:fldCharType="end"/>
      </w:r>
      <w:r>
        <w:rPr>
          <w:rFonts w:hint="eastAsia"/>
          <w:szCs w:val="28"/>
          <w:lang w:val="en-US" w:eastAsia="zh-CN"/>
        </w:rPr>
        <w:t>4</w:t>
      </w:r>
    </w:p>
    <w:p>
      <w:pPr>
        <w:pStyle w:val="21"/>
        <w:tabs>
          <w:tab w:val="right" w:leader="dot" w:pos="8844"/>
        </w:tabs>
        <w:rPr>
          <w:rFonts w:hint="eastAsia" w:eastAsia="宋体"/>
          <w:lang w:val="en-US" w:eastAsia="zh-CN"/>
        </w:rPr>
      </w:pPr>
      <w:r>
        <w:rPr>
          <w:szCs w:val="28"/>
        </w:rPr>
        <w:fldChar w:fldCharType="begin"/>
      </w:r>
      <w:r>
        <w:rPr>
          <w:szCs w:val="28"/>
        </w:rPr>
        <w:instrText xml:space="preserve"> HYPERLINK \l _Toc9631 </w:instrText>
      </w:r>
      <w:r>
        <w:rPr>
          <w:szCs w:val="28"/>
        </w:rPr>
        <w:fldChar w:fldCharType="separate"/>
      </w:r>
      <w:r>
        <w:rPr>
          <w:rFonts w:hint="eastAsia"/>
        </w:rPr>
        <w:t>第六章  投标文件格式附件</w:t>
      </w:r>
      <w:r>
        <w:tab/>
      </w:r>
      <w:r>
        <w:rPr>
          <w:rFonts w:hint="eastAsia"/>
          <w:lang w:val="en-US" w:eastAsia="zh-CN"/>
        </w:rPr>
        <w:t>4</w:t>
      </w:r>
      <w:r>
        <w:rPr>
          <w:szCs w:val="28"/>
        </w:rPr>
        <w:fldChar w:fldCharType="end"/>
      </w:r>
      <w:r>
        <w:rPr>
          <w:rFonts w:hint="eastAsia"/>
          <w:szCs w:val="28"/>
          <w:lang w:val="en-US" w:eastAsia="zh-CN"/>
        </w:rPr>
        <w:t>6</w:t>
      </w:r>
      <w:bookmarkStart w:id="60" w:name="_GoBack"/>
      <w:bookmarkEnd w:id="60"/>
    </w:p>
    <w:p>
      <w:pPr>
        <w:pStyle w:val="25"/>
        <w:spacing w:line="360" w:lineRule="exact"/>
        <w:rPr>
          <w:sz w:val="28"/>
          <w:szCs w:val="28"/>
        </w:rPr>
      </w:pPr>
      <w:r>
        <w:rPr>
          <w:szCs w:val="28"/>
        </w:rPr>
        <w:fldChar w:fldCharType="end"/>
      </w: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
      <w:pPr>
        <w:pStyle w:val="14"/>
      </w:pPr>
    </w:p>
    <w:p>
      <w:pPr>
        <w:pStyle w:val="15"/>
      </w:pPr>
    </w:p>
    <w:p>
      <w:pPr>
        <w:pStyle w:val="25"/>
        <w:spacing w:line="360" w:lineRule="exact"/>
        <w:rPr>
          <w:rFonts w:ascii="宋体" w:hAnsi="宋体" w:cs="Arial"/>
          <w:szCs w:val="21"/>
        </w:rPr>
      </w:pPr>
      <w:bookmarkStart w:id="0" w:name="_Toc7714"/>
      <w:r>
        <w:rPr>
          <w:rFonts w:hint="eastAsia"/>
        </w:rPr>
        <w:t>第一章  公开招标采购公告</w:t>
      </w:r>
      <w:bookmarkEnd w:id="0"/>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bookmarkStart w:id="1" w:name="_Toc18725"/>
      <w:r>
        <w:rPr>
          <w:rFonts w:hint="eastAsia" w:ascii="宋体" w:hAnsi="宋体" w:cs="Arial"/>
          <w:szCs w:val="21"/>
          <w:lang w:eastAsia="zh-CN"/>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安吉县人民政府递铺街道办事处递铺街道双河和雾山寺（安城）片区绿化养护服务政府采购项目</w:t>
      </w:r>
      <w:r>
        <w:rPr>
          <w:rFonts w:hint="eastAsia" w:ascii="宋体" w:hAnsi="宋体" w:cs="Arial"/>
          <w:szCs w:val="21"/>
          <w:lang w:eastAsia="zh-CN"/>
        </w:rPr>
        <w:t>以</w:t>
      </w:r>
      <w:r>
        <w:rPr>
          <w:rFonts w:hint="eastAsia" w:ascii="宋体" w:hAnsi="宋体" w:cs="Arial"/>
          <w:b/>
          <w:bCs/>
          <w:color w:val="FF0000"/>
          <w:szCs w:val="21"/>
          <w:lang w:eastAsia="zh-CN"/>
        </w:rPr>
        <w:t>电子投标形式</w:t>
      </w:r>
      <w:r>
        <w:rPr>
          <w:rFonts w:hint="eastAsia" w:ascii="宋体" w:hAnsi="宋体" w:cs="Arial"/>
          <w:szCs w:val="21"/>
          <w:lang w:eastAsia="zh-CN"/>
        </w:rPr>
        <w:t>进行公开招标，欢迎国内合格的投标供应商前来参加投标。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2" w:name="_Toc35393621"/>
      <w:bookmarkStart w:id="3" w:name="_Toc28359002"/>
      <w:bookmarkStart w:id="4" w:name="_Toc28359079"/>
      <w:bookmarkStart w:id="5" w:name="_Toc35393790"/>
      <w:r>
        <w:rPr>
          <w:rFonts w:hint="eastAsia" w:ascii="宋体" w:hAnsi="宋体" w:eastAsia="宋体" w:cs="宋体"/>
          <w:b/>
          <w:sz w:val="24"/>
          <w:szCs w:val="24"/>
        </w:rPr>
        <w:t>一、项目基本情况</w:t>
      </w:r>
      <w:bookmarkEnd w:id="2"/>
      <w:bookmarkEnd w:id="3"/>
      <w:bookmarkEnd w:id="4"/>
      <w:bookmarkEnd w:id="5"/>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AJGK2022-017</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采购计划编号</w:t>
      </w:r>
      <w:r>
        <w:rPr>
          <w:rFonts w:hint="eastAsia" w:ascii="宋体" w:hAnsi="宋体" w:cs="Arial"/>
          <w:szCs w:val="21"/>
          <w:lang w:eastAsia="zh-CN"/>
        </w:rPr>
        <w:t>：</w:t>
      </w:r>
      <w:r>
        <w:rPr>
          <w:rFonts w:hint="eastAsia" w:ascii="宋体" w:hAnsi="宋体" w:cs="Arial"/>
          <w:szCs w:val="21"/>
          <w:lang w:val="en-US" w:eastAsia="zh-CN"/>
        </w:rPr>
        <w:t>递铺街道20221215</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项目名称：安吉县人民政府递铺街道办事处递铺街道双河和雾山寺（安城）片区绿化养护服务政府采购项目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预算金额：</w:t>
      </w:r>
      <w:r>
        <w:rPr>
          <w:rFonts w:hint="eastAsia" w:ascii="宋体" w:hAnsi="宋体" w:cs="Arial"/>
          <w:szCs w:val="21"/>
          <w:lang w:val="en-US" w:eastAsia="zh-CN"/>
        </w:rPr>
        <w:t>2392.5万元</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合同履行期限：</w:t>
      </w:r>
      <w:r>
        <w:rPr>
          <w:rFonts w:hint="eastAsia" w:ascii="宋体" w:hAnsi="宋体" w:cs="Arial"/>
          <w:szCs w:val="21"/>
          <w:lang w:val="en-US" w:eastAsia="zh-CN"/>
        </w:rPr>
        <w:t>合同签订后至</w:t>
      </w:r>
      <w:r>
        <w:rPr>
          <w:rFonts w:hint="eastAsia" w:ascii="宋体" w:hAnsi="宋体" w:eastAsia="宋体" w:cs="宋体"/>
          <w:color w:val="auto"/>
          <w:kern w:val="2"/>
          <w:sz w:val="21"/>
          <w:szCs w:val="28"/>
          <w:highlight w:val="none"/>
          <w:lang w:val="en-US" w:eastAsia="zh-CN" w:bidi="ar-SA"/>
        </w:rPr>
        <w:t>2024年4月底</w:t>
      </w:r>
      <w:r>
        <w:rPr>
          <w:rFonts w:hint="eastAsia" w:ascii="宋体" w:hAnsi="宋体" w:cs="Arial"/>
          <w:szCs w:val="21"/>
          <w:lang w:val="en-US"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项目允许</w:t>
      </w:r>
      <w:r>
        <w:rPr>
          <w:rFonts w:hint="eastAsia" w:ascii="宋体" w:hAnsi="宋体" w:cs="Arial"/>
          <w:szCs w:val="21"/>
          <w:lang w:eastAsia="zh-CN"/>
        </w:rPr>
        <w:t>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6" w:name="_Toc35393622"/>
      <w:bookmarkStart w:id="7" w:name="_Toc28359080"/>
      <w:bookmarkStart w:id="8" w:name="_Toc28359003"/>
      <w:bookmarkStart w:id="9" w:name="_Toc35393791"/>
      <w:r>
        <w:rPr>
          <w:rFonts w:hint="eastAsia" w:ascii="宋体" w:hAnsi="宋体" w:eastAsia="宋体" w:cs="宋体"/>
          <w:b/>
          <w:sz w:val="24"/>
          <w:szCs w:val="24"/>
        </w:rPr>
        <w:t>二、</w:t>
      </w:r>
      <w:r>
        <w:rPr>
          <w:rFonts w:hint="eastAsia" w:ascii="宋体" w:hAnsi="宋体" w:eastAsia="宋体" w:cs="宋体"/>
          <w:b/>
          <w:sz w:val="24"/>
          <w:szCs w:val="24"/>
          <w:lang w:eastAsia="zh-CN"/>
        </w:rPr>
        <w:t>投标</w:t>
      </w:r>
      <w:r>
        <w:rPr>
          <w:rFonts w:hint="eastAsia" w:ascii="宋体" w:hAnsi="宋体" w:eastAsia="宋体" w:cs="宋体"/>
          <w:b/>
          <w:sz w:val="24"/>
          <w:szCs w:val="24"/>
        </w:rPr>
        <w:t>人的资格要求</w:t>
      </w:r>
      <w:bookmarkEnd w:id="6"/>
      <w:bookmarkEnd w:id="7"/>
      <w:bookmarkEnd w:id="8"/>
      <w:bookmarkEnd w:id="9"/>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3"/>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3"/>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仿宋" w:hAnsi="仿宋" w:eastAsia="仿宋"/>
          <w:sz w:val="28"/>
          <w:szCs w:val="28"/>
          <w:lang w:val="en-US"/>
        </w:rPr>
      </w:pPr>
      <w:r>
        <w:rPr>
          <w:rFonts w:hint="eastAsia" w:ascii="宋体" w:hAnsi="宋体" w:cs="Arial"/>
          <w:szCs w:val="21"/>
          <w:lang w:eastAsia="zh-CN"/>
        </w:rPr>
        <w:t>2、落实政府采购政策需满足的资格要求：</w:t>
      </w:r>
      <w:r>
        <w:rPr>
          <w:rFonts w:hint="eastAsia" w:ascii="宋体" w:hAnsi="宋体" w:cs="Arial"/>
          <w:szCs w:val="21"/>
          <w:lang w:val="en-US" w:eastAsia="zh-CN"/>
        </w:rPr>
        <w:t>本项目根据要求全面面向中小企业；</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0" w:name="_Toc28359004"/>
      <w:bookmarkStart w:id="11" w:name="_Toc35393623"/>
      <w:bookmarkStart w:id="12" w:name="_Toc35393792"/>
      <w:bookmarkStart w:id="13" w:name="_Toc28359081"/>
      <w:r>
        <w:rPr>
          <w:rFonts w:hint="eastAsia" w:ascii="宋体" w:hAnsi="宋体" w:eastAsia="宋体" w:cs="宋体"/>
          <w:b/>
          <w:sz w:val="24"/>
          <w:szCs w:val="24"/>
        </w:rPr>
        <w:t>三、获取招标文件</w:t>
      </w:r>
      <w:bookmarkEnd w:id="10"/>
      <w:bookmarkEnd w:id="11"/>
      <w:bookmarkEnd w:id="12"/>
      <w:bookmarkEnd w:id="1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公告发布时间至投标截止时间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3"/>
          <w:rFonts w:hint="eastAsia" w:ascii="宋体" w:hAnsi="宋体" w:cs="Arial" w:eastAsiaTheme="minorEastAsia"/>
          <w:szCs w:val="21"/>
          <w:lang w:val="en-US" w:eastAsia="zh-CN"/>
        </w:rPr>
        <w:fldChar w:fldCharType="begin"/>
      </w:r>
      <w:r>
        <w:rPr>
          <w:rStyle w:val="33"/>
          <w:rFonts w:hint="eastAsia" w:ascii="宋体" w:hAnsi="宋体" w:cs="Arial" w:eastAsiaTheme="minorEastAsia"/>
          <w:szCs w:val="21"/>
          <w:lang w:val="en-US" w:eastAsia="zh-CN"/>
        </w:rPr>
        <w:instrText xml:space="preserve"> HYPERLINK "http://www.zcygov.cn/" </w:instrText>
      </w:r>
      <w:r>
        <w:rPr>
          <w:rStyle w:val="33"/>
          <w:rFonts w:hint="eastAsia" w:ascii="宋体" w:hAnsi="宋体" w:cs="Arial" w:eastAsiaTheme="minorEastAsia"/>
          <w:szCs w:val="21"/>
          <w:lang w:val="en-US" w:eastAsia="zh-CN"/>
        </w:rPr>
        <w:fldChar w:fldCharType="separate"/>
      </w:r>
      <w:r>
        <w:rPr>
          <w:rStyle w:val="33"/>
          <w:rFonts w:hint="eastAsia" w:ascii="宋体" w:hAnsi="宋体" w:cs="Arial" w:eastAsiaTheme="minorEastAsia"/>
          <w:szCs w:val="21"/>
          <w:lang w:val="en-US" w:eastAsia="zh-CN"/>
        </w:rPr>
        <w:t>http://www.zcygov.cn/</w:t>
      </w:r>
      <w:r>
        <w:rPr>
          <w:rStyle w:val="33"/>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3"/>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3"/>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提供招标文件纸质版。参加投标的供应商获取招标文件前应先完成“政府采购云平台”的账号注册同时办理CA领取。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4" w:name="_Toc28359082"/>
      <w:bookmarkStart w:id="15" w:name="_Toc28359005"/>
      <w:bookmarkStart w:id="16" w:name="_Toc35393624"/>
      <w:bookmarkStart w:id="17" w:name="_Toc35393793"/>
      <w:r>
        <w:rPr>
          <w:rFonts w:hint="eastAsia" w:ascii="宋体" w:hAnsi="宋体" w:eastAsia="宋体" w:cs="宋体"/>
          <w:b/>
          <w:sz w:val="24"/>
          <w:szCs w:val="24"/>
        </w:rPr>
        <w:t>四、提交投标文件</w:t>
      </w:r>
      <w:bookmarkEnd w:id="14"/>
      <w:bookmarkEnd w:id="15"/>
      <w:r>
        <w:rPr>
          <w:rFonts w:hint="eastAsia" w:ascii="宋体" w:hAnsi="宋体" w:eastAsia="宋体" w:cs="宋体"/>
          <w:b/>
          <w:sz w:val="24"/>
          <w:szCs w:val="24"/>
        </w:rPr>
        <w:t>截止时间、开标时间和</w:t>
      </w:r>
      <w:bookmarkEnd w:id="16"/>
      <w:bookmarkEnd w:id="17"/>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截止（开标）时间：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12月30日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rPr>
        <w:t>开标地点：政采云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开标方式：政采云平台提交电子投标文件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8" w:name="_Toc35393625"/>
      <w:bookmarkStart w:id="19" w:name="_Toc28359007"/>
      <w:bookmarkStart w:id="20" w:name="_Toc28359084"/>
      <w:bookmarkStart w:id="21" w:name="_Toc35393794"/>
      <w:r>
        <w:rPr>
          <w:rFonts w:hint="eastAsia" w:ascii="宋体" w:hAnsi="宋体" w:eastAsia="宋体" w:cs="宋体"/>
          <w:b/>
          <w:sz w:val="24"/>
          <w:szCs w:val="24"/>
        </w:rPr>
        <w:t>五、公告期限</w:t>
      </w:r>
      <w:bookmarkEnd w:id="18"/>
      <w:bookmarkEnd w:id="19"/>
      <w:bookmarkEnd w:id="20"/>
      <w:bookmarkEnd w:id="21"/>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12月30日</w:t>
      </w:r>
      <w:r>
        <w:rPr>
          <w:rFonts w:hint="eastAsia" w:ascii="宋体" w:hAnsi="宋体" w:eastAsia="宋体" w:cs="Arial"/>
          <w:szCs w:val="21"/>
          <w:highlight w:val="yellow"/>
          <w:lang w:eastAsia="zh-CN"/>
        </w:rPr>
        <w:t>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12月30</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投标答疑时间及方式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12月30日</w:t>
      </w:r>
      <w:r>
        <w:rPr>
          <w:rFonts w:hint="eastAsia" w:ascii="宋体" w:hAnsi="宋体" w:cs="Arial"/>
          <w:b/>
          <w:bCs/>
          <w:color w:val="FF0000"/>
          <w:szCs w:val="21"/>
          <w:highlight w:val="yellow"/>
        </w:rPr>
        <w:t>下午16：30时前</w:t>
      </w:r>
      <w:r>
        <w:rPr>
          <w:rFonts w:hint="eastAsia" w:ascii="宋体" w:hAnsi="宋体" w:cs="Arial"/>
          <w:szCs w:val="21"/>
        </w:rPr>
        <w:t>将疑问以书面（含传真、邮件。电话号码0572-</w:t>
      </w:r>
      <w:r>
        <w:rPr>
          <w:rFonts w:hint="eastAsia" w:ascii="宋体" w:hAnsi="宋体" w:cs="Arial"/>
          <w:szCs w:val="21"/>
          <w:lang w:eastAsia="zh-CN"/>
        </w:rPr>
        <w:t>5129120</w:t>
      </w:r>
      <w:r>
        <w:rPr>
          <w:rFonts w:hint="eastAsia" w:ascii="宋体" w:hAnsi="宋体" w:cs="Arial"/>
          <w:szCs w:val="21"/>
        </w:rPr>
        <w:t>，邮箱：ajzfcg@163.com）形式向集中采购机构一次性提出（同时请将该书面文件的电子文档发送至邮箱）。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2" w:name="_Toc35393795"/>
      <w:bookmarkStart w:id="23" w:name="_Toc35393626"/>
      <w:r>
        <w:rPr>
          <w:rFonts w:hint="eastAsia" w:ascii="宋体" w:hAnsi="宋体" w:eastAsia="宋体" w:cs="宋体"/>
          <w:b/>
          <w:sz w:val="24"/>
          <w:szCs w:val="24"/>
          <w:lang w:eastAsia="zh-CN"/>
        </w:rPr>
        <w:t>七、其它补充事宜</w:t>
      </w:r>
      <w:bookmarkEnd w:id="22"/>
      <w:bookmarkEnd w:id="2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1、本项目实行电子投标，应按照本项目招标文件和政采云平台的要求编制、加密并提交投标文件,投标人的法定代表人或其授权代表或个体工商户不需要参加现场投标和开标。</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投标人应在开标前完成CA数字证书办理，</w:t>
      </w:r>
      <w:r>
        <w:rPr>
          <w:rFonts w:hint="eastAsia" w:ascii="宋体" w:hAnsi="宋体" w:cs="Arial"/>
          <w:szCs w:val="21"/>
        </w:rPr>
        <w:t>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eastAsia="zh-CN"/>
        </w:rPr>
        <w:t>投标人通过“政采云”平台电子交易客户端制作投标文件，电子交易客户端请供应商自行前往浙江省政府采购网下载并安装。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3"/>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投标人在“政府采购云平台”完成“电子加密投标文件”的上传递交后，还可以（邮箱发送形式）在投标截止时间前递交加密的“备份投标文件”。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eastAsia="宋体" w:cs="宋体"/>
          <w:szCs w:val="21"/>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3"/>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200"/>
        <w:textAlignment w:val="auto"/>
        <w:rPr>
          <w:rFonts w:hint="eastAsia" w:ascii="宋体" w:eastAsia="宋体" w:cs="Arial"/>
          <w:lang w:eastAsia="zh-CN"/>
        </w:rPr>
      </w:pPr>
      <w:r>
        <w:rPr>
          <w:rFonts w:hint="eastAsia" w:ascii="宋体" w:cs="Arial"/>
          <w:lang w:val="en-US" w:eastAsia="zh-CN"/>
        </w:rPr>
        <w:t>本项目全面面向中小企业</w:t>
      </w:r>
      <w:r>
        <w:rPr>
          <w:rFonts w:hint="eastAsia" w:ascii="宋体" w:cs="Arial"/>
        </w:rPr>
        <w:t>；具体详见采购文件第四章</w:t>
      </w:r>
      <w:r>
        <w:rPr>
          <w:rFonts w:hint="eastAsia" w:ascii="宋体" w:cs="Arial"/>
          <w:lang w:eastAsia="zh-CN"/>
        </w:rPr>
        <w:t>。</w:t>
      </w:r>
    </w:p>
    <w:p>
      <w:pPr>
        <w:pStyle w:val="13"/>
        <w:ind w:firstLine="420" w:firstLineChars="200"/>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p>
    <w:p>
      <w:pPr>
        <w:pStyle w:val="13"/>
        <w:ind w:firstLine="420" w:firstLineChars="200"/>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4" w:name="_Toc35393627"/>
      <w:bookmarkStart w:id="25" w:name="_Toc35393796"/>
      <w:bookmarkStart w:id="26" w:name="_Toc28359008"/>
      <w:bookmarkStart w:id="27" w:name="_Toc28359085"/>
      <w:r>
        <w:rPr>
          <w:rFonts w:hint="eastAsia" w:ascii="宋体" w:hAnsi="宋体" w:eastAsia="宋体" w:cs="宋体"/>
          <w:b/>
          <w:sz w:val="24"/>
          <w:szCs w:val="24"/>
          <w:lang w:eastAsia="zh-CN"/>
        </w:rPr>
        <w:t>八、业务咨询联系方式</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本次招标有关信息刊登在：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eastAsia="宋体" w:cs="Arial"/>
          <w:szCs w:val="21"/>
        </w:rPr>
        <w:t>采购单位:</w:t>
      </w:r>
      <w:r>
        <w:rPr>
          <w:rFonts w:hint="eastAsia" w:ascii="宋体" w:hAnsi="宋体" w:cs="Arial"/>
          <w:szCs w:val="21"/>
          <w:lang w:eastAsia="zh-CN"/>
        </w:rPr>
        <w:t>安吉县人民政府递铺街道办事处</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val="en-US" w:eastAsia="zh-CN"/>
        </w:rPr>
      </w:pPr>
      <w:r>
        <w:rPr>
          <w:rFonts w:hint="eastAsia" w:ascii="宋体" w:hAnsi="宋体" w:eastAsia="宋体" w:cs="Arial"/>
          <w:szCs w:val="21"/>
        </w:rPr>
        <w:t>联系人：</w:t>
      </w:r>
      <w:r>
        <w:rPr>
          <w:rFonts w:hint="eastAsia" w:ascii="宋体" w:hAnsi="宋体" w:cs="Arial"/>
          <w:szCs w:val="21"/>
          <w:lang w:val="en-US" w:eastAsia="zh-CN"/>
        </w:rPr>
        <w:t>郑先生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联系电话：</w:t>
      </w:r>
      <w:r>
        <w:rPr>
          <w:rFonts w:hint="eastAsia" w:ascii="宋体" w:hAnsi="宋体" w:cs="Arial"/>
          <w:szCs w:val="21"/>
          <w:lang w:val="en-US" w:eastAsia="zh-CN"/>
        </w:rPr>
        <w:t>0572-5520293</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rPr>
        <w:t>集中采购机构：</w:t>
      </w:r>
      <w:r>
        <w:rPr>
          <w:rFonts w:hint="eastAsia" w:ascii="宋体" w:hAnsi="宋体" w:cs="Arial"/>
          <w:szCs w:val="21"/>
          <w:lang w:eastAsia="zh-CN"/>
        </w:rPr>
        <w:t>安吉县公共资源交易中心（安吉县政府采购中心）</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联系电话（咨询）：0572-</w:t>
      </w:r>
      <w:r>
        <w:rPr>
          <w:rFonts w:hint="eastAsia" w:ascii="宋体" w:hAnsi="宋体" w:cs="Arial"/>
          <w:szCs w:val="21"/>
          <w:lang w:eastAsia="zh-CN"/>
        </w:rPr>
        <w:t>5129120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联系人：陈先生</w:t>
      </w:r>
      <w:r>
        <w:rPr>
          <w:rFonts w:hint="eastAsia" w:ascii="宋体" w:hAnsi="宋体" w:eastAsia="宋体" w:cs="Arial"/>
          <w:szCs w:val="21"/>
          <w:lang w:val="en-US" w:eastAsia="zh-CN"/>
        </w:rPr>
        <w:t xml:space="preserve"> </w:t>
      </w:r>
      <w:r>
        <w:rPr>
          <w:rFonts w:hint="eastAsia" w:ascii="宋体" w:hAnsi="宋体" w:eastAsia="宋体" w:cs="Arial"/>
          <w:szCs w:val="21"/>
        </w:rPr>
        <w:t>联系电话：0572-5</w:t>
      </w:r>
      <w:r>
        <w:rPr>
          <w:rFonts w:hint="eastAsia" w:ascii="宋体" w:hAnsi="宋体" w:cs="Arial"/>
          <w:szCs w:val="21"/>
          <w:lang w:val="en-US" w:eastAsia="zh-CN"/>
        </w:rPr>
        <w:t>807951</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凤凰路凤凰五区188号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eastAsia="宋体" w:cs="Arial"/>
          <w:szCs w:val="21"/>
          <w:lang w:val="en-US" w:eastAsia="zh-CN"/>
        </w:rPr>
      </w:pPr>
      <w:r>
        <w:rPr>
          <w:rFonts w:hint="eastAsia" w:ascii="宋体" w:hAnsi="宋体" w:cs="Arial"/>
          <w:szCs w:val="21"/>
          <w:lang w:eastAsia="zh-CN"/>
        </w:rPr>
        <w:t>安吉县公共资源交易中心（安吉县政府采购中心）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12</w:t>
      </w:r>
      <w:r>
        <w:rPr>
          <w:rFonts w:hint="eastAsia" w:ascii="宋体" w:hAnsi="宋体" w:cs="Arial"/>
          <w:szCs w:val="21"/>
          <w:lang w:eastAsia="zh-CN"/>
        </w:rPr>
        <w:t>月</w:t>
      </w:r>
      <w:r>
        <w:rPr>
          <w:rFonts w:hint="eastAsia" w:ascii="宋体" w:hAnsi="宋体" w:cs="Arial"/>
          <w:szCs w:val="21"/>
          <w:lang w:val="en-US" w:eastAsia="zh-CN"/>
        </w:rPr>
        <w:t>17</w:t>
      </w:r>
      <w:r>
        <w:rPr>
          <w:rFonts w:hint="eastAsia" w:ascii="宋体" w:hAnsi="宋体" w:cs="Arial"/>
          <w:szCs w:val="21"/>
        </w:rPr>
        <w:t>日</w:t>
      </w:r>
    </w:p>
    <w:p>
      <w:pPr>
        <w:pStyle w:val="25"/>
        <w:spacing w:line="500" w:lineRule="exact"/>
        <w:rPr>
          <w:rFonts w:hint="eastAsia"/>
        </w:rPr>
      </w:pPr>
    </w:p>
    <w:p>
      <w:pPr>
        <w:pStyle w:val="25"/>
        <w:spacing w:line="500" w:lineRule="exact"/>
      </w:pPr>
      <w:r>
        <w:rPr>
          <w:rFonts w:hint="eastAsia"/>
        </w:rPr>
        <w:t>第二章  投标人须知</w:t>
      </w:r>
      <w:bookmarkEnd w:id="1"/>
    </w:p>
    <w:p>
      <w:pPr>
        <w:rPr>
          <w:b/>
          <w:bCs/>
        </w:rPr>
      </w:pPr>
    </w:p>
    <w:tbl>
      <w:tblPr>
        <w:tblStyle w:val="27"/>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487"/>
        <w:gridCol w:w="7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安吉县人民政府递铺街道办事处递铺街道双河和雾山寺（安城）片区绿化养护服务政府采购项目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采购资金</w:t>
            </w:r>
            <w:r>
              <w:rPr>
                <w:rFonts w:hint="eastAsia" w:ascii="宋体" w:hAnsi="宋体" w:cs="宋体"/>
                <w:sz w:val="18"/>
                <w:szCs w:val="18"/>
                <w:lang w:eastAsia="zh-CN"/>
              </w:rPr>
              <w:t>（</w:t>
            </w:r>
            <w:r>
              <w:rPr>
                <w:rFonts w:hint="eastAsia" w:ascii="宋体" w:hAnsi="宋体" w:cs="宋体"/>
                <w:sz w:val="18"/>
                <w:szCs w:val="18"/>
                <w:lang w:val="en-US" w:eastAsia="zh-CN"/>
              </w:rPr>
              <w:t>预算</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标项一361.25万</w:t>
            </w:r>
            <w:r>
              <w:rPr>
                <w:rFonts w:hint="eastAsia" w:ascii="宋体" w:hAnsi="宋体" w:cs="宋体"/>
                <w:sz w:val="18"/>
                <w:szCs w:val="18"/>
              </w:rPr>
              <w:t>元；</w:t>
            </w:r>
            <w:r>
              <w:rPr>
                <w:rFonts w:hint="eastAsia" w:ascii="宋体" w:hAnsi="宋体" w:cs="宋体"/>
                <w:sz w:val="18"/>
                <w:szCs w:val="18"/>
                <w:lang w:val="en-US" w:eastAsia="zh-CN"/>
              </w:rPr>
              <w:t>标项二379.95万</w:t>
            </w:r>
            <w:r>
              <w:rPr>
                <w:rFonts w:hint="eastAsia" w:ascii="宋体" w:hAnsi="宋体" w:cs="宋体"/>
                <w:sz w:val="18"/>
                <w:szCs w:val="18"/>
              </w:rPr>
              <w:t>元</w:t>
            </w:r>
            <w:r>
              <w:rPr>
                <w:rFonts w:hint="eastAsia" w:ascii="宋体" w:hAnsi="宋体" w:cs="宋体"/>
                <w:sz w:val="18"/>
                <w:szCs w:val="18"/>
                <w:lang w:val="en-US" w:eastAsia="zh-CN"/>
              </w:rPr>
              <w:t>；标项三380.07万</w:t>
            </w:r>
            <w:r>
              <w:rPr>
                <w:rFonts w:hint="eastAsia" w:ascii="宋体" w:hAnsi="宋体" w:cs="宋体"/>
                <w:sz w:val="18"/>
                <w:szCs w:val="18"/>
              </w:rPr>
              <w:t>元</w:t>
            </w:r>
            <w:r>
              <w:rPr>
                <w:rFonts w:hint="eastAsia" w:ascii="宋体" w:hAnsi="宋体" w:cs="宋体"/>
                <w:sz w:val="18"/>
                <w:szCs w:val="18"/>
                <w:lang w:val="en-US" w:eastAsia="zh-CN"/>
              </w:rPr>
              <w:t>；标项四419.24万</w:t>
            </w:r>
            <w:r>
              <w:rPr>
                <w:rFonts w:hint="eastAsia" w:ascii="宋体" w:hAnsi="宋体" w:cs="宋体"/>
                <w:sz w:val="18"/>
                <w:szCs w:val="18"/>
              </w:rPr>
              <w:t>元</w:t>
            </w:r>
            <w:r>
              <w:rPr>
                <w:rFonts w:hint="eastAsia" w:ascii="宋体" w:hAnsi="宋体" w:cs="宋体"/>
                <w:sz w:val="18"/>
                <w:szCs w:val="18"/>
                <w:lang w:val="en-US" w:eastAsia="zh-CN"/>
              </w:rPr>
              <w:t>；标项五491.39万</w:t>
            </w:r>
            <w:r>
              <w:rPr>
                <w:rFonts w:hint="eastAsia" w:ascii="宋体" w:hAnsi="宋体" w:cs="宋体"/>
                <w:sz w:val="18"/>
                <w:szCs w:val="18"/>
              </w:rPr>
              <w:t>元</w:t>
            </w:r>
            <w:r>
              <w:rPr>
                <w:rFonts w:hint="eastAsia" w:ascii="宋体" w:hAnsi="宋体" w:cs="宋体"/>
                <w:sz w:val="18"/>
                <w:szCs w:val="18"/>
                <w:lang w:eastAsia="zh-CN"/>
              </w:rPr>
              <w:t>；</w:t>
            </w:r>
            <w:r>
              <w:rPr>
                <w:rFonts w:hint="eastAsia" w:ascii="宋体" w:hAnsi="宋体" w:cs="宋体"/>
                <w:sz w:val="18"/>
                <w:szCs w:val="18"/>
                <w:lang w:val="en-US" w:eastAsia="zh-CN"/>
              </w:rPr>
              <w:t>标项六360.6万</w:t>
            </w:r>
            <w:r>
              <w:rPr>
                <w:rFonts w:hint="eastAsia" w:ascii="宋体" w:hAnsi="宋体" w:cs="宋体"/>
                <w:sz w:val="18"/>
                <w:szCs w:val="18"/>
              </w:rPr>
              <w:t>元</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样品</w:t>
            </w:r>
            <w:r>
              <w:rPr>
                <w:rFonts w:hint="eastAsia" w:ascii="宋体" w:hAnsi="宋体" w:cs="宋体"/>
                <w:sz w:val="18"/>
                <w:szCs w:val="18"/>
                <w:lang w:eastAsia="zh-CN"/>
              </w:rPr>
              <w:t>（</w:t>
            </w:r>
            <w:r>
              <w:rPr>
                <w:rFonts w:hint="eastAsia" w:ascii="宋体" w:hAnsi="宋体" w:cs="宋体"/>
                <w:sz w:val="18"/>
                <w:szCs w:val="18"/>
                <w:lang w:val="en-US" w:eastAsia="zh-CN"/>
              </w:rPr>
              <w:t>演示</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本项目无需提供样品</w:t>
            </w:r>
            <w:r>
              <w:rPr>
                <w:rFonts w:hint="eastAsia" w:ascii="宋体" w:hAnsi="宋体" w:cs="宋体"/>
                <w:sz w:val="18"/>
                <w:szCs w:val="18"/>
                <w:lang w:val="en-US" w:eastAsia="zh-CN"/>
              </w:rPr>
              <w:t>及演示</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合同签订后至2024年4月底。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投标文件均由资格证明文件、</w:t>
            </w:r>
            <w:r>
              <w:rPr>
                <w:rFonts w:hint="eastAsia" w:ascii="宋体" w:hAnsi="宋体" w:cs="宋体"/>
                <w:sz w:val="18"/>
                <w:szCs w:val="18"/>
                <w:lang w:val="en-US" w:eastAsia="zh-CN"/>
              </w:rPr>
              <w:t>商务</w:t>
            </w:r>
            <w:r>
              <w:rPr>
                <w:rFonts w:hint="eastAsia" w:ascii="宋体" w:hAnsi="宋体" w:cs="宋体"/>
                <w:sz w:val="18"/>
                <w:szCs w:val="18"/>
              </w:rPr>
              <w:t>技术文件、</w:t>
            </w:r>
            <w:r>
              <w:rPr>
                <w:rFonts w:hint="eastAsia" w:ascii="宋体" w:hAnsi="宋体" w:cs="宋体"/>
                <w:sz w:val="18"/>
                <w:szCs w:val="18"/>
                <w:lang w:val="en-US" w:eastAsia="zh-CN"/>
              </w:rPr>
              <w:t>投标</w:t>
            </w:r>
            <w:r>
              <w:rPr>
                <w:rFonts w:hint="eastAsia" w:ascii="宋体" w:hAnsi="宋体" w:cs="宋体"/>
                <w:sz w:val="18"/>
                <w:szCs w:val="18"/>
              </w:rPr>
              <w:t>报价文件组成。投标人提供备份投标文件（正本）的，数量为1份</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3"/>
                <w:rFonts w:hint="eastAsia" w:ascii="宋体" w:hAnsi="宋体" w:cs="宋体"/>
                <w:kern w:val="0"/>
                <w:sz w:val="18"/>
                <w:szCs w:val="18"/>
              </w:rPr>
              <w:t>https://middle.zcygov.cn/v-settle-front/registry</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3"/>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3"/>
                <w:rFonts w:hint="eastAsia" w:ascii="宋体" w:hAnsi="宋体" w:cs="宋体"/>
                <w:kern w:val="0"/>
                <w:sz w:val="18"/>
                <w:szCs w:val="18"/>
              </w:rPr>
              <w:t>http://zfcg.czt.zj.gov.cn/bidClientTemplate/2019-09-24/12975.html</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3"/>
                <w:rFonts w:hint="eastAsia" w:ascii="宋体" w:hAnsi="宋体" w:cs="宋体"/>
                <w:kern w:val="0"/>
                <w:sz w:val="18"/>
                <w:szCs w:val="18"/>
              </w:rPr>
              <w:t>https://edu.zcygov.cn/luban/e-biding</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资格审查资料营业执照（扫描件加盖公章）；</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lang w:val="en-US" w:eastAsia="zh-CN"/>
              </w:rPr>
              <w:t>法定代表人身份证明书或</w:t>
            </w:r>
            <w:r>
              <w:rPr>
                <w:rFonts w:hint="eastAsia" w:ascii="宋体" w:hAnsi="宋体" w:cs="宋体"/>
                <w:sz w:val="18"/>
                <w:szCs w:val="18"/>
              </w:rPr>
              <w:t>法定代表人授权委托书</w:t>
            </w:r>
            <w:r>
              <w:rPr>
                <w:rFonts w:hint="eastAsia" w:ascii="宋体" w:hAnsi="宋体" w:cs="宋体"/>
                <w:sz w:val="18"/>
                <w:szCs w:val="18"/>
                <w:lang w:val="en-US" w:eastAsia="zh-CN"/>
              </w:rPr>
              <w:t>及社保凭证</w:t>
            </w:r>
            <w:r>
              <w:rPr>
                <w:rFonts w:hint="eastAsia" w:ascii="宋体" w:hAnsi="宋体" w:cs="宋体"/>
                <w:sz w:val="18"/>
                <w:szCs w:val="18"/>
              </w:rPr>
              <w:t>（扫描件加盖公章）；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5、中小企业声明函（格式见附件）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w:t>
            </w:r>
            <w:r>
              <w:rPr>
                <w:rFonts w:hint="eastAsia" w:ascii="宋体" w:hAnsi="宋体" w:cs="宋体"/>
                <w:b/>
                <w:bCs/>
                <w:color w:val="FF0000"/>
                <w:sz w:val="18"/>
                <w:szCs w:val="18"/>
                <w:lang w:eastAsia="zh-CN"/>
              </w:rPr>
              <w:t>2022年</w:t>
            </w:r>
            <w:r>
              <w:rPr>
                <w:rFonts w:hint="eastAsia" w:ascii="宋体" w:hAnsi="宋体" w:cs="宋体"/>
                <w:b/>
                <w:bCs/>
                <w:color w:val="FF0000"/>
                <w:sz w:val="18"/>
                <w:szCs w:val="18"/>
                <w:lang w:val="en-US" w:eastAsia="zh-CN"/>
              </w:rPr>
              <w:t>12月30日</w:t>
            </w:r>
            <w:r>
              <w:rPr>
                <w:rFonts w:hint="eastAsia" w:ascii="宋体" w:hAnsi="宋体" w:cs="宋体"/>
                <w:b/>
                <w:bCs/>
                <w:color w:val="FF0000"/>
                <w:sz w:val="18"/>
                <w:szCs w:val="18"/>
              </w:rPr>
              <w:t>下午16：30时</w:t>
            </w:r>
            <w:r>
              <w:rPr>
                <w:rFonts w:hint="eastAsia" w:ascii="宋体" w:hAnsi="宋体" w:cs="宋体"/>
                <w:sz w:val="18"/>
                <w:szCs w:val="18"/>
              </w:rPr>
              <w:t>前将疑问以书面（含传真、邮件。电话号码0572-</w:t>
            </w:r>
            <w:r>
              <w:rPr>
                <w:rFonts w:hint="eastAsia" w:ascii="宋体" w:hAnsi="宋体" w:cs="宋体"/>
                <w:sz w:val="18"/>
                <w:szCs w:val="18"/>
                <w:lang w:eastAsia="zh-CN"/>
              </w:rPr>
              <w:t>5129120</w:t>
            </w:r>
            <w:r>
              <w:rPr>
                <w:rFonts w:hint="eastAsia" w:ascii="宋体" w:hAnsi="宋体" w:cs="宋体"/>
                <w:sz w:val="18"/>
                <w:szCs w:val="18"/>
              </w:rPr>
              <w:t>，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lang w:eastAsia="zh-CN"/>
              </w:rPr>
              <w:t>2022年</w:t>
            </w:r>
            <w:r>
              <w:rPr>
                <w:rFonts w:hint="eastAsia" w:ascii="宋体" w:hAnsi="宋体" w:cs="宋体"/>
                <w:sz w:val="18"/>
                <w:szCs w:val="18"/>
                <w:lang w:val="en-US" w:eastAsia="zh-CN"/>
              </w:rPr>
              <w:t>12月30日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lang w:eastAsia="zh-CN"/>
              </w:rPr>
              <w:t>2022年</w:t>
            </w:r>
            <w:r>
              <w:rPr>
                <w:rFonts w:hint="eastAsia" w:ascii="宋体" w:hAnsi="宋体" w:cs="宋体"/>
                <w:sz w:val="18"/>
                <w:szCs w:val="18"/>
                <w:lang w:val="en-US" w:eastAsia="zh-CN"/>
              </w:rPr>
              <w:t>12月30日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b/>
                <w:sz w:val="18"/>
                <w:szCs w:val="18"/>
                <w:lang w:val="en-US" w:eastAsia="zh-CN"/>
              </w:rPr>
            </w:pPr>
            <w:r>
              <w:rPr>
                <w:rFonts w:hint="eastAsia" w:ascii="宋体" w:hAnsi="宋体" w:cs="宋体"/>
                <w:b/>
                <w:sz w:val="18"/>
                <w:szCs w:val="18"/>
                <w:lang w:val="en-US" w:eastAsia="zh-CN"/>
              </w:rPr>
              <w:t>本项目为中小企业预留份额项目；本项目全面面向中小企业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8"/>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hint="eastAsia" w:ascii="宋体" w:hAnsi="宋体" w:eastAsia="宋体" w:cs="宋体"/>
                <w:b/>
                <w:sz w:val="18"/>
                <w:szCs w:val="18"/>
                <w:highlight w:val="none"/>
              </w:rPr>
              <w:t>：</w:t>
            </w:r>
            <w:r>
              <w:rPr>
                <w:rFonts w:hint="eastAsia" w:ascii="宋体" w:hAnsi="宋体" w:eastAsia="宋体" w:cs="宋体"/>
                <w:b/>
                <w:color w:val="FF0000"/>
                <w:sz w:val="18"/>
                <w:szCs w:val="18"/>
                <w:highlight w:val="yellow"/>
                <w:lang w:eastAsia="zh-CN"/>
              </w:rPr>
              <w:t>物业管理</w:t>
            </w:r>
            <w:r>
              <w:rPr>
                <w:rFonts w:hint="eastAsia" w:ascii="宋体" w:hAnsi="宋体" w:eastAsia="宋体" w:cs="宋体"/>
                <w:b/>
                <w:sz w:val="18"/>
                <w:szCs w:val="18"/>
              </w:rPr>
              <w:t>（具体根据《中小企业划型标准规定》执行）</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color w:val="FF0000"/>
                <w:sz w:val="18"/>
                <w:szCs w:val="18"/>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w:t>
            </w:r>
            <w:r>
              <w:rPr>
                <w:rFonts w:hint="eastAsia" w:ascii="宋体" w:hAnsi="宋体" w:cs="宋体"/>
                <w:b/>
                <w:bCs/>
                <w:color w:val="0000FF"/>
                <w:sz w:val="18"/>
                <w:szCs w:val="18"/>
                <w:shd w:val="clear" w:color="auto" w:fill="FFFFFF"/>
                <w:lang w:val="en-US" w:eastAsia="zh-CN"/>
              </w:rPr>
              <w:t>以</w:t>
            </w:r>
            <w:r>
              <w:rPr>
                <w:rFonts w:hint="eastAsia" w:ascii="宋体" w:hAnsi="宋体" w:cs="宋体"/>
                <w:b/>
                <w:bCs/>
                <w:color w:val="0000FF"/>
                <w:sz w:val="18"/>
                <w:szCs w:val="18"/>
                <w:shd w:val="clear" w:color="auto" w:fill="FFFFFF"/>
              </w:rPr>
              <w:t>套（正本一套）：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w:t>
            </w:r>
            <w:r>
              <w:rPr>
                <w:rFonts w:hint="eastAsia" w:ascii="宋体" w:hAnsi="宋体" w:cs="宋体"/>
                <w:b/>
                <w:bCs/>
                <w:color w:val="0000FF"/>
                <w:sz w:val="18"/>
                <w:szCs w:val="18"/>
                <w:shd w:val="clear" w:color="auto" w:fill="FFFFFF"/>
                <w:lang w:val="en-US" w:eastAsia="zh-CN"/>
              </w:rPr>
              <w:t>一</w:t>
            </w:r>
            <w:r>
              <w:rPr>
                <w:rFonts w:hint="eastAsia" w:ascii="宋体" w:hAnsi="宋体" w:cs="宋体"/>
                <w:b/>
                <w:bCs/>
                <w:color w:val="0000FF"/>
                <w:sz w:val="18"/>
                <w:szCs w:val="18"/>
                <w:shd w:val="clear" w:color="auto" w:fill="FFFFFF"/>
              </w:rPr>
              <w:t>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履约保证金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b/>
                <w:bCs/>
                <w:sz w:val="18"/>
                <w:szCs w:val="1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pPr>
        <w:spacing w:line="400" w:lineRule="exact"/>
        <w:ind w:firstLine="422" w:firstLineChars="200"/>
        <w:rPr>
          <w:rFonts w:hint="eastAsia" w:ascii="宋体" w:hAnsi="宋体"/>
          <w:b/>
          <w:szCs w:val="21"/>
        </w:rPr>
      </w:pPr>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w:t>
      </w:r>
      <w:r>
        <w:rPr>
          <w:rFonts w:hint="eastAsia"/>
          <w:b/>
          <w:bCs/>
          <w:szCs w:val="21"/>
          <w:lang w:eastAsia="zh-CN"/>
        </w:rPr>
        <w:t>安吉县人民政府递铺街道办事处</w:t>
      </w:r>
      <w:r>
        <w:rPr>
          <w:rFonts w:hint="eastAsia"/>
          <w:szCs w:val="21"/>
        </w:rPr>
        <w:t>。</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lang w:eastAsia="zh-CN"/>
        </w:rPr>
        <w:t>安吉县公共资源交易中心（安吉县政府采购中心）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rFonts w:hint="default"/>
          <w:szCs w:val="21"/>
          <w:lang w:val="en-US" w:eastAsia="zh-CN"/>
        </w:rPr>
      </w:pPr>
      <w:r>
        <w:rPr>
          <w:rFonts w:hint="eastAsia"/>
          <w:szCs w:val="21"/>
        </w:rPr>
        <w:t>6.“服务”系指招标文件规定投标人须承担的保洁范围内的道路、护栏、侧石、道板、公园、公厕、花坛、水渠以及范围内已征区块8611.06亩的巡查管理、保洁垃圾清运处置</w:t>
      </w:r>
      <w:r>
        <w:rPr>
          <w:rFonts w:hint="eastAsia"/>
          <w:szCs w:val="21"/>
          <w:lang w:val="en-US" w:eastAsia="zh-CN"/>
        </w:rPr>
        <w:t>等服务事项。</w:t>
      </w:r>
    </w:p>
    <w:p>
      <w:pPr>
        <w:snapToGrid w:val="0"/>
        <w:spacing w:line="400" w:lineRule="exact"/>
        <w:ind w:firstLine="420" w:firstLineChars="200"/>
        <w:contextualSpacing/>
        <w:jc w:val="left"/>
        <w:outlineLvl w:val="1"/>
        <w:rPr>
          <w:rFonts w:hint="eastAsia" w:eastAsia="宋体"/>
          <w:szCs w:val="21"/>
          <w:lang w:val="en-US" w:eastAsia="zh-CN"/>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w:t>
      </w:r>
      <w:r>
        <w:rPr>
          <w:rFonts w:hint="eastAsia" w:ascii="宋体" w:hAnsi="宋体" w:cs="Arial"/>
          <w:szCs w:val="21"/>
          <w:lang w:val="en-US" w:eastAsia="zh-CN"/>
        </w:rPr>
        <w:t>允许联</w:t>
      </w:r>
      <w:r>
        <w:rPr>
          <w:rFonts w:hint="eastAsia" w:ascii="宋体" w:hAnsi="宋体" w:cs="Arial"/>
          <w:szCs w:val="21"/>
        </w:rPr>
        <w:t>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2.本项目不可以分包</w:t>
      </w:r>
      <w:r>
        <w:rPr>
          <w:rFonts w:hint="eastAsia" w:ascii="宋体" w:hAnsi="宋体" w:cs="宋体"/>
          <w:szCs w:val="21"/>
          <w:lang w:eastAsia="zh-CN"/>
        </w:rPr>
        <w:t>。</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lang w:eastAsia="zh-CN"/>
        </w:rPr>
        <w:t>2022年</w:t>
      </w:r>
      <w:r>
        <w:rPr>
          <w:rFonts w:hint="eastAsia" w:ascii="宋体" w:hAnsi="宋体" w:cs="宋体"/>
          <w:color w:val="FF0000"/>
          <w:kern w:val="1"/>
          <w:szCs w:val="21"/>
          <w:lang w:val="en-US" w:eastAsia="zh-CN"/>
        </w:rPr>
        <w:t>12月30日</w:t>
      </w:r>
      <w:r>
        <w:rPr>
          <w:rFonts w:hint="eastAsia" w:ascii="宋体" w:hAnsi="宋体" w:cs="宋体"/>
          <w:color w:val="FF0000"/>
          <w:kern w:val="1"/>
          <w:szCs w:val="21"/>
        </w:rPr>
        <w:t>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w:t>
      </w:r>
      <w:r>
        <w:rPr>
          <w:rFonts w:hint="eastAsia" w:ascii="宋体" w:hAnsi="宋体" w:cs="宋体"/>
          <w:kern w:val="1"/>
          <w:szCs w:val="21"/>
          <w:lang w:eastAsia="zh-CN"/>
        </w:rPr>
        <w:t>5129120</w:t>
      </w:r>
      <w:r>
        <w:rPr>
          <w:rFonts w:hint="eastAsia" w:ascii="宋体" w:hAnsi="宋体" w:cs="宋体"/>
          <w:kern w:val="1"/>
          <w:szCs w:val="21"/>
        </w:rPr>
        <w:t>，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2"/>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lang w:val="en-US" w:eastAsia="zh-CN"/>
        </w:rPr>
        <w:t>商务</w:t>
      </w:r>
      <w:r>
        <w:rPr>
          <w:rFonts w:hint="eastAsia" w:ascii="宋体" w:hAnsi="宋体" w:cs="宋体"/>
          <w:b/>
          <w:szCs w:val="21"/>
        </w:rPr>
        <w:t>技术文件、</w:t>
      </w:r>
      <w:r>
        <w:rPr>
          <w:rFonts w:hint="eastAsia" w:ascii="宋体" w:hAnsi="宋体" w:cs="宋体"/>
          <w:b/>
          <w:szCs w:val="21"/>
          <w:lang w:val="en-US" w:eastAsia="zh-CN"/>
        </w:rPr>
        <w:t>投标</w:t>
      </w:r>
      <w:r>
        <w:rPr>
          <w:rFonts w:hint="eastAsia" w:ascii="宋体" w:hAnsi="宋体" w:cs="宋体"/>
          <w:b/>
          <w:szCs w:val="21"/>
        </w:rPr>
        <w:t>报价文件</w:t>
      </w:r>
      <w:r>
        <w:rPr>
          <w:rFonts w:hint="eastAsia" w:ascii="宋体" w:hAnsi="宋体" w:cs="宋体"/>
          <w:kern w:val="1"/>
          <w:szCs w:val="21"/>
        </w:rPr>
        <w:t>三部份组成。</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资格证明文件</w:t>
      </w:r>
      <w:r>
        <w:rPr>
          <w:rFonts w:hint="eastAsia" w:ascii="宋体" w:hAnsi="宋体" w:cs="宋体"/>
          <w:b/>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eastAsia="宋体" w:cs="宋体"/>
          <w:szCs w:val="21"/>
          <w:lang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）法定代表人身份证明书</w:t>
      </w:r>
      <w:r>
        <w:rPr>
          <w:rFonts w:hint="eastAsia" w:ascii="宋体" w:hAnsi="宋体" w:cs="宋体"/>
          <w:lang w:eastAsia="zh-CN"/>
        </w:rPr>
        <w:t>（</w:t>
      </w:r>
      <w:r>
        <w:rPr>
          <w:rFonts w:hint="eastAsia" w:ascii="宋体" w:hAnsi="宋体" w:cs="宋体"/>
          <w:lang w:val="en-US" w:eastAsia="zh-CN"/>
        </w:rPr>
        <w:t>格式见附件</w:t>
      </w:r>
      <w:r>
        <w:rPr>
          <w:rFonts w:hint="eastAsia" w:ascii="宋体" w:hAnsi="宋体" w:cs="宋体"/>
          <w:lang w:eastAsia="zh-CN"/>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中小企业声明函（格式见附件）</w:t>
      </w:r>
      <w:r>
        <w:rPr>
          <w:rFonts w:hint="eastAsia" w:ascii="宋体" w:hAnsi="宋体" w:cs="宋体"/>
          <w:szCs w:val="21"/>
        </w:rPr>
        <w:t>；</w:t>
      </w:r>
    </w:p>
    <w:p>
      <w:pPr>
        <w:spacing w:line="360" w:lineRule="exact"/>
        <w:ind w:firstLine="422" w:firstLineChars="200"/>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商务</w:t>
      </w:r>
      <w:r>
        <w:rPr>
          <w:rFonts w:hint="eastAsia" w:ascii="宋体" w:hAnsi="宋体" w:cs="宋体"/>
          <w:b/>
          <w:szCs w:val="21"/>
        </w:rPr>
        <w:t>文件：</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）投标单位情况表；</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）投标人同类项目实施情况一览表（</w:t>
      </w:r>
      <w:r>
        <w:rPr>
          <w:rFonts w:hint="eastAsia" w:ascii="宋体" w:hAnsi="宋体" w:cs="宋体"/>
          <w:color w:val="0000FF"/>
          <w:szCs w:val="21"/>
        </w:rPr>
        <w:t>须有合同复印件、验收资料或中标公示、中标通知书等</w:t>
      </w:r>
      <w:r>
        <w:rPr>
          <w:rFonts w:hint="eastAsia" w:ascii="宋体" w:hAnsi="宋体" w:cs="宋体"/>
          <w:szCs w:val="21"/>
        </w:rPr>
        <w:t>）；</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业绩评价情况；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服务场地情况</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）资信及商务响应表（格式见附件）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.技术文件：</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（1）投标人针对本项目的总体方案；</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（2）投标人是否有健全的企业内部管理制度及考核制度、安全文明施工及环保措施； </w:t>
      </w:r>
    </w:p>
    <w:p>
      <w:pPr>
        <w:spacing w:line="360" w:lineRule="exact"/>
        <w:ind w:firstLine="420" w:firstLineChars="200"/>
        <w:rPr>
          <w:rFonts w:hint="eastAsia" w:ascii="宋体" w:hAnsi="宋体" w:cs="宋体"/>
          <w:szCs w:val="21"/>
        </w:rPr>
      </w:pPr>
      <w:r>
        <w:rPr>
          <w:rFonts w:hint="eastAsia" w:ascii="宋体" w:hAnsi="宋体" w:cs="宋体"/>
          <w:szCs w:val="21"/>
          <w:lang w:val="en-US" w:eastAsia="zh-CN"/>
        </w:rPr>
        <w:t>（3）投标人针</w:t>
      </w:r>
      <w:r>
        <w:rPr>
          <w:rFonts w:hint="eastAsia" w:ascii="宋体" w:hAnsi="宋体" w:cs="宋体"/>
          <w:szCs w:val="21"/>
        </w:rPr>
        <w:t>对本项目组织详细</w:t>
      </w:r>
      <w:r>
        <w:rPr>
          <w:rFonts w:hint="eastAsia" w:ascii="宋体" w:hAnsi="宋体" w:cs="宋体"/>
          <w:szCs w:val="21"/>
          <w:lang w:val="en-US" w:eastAsia="zh-CN"/>
        </w:rPr>
        <w:t>人力及设备配置情况</w:t>
      </w:r>
      <w:r>
        <w:rPr>
          <w:rFonts w:hint="eastAsia" w:ascii="宋体" w:hAnsi="宋体" w:cs="宋体"/>
          <w:szCs w:val="21"/>
        </w:rPr>
        <w:t xml:space="preserve">；（包括机构设置、人员配备、项目经理或负责人情况、保洁类相关车辆及其他相关作业机具配备等）；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w:t>
      </w:r>
      <w:r>
        <w:rPr>
          <w:rFonts w:hint="eastAsia" w:ascii="宋体" w:hAnsi="宋体" w:cs="宋体"/>
          <w:szCs w:val="21"/>
          <w:lang w:val="en-US" w:eastAsia="zh-CN"/>
        </w:rPr>
        <w:t>的合理化建议及实质性优惠承诺</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w:t>
      </w:r>
      <w:r>
        <w:rPr>
          <w:rFonts w:hint="eastAsia" w:ascii="宋体" w:hAnsi="宋体" w:cs="宋体"/>
          <w:szCs w:val="21"/>
          <w:lang w:val="en-US" w:eastAsia="zh-CN"/>
        </w:rPr>
        <w:t>突发时间、恶劣天气的现场响应等</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）其他部分：投标人认为需要说明的其他内容。</w:t>
      </w:r>
    </w:p>
    <w:p>
      <w:pPr>
        <w:spacing w:line="360" w:lineRule="exact"/>
        <w:ind w:firstLine="422" w:firstLineChars="200"/>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.报价文件：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）开标一览表（格式见附件）；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）报价明细表（格式见附件）；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）投标人针对报价需要说明的其他文件和说明（格式自拟）；</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lang w:eastAsia="zh-CN"/>
        </w:rPr>
        <w:t>开标一览表</w:t>
      </w:r>
      <w:r>
        <w:rPr>
          <w:rFonts w:hint="eastAsia" w:ascii="宋体" w:hAnsi="宋体"/>
          <w:b/>
          <w:bCs/>
          <w:szCs w:val="21"/>
        </w:rPr>
        <w:t>必须由</w:t>
      </w:r>
      <w:r>
        <w:rPr>
          <w:rFonts w:hint="eastAsia" w:ascii="宋体" w:hAnsi="宋体"/>
          <w:b/>
          <w:bCs/>
          <w:szCs w:val="21"/>
          <w:lang w:eastAsia="zh-CN"/>
        </w:rPr>
        <w:t>相应</w:t>
      </w:r>
      <w:r>
        <w:rPr>
          <w:rFonts w:hint="eastAsia" w:ascii="宋体" w:hAnsi="宋体"/>
          <w:b/>
          <w:bCs/>
          <w:szCs w:val="21"/>
          <w:lang w:val="en-US" w:eastAsia="zh-CN"/>
        </w:rPr>
        <w:t>法定</w:t>
      </w:r>
      <w:r>
        <w:rPr>
          <w:rFonts w:hint="eastAsia" w:ascii="宋体" w:hAnsi="宋体"/>
          <w:b/>
          <w:bCs/>
          <w:szCs w:val="21"/>
          <w:lang w:eastAsia="zh-CN"/>
        </w:rPr>
        <w:t>代表人签字或盖章</w:t>
      </w:r>
      <w:r>
        <w:rPr>
          <w:rFonts w:hint="eastAsia" w:ascii="宋体" w:hAnsi="宋体"/>
          <w:b/>
          <w:bCs/>
          <w:szCs w:val="21"/>
        </w:rPr>
        <w:t>并加盖单位公章。</w:t>
      </w:r>
    </w:p>
    <w:p>
      <w:pPr>
        <w:numPr>
          <w:ilvl w:val="0"/>
          <w:numId w:val="5"/>
        </w:numPr>
        <w:spacing w:line="400" w:lineRule="exact"/>
        <w:ind w:left="-2" w:leftChars="0" w:firstLine="422" w:firstLineChars="0"/>
        <w:rPr>
          <w:rFonts w:ascii="宋体" w:hAnsi="宋体"/>
          <w:b/>
          <w:szCs w:val="21"/>
        </w:rPr>
      </w:pPr>
      <w:r>
        <w:rPr>
          <w:rFonts w:hint="eastAsia" w:ascii="宋体" w:hAnsi="宋体"/>
          <w:b/>
          <w:szCs w:val="21"/>
        </w:rPr>
        <w:t>投标文件的语言及计量</w:t>
      </w:r>
    </w:p>
    <w:p>
      <w:pPr>
        <w:pStyle w:val="2"/>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2"/>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2"/>
        <w:snapToGrid w:val="0"/>
        <w:spacing w:beforeLines="0" w:afterLines="0"/>
        <w:ind w:firstLine="420" w:firstLineChars="200"/>
        <w:rPr>
          <w:rFonts w:hAnsi="宋体"/>
          <w:sz w:val="21"/>
          <w:szCs w:val="21"/>
        </w:rPr>
      </w:pPr>
      <w:r>
        <w:rPr>
          <w:rFonts w:hint="eastAsia" w:hAnsi="宋体"/>
          <w:sz w:val="21"/>
          <w:szCs w:val="21"/>
        </w:rPr>
        <w:t>（三）投标报价</w:t>
      </w:r>
    </w:p>
    <w:p>
      <w:pPr>
        <w:pStyle w:val="2"/>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▲2.投标报价是履行合同的最终价格，应包括人工工资及福利、基建及固定资产投入、工具设备配置、管理费、税费、保险、利润等所有费用。</w:t>
      </w:r>
    </w:p>
    <w:p>
      <w:pPr>
        <w:pStyle w:val="2"/>
        <w:snapToGrid w:val="0"/>
        <w:spacing w:beforeLines="0" w:afterLines="0"/>
        <w:ind w:firstLine="420" w:firstLineChars="200"/>
        <w:rPr>
          <w:rFonts w:hAnsi="宋体"/>
          <w:sz w:val="21"/>
          <w:szCs w:val="21"/>
        </w:rPr>
      </w:pPr>
      <w:r>
        <w:rPr>
          <w:rFonts w:hint="eastAsia" w:hAnsi="宋体"/>
          <w:sz w:val="21"/>
          <w:szCs w:val="21"/>
        </w:rPr>
        <w:t>3.投标报价</w:t>
      </w:r>
      <w:r>
        <w:rPr>
          <w:rFonts w:hint="eastAsia" w:hAnsi="宋体"/>
          <w:sz w:val="21"/>
          <w:szCs w:val="21"/>
          <w:lang w:val="en-US" w:eastAsia="zh-CN"/>
        </w:rPr>
        <w:t>以人民币元为</w:t>
      </w:r>
      <w:r>
        <w:rPr>
          <w:rFonts w:hint="eastAsia" w:hAnsi="宋体"/>
          <w:sz w:val="21"/>
          <w:szCs w:val="21"/>
        </w:rPr>
        <w:t>单位。</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服务</w:t>
      </w:r>
      <w:r>
        <w:rPr>
          <w:rFonts w:hint="eastAsia" w:ascii="宋体" w:hAnsi="宋体"/>
          <w:szCs w:val="21"/>
        </w:rPr>
        <w:t>质量验收或</w:t>
      </w:r>
      <w:r>
        <w:rPr>
          <w:rFonts w:hint="eastAsia" w:ascii="宋体" w:hAnsi="宋体"/>
          <w:szCs w:val="21"/>
          <w:lang w:val="en-US" w:eastAsia="zh-CN"/>
        </w:rPr>
        <w:t>考核</w:t>
      </w:r>
      <w:r>
        <w:rPr>
          <w:rFonts w:hint="eastAsia" w:ascii="宋体" w:hAnsi="宋体"/>
          <w:szCs w:val="21"/>
        </w:rPr>
        <w:t>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lang w:val="en-US" w:eastAsia="zh-CN"/>
        </w:rPr>
        <w:t>商务</w:t>
      </w:r>
      <w:r>
        <w:rPr>
          <w:rFonts w:hint="eastAsia" w:ascii="宋体" w:hAnsi="宋体" w:cs="宋体"/>
          <w:b/>
          <w:szCs w:val="21"/>
        </w:rPr>
        <w:t>技术文件、</w:t>
      </w:r>
      <w:r>
        <w:rPr>
          <w:rFonts w:hint="eastAsia" w:ascii="宋体" w:hAnsi="宋体" w:cs="宋体"/>
          <w:b/>
          <w:szCs w:val="21"/>
          <w:lang w:val="en-US" w:eastAsia="zh-CN"/>
        </w:rPr>
        <w:t>投标</w:t>
      </w:r>
      <w:r>
        <w:rPr>
          <w:rFonts w:hint="eastAsia" w:ascii="宋体" w:hAnsi="宋体" w:cs="宋体"/>
          <w:b/>
          <w:szCs w:val="21"/>
        </w:rPr>
        <w:t>报价文件</w:t>
      </w:r>
      <w:r>
        <w:rPr>
          <w:rFonts w:hint="eastAsia" w:ascii="宋体" w:hAnsi="宋体"/>
          <w:szCs w:val="21"/>
        </w:rPr>
        <w:t>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367" w:firstLineChars="175"/>
        <w:rPr>
          <w:rFonts w:hint="eastAsia" w:ascii="宋体" w:hAnsi="宋体" w:cs="宋体"/>
          <w:color w:val="FF0000"/>
          <w:kern w:val="0"/>
          <w:szCs w:val="21"/>
        </w:rPr>
      </w:pPr>
      <w:bookmarkStart w:id="29" w:name="_Hlk33211013"/>
      <w:r>
        <w:rPr>
          <w:rFonts w:hint="eastAsia" w:ascii="宋体" w:hAnsi="宋体" w:cs="宋体"/>
          <w:color w:val="FF0000"/>
          <w:kern w:val="0"/>
          <w:szCs w:val="21"/>
        </w:rPr>
        <w:t>1、资信、技术文件符合性审查中，存在下列情形之一的，经评标委员会认定后作无效标处理：</w:t>
      </w:r>
    </w:p>
    <w:p>
      <w:pPr>
        <w:tabs>
          <w:tab w:val="left" w:pos="1110"/>
        </w:tabs>
        <w:spacing w:line="400" w:lineRule="exact"/>
        <w:ind w:firstLine="367" w:firstLineChars="175"/>
        <w:rPr>
          <w:rFonts w:hint="eastAsia" w:ascii="宋体" w:hAnsi="宋体" w:cs="宋体"/>
          <w:color w:val="FF0000"/>
          <w:kern w:val="0"/>
          <w:szCs w:val="21"/>
        </w:rPr>
      </w:pPr>
      <w:bookmarkStart w:id="30" w:name="_Toc33194396"/>
      <w:r>
        <w:rPr>
          <w:rFonts w:hint="eastAsia" w:ascii="宋体" w:hAnsi="宋体" w:cs="宋体"/>
          <w:color w:val="FF0000"/>
          <w:kern w:val="0"/>
          <w:szCs w:val="21"/>
        </w:rPr>
        <w:t>（1）投标文件未有效授权，法定代表人授权委托书等填写不完整或有涂改的；</w:t>
      </w:r>
      <w:bookmarkEnd w:id="30"/>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（3）投标文件存在一个或一个以上备选（替代）投标方案的；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（4）仅提交“备份投标文件”的；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（5）文件组成内容不齐全，本招标文件规定必须提供而未提供的（属于资格审查范围的除外）；</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（6）投标文件标注的响应或偏离情况与事实不符，或提供了虚假材料的；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（7）不响应或擅自改变本招标文件要求或投标文件有采购人不能接受的附加条件的；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（8）违反国家或政府部门相关法律、法规、文件规定的。</w:t>
      </w:r>
      <w:bookmarkEnd w:id="29"/>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2、报价文件符合性审查中，存在下列情形之一的，经评标委员会认定后作无效标处理：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（1）未按照招标文件标明的币种报价的，或者投标报价涵盖的内容不符合招标文件要求的；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（2）投标报价出现前后不一致且不同意按照招标文件规定的方法进行修正的；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（3）投标报价具有选择性，且未注明哪个有效的；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（4）投标报价超过采购预算（或最高限价）的；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（5）评审委员会认为投标人报价明显低于其他合格投标人的报价，有可能影响</w:t>
      </w:r>
      <w:r>
        <w:rPr>
          <w:rFonts w:hint="eastAsia" w:ascii="宋体" w:hAnsi="宋体" w:cs="宋体"/>
          <w:color w:val="FF0000"/>
          <w:kern w:val="0"/>
          <w:szCs w:val="21"/>
          <w:lang w:val="en-US" w:eastAsia="zh-CN"/>
        </w:rPr>
        <w:t>服务</w:t>
      </w:r>
      <w:r>
        <w:rPr>
          <w:rFonts w:hint="eastAsia" w:ascii="宋体" w:hAnsi="宋体" w:cs="宋体"/>
          <w:color w:val="FF0000"/>
          <w:kern w:val="0"/>
          <w:szCs w:val="21"/>
        </w:rPr>
        <w:t>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（6）违反国家或政府部门相关法律、法规、文件规定的。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3、投标人串通投标的，投标无效。</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投标人有以下情形之一的，视为投标人串通投标：</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（1）不同投标人的投标文件由同一单位或者个人编制；</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（2）不同投标人委托同一单位或者个人办理投标事宜；</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（3）不同投标人的投标文件载明的项目管理成员或者联系人员为同一人；</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（4）不同投标人的投标文件异常一致或者投标报价呈规律性差异；</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（5）不同投标人的投标文件相互混装；</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4、法律、法规和招标文件规定的其他无效标情形。</w:t>
      </w:r>
    </w:p>
    <w:p>
      <w:pPr>
        <w:adjustRightInd w:val="0"/>
        <w:snapToGrid w:val="0"/>
        <w:spacing w:line="360" w:lineRule="exact"/>
        <w:ind w:firstLine="422" w:firstLineChars="200"/>
        <w:jc w:val="left"/>
        <w:rPr>
          <w:rFonts w:hint="eastAsia" w:ascii="宋体" w:hAnsi="宋体" w:cs="宋体"/>
          <w:color w:val="FF0000"/>
          <w:kern w:val="0"/>
          <w:szCs w:val="21"/>
        </w:rPr>
      </w:pPr>
      <w:r>
        <w:rPr>
          <w:rFonts w:hint="eastAsia" w:ascii="宋体" w:hAnsi="宋体" w:cs="宋体"/>
          <w:b/>
          <w:color w:val="FF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将在规定的时间和地点进行开标。</w:t>
      </w:r>
      <w:r>
        <w:rPr>
          <w:rFonts w:hint="eastAsia" w:ascii="宋体" w:hAnsi="宋体"/>
        </w:rPr>
        <w:t>本项目实行电子开评标，</w:t>
      </w:r>
      <w:r>
        <w:rPr>
          <w:rFonts w:hint="eastAsia" w:ascii="宋体" w:hAnsi="宋体" w:eastAsia="宋体" w:cs="Times New Roman"/>
          <w:szCs w:val="22"/>
        </w:rPr>
        <w:t>投标人需</w:t>
      </w:r>
      <w:r>
        <w:rPr>
          <w:rFonts w:hint="eastAsia" w:ascii="宋体" w:hAnsi="宋体"/>
        </w:rPr>
        <w:t>在规定时间内在“政采云”平台上上传电子投标文件。</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lang w:eastAsia="zh-CN"/>
        </w:rPr>
        <w:t>2022年</w:t>
      </w:r>
      <w:r>
        <w:rPr>
          <w:rFonts w:hint="eastAsia" w:ascii="宋体" w:hAnsi="宋体"/>
          <w:b/>
          <w:szCs w:val="21"/>
          <w:lang w:val="en-US" w:eastAsia="zh-CN"/>
        </w:rPr>
        <w:t>12月30日</w:t>
      </w:r>
      <w:r>
        <w:rPr>
          <w:rFonts w:hint="eastAsia" w:ascii="宋体" w:hAnsi="宋体"/>
          <w:b/>
          <w:szCs w:val="21"/>
        </w:rPr>
        <w:t>上午09:00前）供应商可以登录“政采云”平台，用“项目采购-开标评标”功能进行解密投标文件。若供应商在规定时间内（</w:t>
      </w:r>
      <w:r>
        <w:rPr>
          <w:rFonts w:hint="eastAsia" w:ascii="宋体" w:hAnsi="宋体"/>
          <w:b/>
          <w:szCs w:val="21"/>
          <w:lang w:eastAsia="zh-CN"/>
        </w:rPr>
        <w:t>2022年</w:t>
      </w:r>
      <w:r>
        <w:rPr>
          <w:rFonts w:hint="eastAsia" w:ascii="宋体" w:hAnsi="宋体"/>
          <w:b/>
          <w:szCs w:val="21"/>
          <w:lang w:val="en-US" w:eastAsia="zh-CN"/>
        </w:rPr>
        <w:t>12月30日</w:t>
      </w:r>
      <w:r>
        <w:rPr>
          <w:rFonts w:hint="eastAsia" w:ascii="宋体" w:hAnsi="宋体"/>
          <w:b/>
          <w:szCs w:val="21"/>
        </w:rPr>
        <w:t>上午09:</w:t>
      </w:r>
      <w:r>
        <w:rPr>
          <w:rFonts w:hint="eastAsia" w:ascii="宋体" w:hAnsi="宋体"/>
          <w:b/>
          <w:szCs w:val="21"/>
          <w:lang w:val="en-US" w:eastAsia="zh-CN"/>
        </w:rPr>
        <w:t>3</w:t>
      </w:r>
      <w:r>
        <w:rPr>
          <w:rFonts w:hint="eastAsia" w:ascii="宋体" w:hAnsi="宋体"/>
          <w:b/>
          <w:szCs w:val="21"/>
        </w:rPr>
        <w:t>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2"/>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2"/>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2"/>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2"/>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2"/>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2"/>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2"/>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2"/>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2"/>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2"/>
        <w:snapToGrid w:val="0"/>
        <w:spacing w:beforeLines="0" w:afterLines="0"/>
        <w:ind w:firstLine="422" w:firstLineChars="200"/>
        <w:rPr>
          <w:rFonts w:hAnsi="宋体"/>
          <w:b/>
          <w:sz w:val="21"/>
          <w:szCs w:val="21"/>
        </w:rPr>
      </w:pPr>
      <w:r>
        <w:rPr>
          <w:rFonts w:hint="eastAsia" w:hAnsi="宋体"/>
          <w:b/>
          <w:sz w:val="21"/>
          <w:szCs w:val="21"/>
        </w:rPr>
        <w:t>六、定标</w:t>
      </w:r>
    </w:p>
    <w:p>
      <w:pPr>
        <w:pStyle w:val="2"/>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sz w:val="21"/>
          <w:szCs w:val="21"/>
          <w:u w:val="single"/>
        </w:rPr>
        <w:t>本项目由评标委员确定候选中标人，由采购人确定中标人。</w:t>
      </w:r>
    </w:p>
    <w:p>
      <w:pPr>
        <w:pStyle w:val="2"/>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2"/>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2"/>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hint="default" w:ascii="宋体" w:hAnsi="宋体" w:cs="宋体"/>
          <w:color w:val="000000"/>
          <w:kern w:val="0"/>
          <w:szCs w:val="21"/>
          <w:highlight w:val="yellow"/>
          <w:lang w:val="en-US"/>
        </w:rPr>
      </w:pPr>
      <w:r>
        <w:rPr>
          <w:rFonts w:hint="eastAsia" w:ascii="宋体" w:hAnsi="宋体" w:cs="宋体"/>
          <w:color w:val="000000"/>
          <w:kern w:val="0"/>
          <w:szCs w:val="21"/>
        </w:rPr>
        <w:t>3、中标人因不可抗力或者自身原因不能履行政府采购合同的，</w:t>
      </w:r>
      <w:r>
        <w:rPr>
          <w:rFonts w:hint="eastAsia" w:ascii="宋体" w:hAnsi="宋体" w:cs="宋体"/>
          <w:color w:val="000000"/>
          <w:kern w:val="0"/>
          <w:szCs w:val="21"/>
          <w:lang w:val="en-US"/>
        </w:rPr>
        <w:t>采购人可根据评审报告有效中标候选人排序顺延中标人，同时保留组织重新采购的</w:t>
      </w:r>
      <w:r>
        <w:rPr>
          <w:rFonts w:hint="eastAsia" w:ascii="宋体" w:hAnsi="宋体" w:cs="宋体"/>
          <w:color w:val="000000"/>
          <w:kern w:val="0"/>
          <w:szCs w:val="21"/>
          <w:lang w:val="en-US" w:eastAsia="zh-CN"/>
        </w:rPr>
        <w:t>权力。</w:t>
      </w:r>
    </w:p>
    <w:p>
      <w:pPr>
        <w:pStyle w:val="2"/>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2"/>
        <w:snapToGrid w:val="0"/>
        <w:spacing w:beforeLines="0" w:afterLines="0"/>
        <w:ind w:firstLine="420" w:firstLineChars="200"/>
        <w:rPr>
          <w:rFonts w:hint="default" w:hAnsi="宋体" w:eastAsia="宋体" w:cs="宋体"/>
          <w:color w:val="FF0000"/>
          <w:sz w:val="21"/>
          <w:szCs w:val="21"/>
          <w:lang w:val="en-US" w:eastAsia="zh-CN"/>
        </w:rPr>
      </w:pPr>
      <w:r>
        <w:rPr>
          <w:rFonts w:hint="eastAsia" w:hAnsi="宋体" w:cs="宋体"/>
          <w:color w:val="FF0000"/>
          <w:sz w:val="21"/>
          <w:szCs w:val="21"/>
          <w:lang w:val="en-US" w:eastAsia="zh-CN"/>
        </w:rPr>
        <w:t>本项目不收取履约保证金；</w:t>
      </w:r>
    </w:p>
    <w:p>
      <w:pPr>
        <w:pStyle w:val="2"/>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服务费</w:t>
      </w:r>
      <w:r>
        <w:rPr>
          <w:rFonts w:hint="eastAsia" w:hAnsi="宋体" w:cs="宋体"/>
          <w:b/>
          <w:color w:val="000000"/>
          <w:sz w:val="21"/>
          <w:szCs w:val="21"/>
        </w:rPr>
        <w:t>的结算</w:t>
      </w:r>
    </w:p>
    <w:p>
      <w:pPr>
        <w:spacing w:line="400" w:lineRule="exact"/>
        <w:ind w:firstLine="420" w:firstLineChars="200"/>
        <w:contextualSpacing/>
      </w:pPr>
      <w:r>
        <w:rPr>
          <w:rFonts w:hint="eastAsia" w:ascii="宋体" w:hAnsi="宋体" w:eastAsia="宋体" w:cs="宋体"/>
          <w:color w:val="FF0000"/>
          <w:sz w:val="21"/>
          <w:szCs w:val="21"/>
          <w:highlight w:val="none"/>
        </w:rPr>
        <w:t>服务费按月支付，按中标金额月平均数的100%，并扣除考核扣款后金额计算，中标人提供税务发票，当月服务费于次月25日前（遇节假日顺延）支付。中标单位在收到采购人考核结果后开具发票，采购人收到发票后进行支付。</w:t>
      </w:r>
      <w:r>
        <w:rPr>
          <w:rFonts w:hint="eastAsia" w:ascii="宋体" w:hAnsi="宋体" w:eastAsia="宋体" w:cs="宋体"/>
          <w:b/>
          <w:sz w:val="21"/>
          <w:szCs w:val="21"/>
        </w:rPr>
        <w:t>中标单位合同期满后须凭提供以下资料（请到安吉县公共资源交易网-下载中心-自行下载）：项目验收单、合同原件、发票复印件，</w:t>
      </w:r>
      <w:r>
        <w:rPr>
          <w:rFonts w:hint="eastAsia" w:ascii="宋体" w:hAnsi="宋体" w:eastAsia="宋体" w:cs="宋体"/>
          <w:b/>
          <w:color w:val="000000"/>
          <w:sz w:val="21"/>
          <w:szCs w:val="21"/>
        </w:rPr>
        <w:t>到集中采购代理机构备案。</w:t>
      </w:r>
      <w:r>
        <w:rPr>
          <w:rFonts w:hint="eastAsia" w:ascii="宋体" w:hAnsi="宋体" w:eastAsia="宋体" w:cs="宋体"/>
          <w:b/>
          <w:color w:val="000000"/>
          <w:kern w:val="0"/>
          <w:sz w:val="21"/>
          <w:szCs w:val="21"/>
        </w:rPr>
        <w:t xml:space="preserve"> </w:t>
      </w:r>
    </w:p>
    <w:p>
      <w:pPr>
        <w:pStyle w:val="25"/>
        <w:spacing w:line="480" w:lineRule="auto"/>
        <w:rPr>
          <w:rFonts w:hint="eastAsia"/>
        </w:rPr>
      </w:pPr>
      <w:bookmarkStart w:id="31" w:name="_Toc28248"/>
    </w:p>
    <w:p>
      <w:pPr>
        <w:pStyle w:val="25"/>
        <w:spacing w:line="480" w:lineRule="auto"/>
        <w:rPr>
          <w:rFonts w:hint="eastAsia"/>
        </w:rPr>
      </w:pPr>
    </w:p>
    <w:p>
      <w:pPr>
        <w:pStyle w:val="25"/>
        <w:spacing w:line="480" w:lineRule="auto"/>
        <w:rPr>
          <w:rFonts w:hint="eastAsia"/>
        </w:rPr>
      </w:pPr>
    </w:p>
    <w:p>
      <w:pPr>
        <w:rPr>
          <w:rFonts w:hint="eastAsia"/>
        </w:rPr>
      </w:pPr>
    </w:p>
    <w:p>
      <w:pPr>
        <w:pStyle w:val="35"/>
        <w:rPr>
          <w:rFonts w:hint="eastAsia"/>
        </w:rPr>
      </w:pPr>
    </w:p>
    <w:p>
      <w:pPr>
        <w:pStyle w:val="35"/>
        <w:rPr>
          <w:rFonts w:hint="eastAsia"/>
        </w:rPr>
      </w:pPr>
    </w:p>
    <w:p>
      <w:pPr>
        <w:pStyle w:val="35"/>
        <w:rPr>
          <w:rFonts w:hint="eastAsia"/>
        </w:rPr>
        <w:sectPr>
          <w:headerReference r:id="rId5" w:type="default"/>
          <w:footerReference r:id="rId6" w:type="default"/>
          <w:footerReference r:id="rId7" w:type="even"/>
          <w:pgSz w:w="11906" w:h="16838"/>
          <w:pgMar w:top="1558" w:right="1531" w:bottom="1402" w:left="1531" w:header="851" w:footer="851" w:gutter="0"/>
          <w:pgNumType w:fmt="decimal"/>
          <w:cols w:space="720" w:num="1"/>
          <w:docGrid w:linePitch="312" w:charSpace="0"/>
        </w:sectPr>
      </w:pPr>
    </w:p>
    <w:p>
      <w:pPr>
        <w:pStyle w:val="25"/>
        <w:spacing w:line="480" w:lineRule="auto"/>
      </w:pPr>
      <w:r>
        <w:rPr>
          <w:rFonts w:hint="eastAsia"/>
        </w:rPr>
        <w:t>第三章  招标需求</w:t>
      </w:r>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一、项目概况</w:t>
      </w:r>
    </w:p>
    <w:p>
      <w:pPr>
        <w:spacing w:line="400" w:lineRule="exact"/>
        <w:ind w:firstLine="420" w:firstLineChars="200"/>
        <w:rPr>
          <w:rFonts w:hint="eastAsia" w:ascii="宋体" w:hAnsi="宋体" w:eastAsia="宋体" w:cs="宋体"/>
          <w:color w:val="auto"/>
          <w:szCs w:val="21"/>
          <w:highlight w:val="none"/>
          <w:lang w:eastAsia="zh-CN"/>
        </w:rPr>
      </w:pPr>
      <w:bookmarkStart w:id="32" w:name="_Toc293916283"/>
      <w:bookmarkStart w:id="33" w:name="_Toc293916181"/>
      <w:bookmarkStart w:id="34" w:name="_Toc293915932"/>
      <w:bookmarkStart w:id="35" w:name="_Toc293916801"/>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递铺街道双河和雾山寺（安城）片区绿化养护服务政府采购项目</w:t>
      </w:r>
    </w:p>
    <w:p>
      <w:pPr>
        <w:spacing w:line="400" w:lineRule="exact"/>
        <w:ind w:firstLine="420" w:firstLineChars="200"/>
        <w:rPr>
          <w:rFonts w:hint="eastAsia" w:ascii="宋体" w:hAnsi="宋体" w:cs="宋体"/>
          <w:color w:val="auto"/>
          <w:szCs w:val="28"/>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、采购单位名称：</w:t>
      </w:r>
      <w:bookmarkEnd w:id="32"/>
      <w:bookmarkEnd w:id="33"/>
      <w:bookmarkEnd w:id="34"/>
      <w:bookmarkEnd w:id="35"/>
      <w:r>
        <w:rPr>
          <w:rFonts w:hint="eastAsia" w:ascii="宋体" w:hAnsi="宋体" w:cs="宋体"/>
          <w:color w:val="auto"/>
          <w:szCs w:val="28"/>
          <w:highlight w:val="none"/>
          <w:lang w:eastAsia="zh-CN"/>
        </w:rPr>
        <w:t>安吉县人民政府递铺街道办事处</w:t>
      </w:r>
    </w:p>
    <w:p>
      <w:pPr>
        <w:pStyle w:val="2"/>
        <w:rPr>
          <w:rFonts w:hint="default" w:ascii="宋体" w:hAnsi="宋体" w:eastAsia="宋体" w:cs="宋体"/>
          <w:color w:val="auto"/>
          <w:kern w:val="2"/>
          <w:sz w:val="21"/>
          <w:szCs w:val="28"/>
          <w:highlight w:val="none"/>
          <w:lang w:val="en-US" w:eastAsia="zh-CN" w:bidi="ar-SA"/>
        </w:rPr>
      </w:pPr>
      <w:r>
        <w:rPr>
          <w:rFonts w:hint="eastAsia" w:hAnsi="宋体" w:cs="宋体"/>
          <w:color w:val="auto"/>
          <w:szCs w:val="28"/>
          <w:highlight w:val="none"/>
          <w:lang w:val="en-US" w:eastAsia="zh-CN"/>
        </w:rPr>
        <w:t xml:space="preserve">   </w:t>
      </w:r>
      <w:r>
        <w:rPr>
          <w:rFonts w:hint="eastAsia" w:ascii="宋体" w:hAnsi="宋体" w:eastAsia="宋体" w:cs="宋体"/>
          <w:color w:val="auto"/>
          <w:kern w:val="2"/>
          <w:sz w:val="21"/>
          <w:szCs w:val="28"/>
          <w:highlight w:val="none"/>
          <w:lang w:val="en-US" w:eastAsia="zh-CN" w:bidi="ar-SA"/>
        </w:rPr>
        <w:t>3、项目概况：递铺街道双河片区和雾山寺（安城）片区绿化养护服务即将到期，经研究决定，就新一轮养护服务启动招标，养护服务期为自合同签订之日起至2024年4月底，预算为2299万元；另有补植费用93.5万元，按采购项目一览表说明发生。</w:t>
      </w:r>
    </w:p>
    <w:p>
      <w:pPr>
        <w:pStyle w:val="2"/>
        <w:ind w:firstLine="420" w:firstLineChars="200"/>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具体范围为双河片区25条道路节点涉及绿地灌木面积54.34万方，其他面积5.94万方，行道树木2.8138万棵；雾山寺片区97条道路节点涉及绿地灌木面积173.3704万方，其他面积6.0769万方，行道树木6.2930万棵。涉及以上道路绿化养护，双河、雾山寺（安城）片区分六个标段，一个标段招一家单位，投标单位可兼投不可兼中。</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bookmarkStart w:id="36" w:name="_Toc13016"/>
      <w:bookmarkStart w:id="37" w:name="_Toc19810"/>
      <w:r>
        <w:rPr>
          <w:rFonts w:hint="eastAsia" w:ascii="宋体" w:hAnsi="宋体" w:eastAsia="宋体" w:cs="宋体"/>
          <w:b/>
          <w:bCs/>
          <w:kern w:val="2"/>
          <w:sz w:val="21"/>
          <w:szCs w:val="21"/>
          <w:lang w:val="en-US" w:eastAsia="zh-CN" w:bidi="ar-SA"/>
        </w:rPr>
        <w:t>二、项目内容</w:t>
      </w:r>
      <w:bookmarkEnd w:id="36"/>
      <w:bookmarkEnd w:id="37"/>
    </w:p>
    <w:p>
      <w:pPr>
        <w:numPr>
          <w:ilvl w:val="0"/>
          <w:numId w:val="6"/>
        </w:numPr>
        <w:spacing w:line="400" w:lineRule="exact"/>
        <w:rPr>
          <w:rFonts w:ascii="宋体" w:hAnsi="宋体" w:cs="宋体"/>
          <w:b/>
          <w:color w:val="auto"/>
          <w:szCs w:val="28"/>
          <w:highlight w:val="none"/>
        </w:rPr>
      </w:pPr>
      <w:r>
        <w:rPr>
          <w:rFonts w:hint="eastAsia" w:ascii="宋体" w:hAnsi="宋体" w:cs="宋体"/>
          <w:b/>
          <w:color w:val="auto"/>
          <w:szCs w:val="28"/>
          <w:highlight w:val="none"/>
        </w:rPr>
        <w:t>采购项目一览表</w:t>
      </w:r>
    </w:p>
    <w:tbl>
      <w:tblPr>
        <w:tblStyle w:val="27"/>
        <w:tblW w:w="1435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842"/>
        <w:gridCol w:w="6840"/>
        <w:gridCol w:w="930"/>
        <w:gridCol w:w="1140"/>
        <w:gridCol w:w="137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标项</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养护面积、数量及要求</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养护标准</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服务期</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养护费控制价  </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万元</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 </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补植预算（万元）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双河片区绿化养护服务</w:t>
            </w:r>
          </w:p>
        </w:tc>
        <w:tc>
          <w:tcPr>
            <w:tcW w:w="6840" w:type="dxa"/>
            <w:noWrap w:val="0"/>
            <w:vAlign w:val="center"/>
          </w:tcPr>
          <w:p>
            <w:pPr>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w:t>
            </w:r>
            <w:r>
              <w:rPr>
                <w:rFonts w:hint="eastAsia" w:ascii="宋体" w:hAnsi="宋体" w:eastAsia="宋体" w:cs="宋体"/>
                <w:sz w:val="21"/>
                <w:szCs w:val="21"/>
                <w:highlight w:val="none"/>
                <w:lang w:val="en-US" w:eastAsia="zh-CN"/>
              </w:rPr>
              <w:t>为西苕溪以南，</w:t>
            </w:r>
            <w:r>
              <w:rPr>
                <w:rFonts w:hint="eastAsia" w:ascii="宋体" w:hAnsi="宋体" w:eastAsia="宋体" w:cs="宋体"/>
                <w:sz w:val="21"/>
                <w:szCs w:val="21"/>
                <w:highlight w:val="none"/>
              </w:rPr>
              <w:t>包括浦源大道（康一路——丰食溪大桥）</w:t>
            </w:r>
            <w:r>
              <w:rPr>
                <w:rFonts w:hint="eastAsia" w:ascii="宋体" w:hAnsi="宋体" w:eastAsia="宋体" w:cs="宋体"/>
                <w:sz w:val="21"/>
                <w:szCs w:val="21"/>
                <w:highlight w:val="none"/>
                <w:lang w:val="en-US" w:eastAsia="zh-CN"/>
              </w:rPr>
              <w:t>等道路及景观节点，绿地灌木约</w:t>
            </w:r>
            <w:r>
              <w:rPr>
                <w:rFonts w:hint="eastAsia" w:ascii="宋体" w:hAnsi="宋体" w:cs="宋体"/>
                <w:sz w:val="21"/>
                <w:szCs w:val="21"/>
                <w:highlight w:val="none"/>
                <w:lang w:val="en-US" w:eastAsia="zh-CN"/>
              </w:rPr>
              <w:t>264517㎡</w:t>
            </w:r>
            <w:r>
              <w:rPr>
                <w:rFonts w:hint="eastAsia" w:ascii="宋体" w:hAnsi="宋体" w:eastAsia="宋体" w:cs="宋体"/>
                <w:sz w:val="21"/>
                <w:szCs w:val="21"/>
                <w:highlight w:val="none"/>
                <w:lang w:val="en-US" w:eastAsia="zh-CN"/>
              </w:rPr>
              <w:t>、割草约40146㎡、乔木养护15cm以下约</w:t>
            </w:r>
            <w:r>
              <w:rPr>
                <w:rFonts w:hint="eastAsia" w:ascii="宋体" w:hAnsi="宋体" w:cs="宋体"/>
                <w:sz w:val="21"/>
                <w:szCs w:val="21"/>
                <w:highlight w:val="none"/>
                <w:lang w:val="en-US" w:eastAsia="zh-CN"/>
              </w:rPr>
              <w:t>8482</w:t>
            </w:r>
            <w:r>
              <w:rPr>
                <w:rFonts w:hint="eastAsia" w:ascii="宋体" w:hAnsi="宋体" w:eastAsia="宋体" w:cs="宋体"/>
                <w:sz w:val="21"/>
                <w:szCs w:val="21"/>
                <w:highlight w:val="none"/>
                <w:lang w:val="en-US" w:eastAsia="zh-CN"/>
              </w:rPr>
              <w:t>棵、15cm以上约</w:t>
            </w:r>
            <w:r>
              <w:rPr>
                <w:rFonts w:hint="eastAsia" w:ascii="宋体" w:hAnsi="宋体" w:cs="宋体"/>
                <w:sz w:val="21"/>
                <w:szCs w:val="21"/>
                <w:highlight w:val="none"/>
                <w:lang w:val="en-US" w:eastAsia="zh-CN"/>
              </w:rPr>
              <w:t>6003</w:t>
            </w:r>
            <w:r>
              <w:rPr>
                <w:rFonts w:hint="eastAsia" w:ascii="宋体" w:hAnsi="宋体" w:eastAsia="宋体" w:cs="宋体"/>
                <w:sz w:val="21"/>
                <w:szCs w:val="21"/>
                <w:highlight w:val="none"/>
                <w:lang w:val="en-US" w:eastAsia="zh-CN"/>
              </w:rPr>
              <w:t>棵，</w:t>
            </w:r>
            <w:r>
              <w:rPr>
                <w:rFonts w:hint="eastAsia" w:ascii="宋体" w:hAnsi="宋体" w:eastAsia="宋体" w:cs="宋体"/>
                <w:sz w:val="21"/>
                <w:szCs w:val="21"/>
                <w:highlight w:val="none"/>
              </w:rPr>
              <w:t>详见范围图</w:t>
            </w:r>
            <w:r>
              <w:rPr>
                <w:rFonts w:hint="eastAsia" w:ascii="宋体" w:hAnsi="宋体" w:eastAsia="宋体" w:cs="宋体"/>
                <w:sz w:val="21"/>
                <w:szCs w:val="21"/>
                <w:highlight w:val="none"/>
                <w:lang w:val="en-US" w:eastAsia="zh-CN"/>
              </w:rPr>
              <w:t>及</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r>
              <w:rPr>
                <w:rFonts w:hint="eastAsia" w:ascii="宋体" w:hAnsi="宋体" w:eastAsia="宋体" w:cs="宋体"/>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16个月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340</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二</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双河片区绿化养护服务</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w:t>
            </w:r>
            <w:r>
              <w:rPr>
                <w:rFonts w:hint="eastAsia" w:ascii="宋体" w:hAnsi="宋体" w:eastAsia="宋体" w:cs="宋体"/>
                <w:sz w:val="21"/>
                <w:szCs w:val="21"/>
                <w:highlight w:val="none"/>
                <w:lang w:val="en-US" w:eastAsia="zh-CN"/>
              </w:rPr>
              <w:t>为西苕溪以北，</w:t>
            </w:r>
            <w:r>
              <w:rPr>
                <w:rFonts w:hint="eastAsia" w:ascii="宋体" w:hAnsi="宋体" w:eastAsia="宋体" w:cs="宋体"/>
                <w:sz w:val="21"/>
                <w:szCs w:val="21"/>
                <w:highlight w:val="none"/>
              </w:rPr>
              <w:t>包括浮玉路(阳光大道——浦源大道)</w:t>
            </w:r>
            <w:r>
              <w:rPr>
                <w:rFonts w:hint="eastAsia" w:ascii="宋体" w:hAnsi="宋体" w:eastAsia="宋体" w:cs="宋体"/>
                <w:sz w:val="21"/>
                <w:szCs w:val="21"/>
                <w:highlight w:val="none"/>
                <w:lang w:val="en-US" w:eastAsia="zh-CN"/>
              </w:rPr>
              <w:t>等道路及景观节点，绿地灌木约278879㎡、割草约34181㎡、乔木养护15cm以下约9579棵、15cm以上约6281棵，</w:t>
            </w:r>
            <w:r>
              <w:rPr>
                <w:rFonts w:hint="eastAsia" w:ascii="宋体" w:hAnsi="宋体" w:eastAsia="宋体" w:cs="宋体"/>
                <w:sz w:val="21"/>
                <w:szCs w:val="21"/>
                <w:highlight w:val="none"/>
              </w:rPr>
              <w:t>详见范围图</w:t>
            </w:r>
            <w:r>
              <w:rPr>
                <w:rFonts w:hint="eastAsia" w:ascii="宋体" w:hAnsi="宋体" w:eastAsia="宋体" w:cs="宋体"/>
                <w:sz w:val="21"/>
                <w:szCs w:val="21"/>
                <w:highlight w:val="none"/>
                <w:lang w:val="en-US" w:eastAsia="zh-CN"/>
              </w:rPr>
              <w:t>及</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r>
              <w:rPr>
                <w:rFonts w:hint="eastAsia" w:ascii="宋体" w:hAnsi="宋体" w:eastAsia="宋体" w:cs="宋体"/>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16个月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358.7</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三</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雾山寺（安城）</w:t>
            </w:r>
            <w:r>
              <w:rPr>
                <w:rFonts w:hint="eastAsia" w:ascii="宋体" w:hAnsi="宋体" w:eastAsia="宋体" w:cs="宋体"/>
                <w:bCs/>
                <w:sz w:val="21"/>
                <w:szCs w:val="21"/>
                <w:highlight w:val="none"/>
                <w:lang w:val="en-US" w:eastAsia="zh-CN"/>
              </w:rPr>
              <w:t>片区绿化养护服务</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养护范围包括灵峰北路（一号桥与二号桥之间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横塘段</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等道路及景观节点，绿地灌木约351997㎡、割草约63933㎡、乔木养护15cm以下约5580棵、15cm以上约8801棵，</w:t>
            </w:r>
            <w:r>
              <w:rPr>
                <w:rFonts w:hint="eastAsia" w:ascii="宋体" w:hAnsi="宋体" w:eastAsia="宋体" w:cs="宋体"/>
                <w:sz w:val="21"/>
                <w:szCs w:val="21"/>
                <w:highlight w:val="none"/>
              </w:rPr>
              <w:t>详见范围图</w:t>
            </w:r>
            <w:r>
              <w:rPr>
                <w:rFonts w:hint="eastAsia" w:ascii="宋体" w:hAnsi="宋体" w:eastAsia="宋体" w:cs="宋体"/>
                <w:sz w:val="21"/>
                <w:szCs w:val="21"/>
                <w:highlight w:val="none"/>
                <w:lang w:val="en-US" w:eastAsia="zh-CN"/>
              </w:rPr>
              <w:t>及</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r>
              <w:rPr>
                <w:rFonts w:hint="eastAsia" w:ascii="宋体" w:hAnsi="宋体" w:eastAsia="宋体" w:cs="宋体"/>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15个月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367.32</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四</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雾山寺（安城）</w:t>
            </w:r>
            <w:r>
              <w:rPr>
                <w:rFonts w:hint="eastAsia" w:ascii="宋体" w:hAnsi="宋体" w:eastAsia="宋体" w:cs="宋体"/>
                <w:bCs/>
                <w:sz w:val="21"/>
                <w:szCs w:val="21"/>
                <w:highlight w:val="none"/>
                <w:lang w:val="en-US" w:eastAsia="zh-CN"/>
              </w:rPr>
              <w:t>片区绿化养护服务</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养护范围包括</w:t>
            </w:r>
            <w:r>
              <w:rPr>
                <w:rFonts w:hint="eastAsia" w:ascii="宋体" w:hAnsi="宋体" w:eastAsia="宋体" w:cs="宋体"/>
                <w:sz w:val="21"/>
                <w:szCs w:val="21"/>
                <w:highlight w:val="none"/>
                <w:lang w:val="en-US" w:eastAsia="zh-CN"/>
              </w:rPr>
              <w:t>阳光大道、光竹山路等道路及景观节点，绿地灌木约439779㎡、割草约11597㎡、乔木养护15cm以下约6321棵、15cm以上约8772棵，</w:t>
            </w:r>
            <w:r>
              <w:rPr>
                <w:rFonts w:hint="eastAsia" w:ascii="宋体" w:hAnsi="宋体" w:eastAsia="宋体" w:cs="宋体"/>
                <w:sz w:val="21"/>
                <w:szCs w:val="21"/>
                <w:highlight w:val="none"/>
              </w:rPr>
              <w:t>详见范围图。</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15个月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406.49</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五</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雾山寺（安城）</w:t>
            </w:r>
            <w:r>
              <w:rPr>
                <w:rFonts w:hint="eastAsia" w:ascii="宋体" w:hAnsi="宋体" w:eastAsia="宋体" w:cs="宋体"/>
                <w:bCs/>
                <w:sz w:val="21"/>
                <w:szCs w:val="21"/>
                <w:highlight w:val="none"/>
                <w:lang w:val="en-US" w:eastAsia="zh-CN"/>
              </w:rPr>
              <w:t>片区绿化养护服务</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养护范围包括</w:t>
            </w:r>
            <w:r>
              <w:rPr>
                <w:rFonts w:hint="eastAsia" w:ascii="宋体" w:hAnsi="宋体" w:eastAsia="宋体" w:cs="宋体"/>
                <w:sz w:val="21"/>
                <w:szCs w:val="21"/>
                <w:highlight w:val="none"/>
                <w:lang w:val="en-US" w:eastAsia="zh-CN"/>
              </w:rPr>
              <w:t>灵峰北路、龙墩路等道路及景观节点，绿地灌木约534766㎡、割草约6000㎡、乔木养护15cm以下约8593棵、15cm以上约6913棵，</w:t>
            </w:r>
            <w:r>
              <w:rPr>
                <w:rFonts w:hint="eastAsia" w:ascii="宋体" w:hAnsi="宋体" w:eastAsia="宋体" w:cs="宋体"/>
                <w:sz w:val="21"/>
                <w:szCs w:val="21"/>
                <w:highlight w:val="none"/>
              </w:rPr>
              <w:t>详见范围图</w:t>
            </w:r>
            <w:r>
              <w:rPr>
                <w:rFonts w:hint="eastAsia" w:ascii="宋体" w:hAnsi="宋体" w:eastAsia="宋体" w:cs="宋体"/>
                <w:sz w:val="21"/>
                <w:szCs w:val="21"/>
                <w:highlight w:val="none"/>
                <w:lang w:val="en-US" w:eastAsia="zh-CN"/>
              </w:rPr>
              <w:t>及</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r>
              <w:rPr>
                <w:rFonts w:hint="eastAsia" w:ascii="宋体" w:hAnsi="宋体" w:eastAsia="宋体" w:cs="宋体"/>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15个月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478.64</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六</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雾山寺（安城）</w:t>
            </w:r>
            <w:r>
              <w:rPr>
                <w:rFonts w:hint="eastAsia" w:ascii="宋体" w:hAnsi="宋体" w:eastAsia="宋体" w:cs="宋体"/>
                <w:bCs/>
                <w:sz w:val="21"/>
                <w:szCs w:val="21"/>
                <w:highlight w:val="none"/>
                <w:lang w:val="en-US" w:eastAsia="zh-CN"/>
              </w:rPr>
              <w:t>片区绿化养护服务</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养护范围包括绕城北路（阳光大道至绕城东路）</w:t>
            </w:r>
            <w:r>
              <w:rPr>
                <w:rFonts w:hint="eastAsia" w:ascii="宋体" w:hAnsi="宋体" w:eastAsia="宋体" w:cs="宋体"/>
                <w:sz w:val="21"/>
                <w:szCs w:val="21"/>
                <w:highlight w:val="none"/>
                <w:lang w:val="en-US" w:eastAsia="zh-CN"/>
              </w:rPr>
              <w:t>等道路及景观节点，绿地灌木约407162㎡、割草约1590㎡、乔木养护15cm以下约8992棵、15cm以上约7654棵，</w:t>
            </w:r>
            <w:r>
              <w:rPr>
                <w:rFonts w:hint="eastAsia" w:ascii="宋体" w:hAnsi="宋体" w:eastAsia="宋体" w:cs="宋体"/>
                <w:sz w:val="21"/>
                <w:szCs w:val="21"/>
                <w:highlight w:val="none"/>
              </w:rPr>
              <w:t>详见范围图</w:t>
            </w:r>
            <w:r>
              <w:rPr>
                <w:rFonts w:hint="eastAsia" w:ascii="宋体" w:hAnsi="宋体" w:eastAsia="宋体" w:cs="宋体"/>
                <w:sz w:val="21"/>
                <w:szCs w:val="21"/>
                <w:highlight w:val="none"/>
                <w:lang w:val="en-US" w:eastAsia="zh-CN"/>
              </w:rPr>
              <w:t>及</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r>
              <w:rPr>
                <w:rFonts w:hint="eastAsia" w:ascii="宋体" w:hAnsi="宋体" w:eastAsia="宋体" w:cs="宋体"/>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2、3类</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15个月</w:t>
            </w:r>
            <w:r>
              <w:rPr>
                <w:rFonts w:hint="eastAsia" w:ascii="宋体" w:hAnsi="宋体" w:cs="宋体"/>
                <w:bCs/>
                <w:sz w:val="21"/>
                <w:szCs w:val="21"/>
                <w:highlight w:val="none"/>
                <w:lang w:val="en-US" w:eastAsia="zh-CN"/>
              </w:rPr>
              <w:t>内</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347.85</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合计</w:t>
            </w:r>
          </w:p>
        </w:tc>
        <w:tc>
          <w:tcPr>
            <w:tcW w:w="1075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229</w:t>
            </w:r>
            <w:r>
              <w:rPr>
                <w:rFonts w:hint="eastAsia" w:ascii="宋体" w:hAnsi="宋体" w:cs="宋体"/>
                <w:bCs/>
                <w:sz w:val="21"/>
                <w:szCs w:val="21"/>
                <w:highlight w:val="none"/>
                <w:lang w:val="en-US" w:eastAsia="zh-CN"/>
              </w:rPr>
              <w:t>9</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noWrap w:val="0"/>
            <w:vAlign w:val="center"/>
          </w:tcPr>
          <w:p>
            <w:pPr>
              <w:keepNext w:val="0"/>
              <w:keepLines w:val="0"/>
              <w:pageBreakBefore w:val="0"/>
              <w:widowControl w:val="0"/>
              <w:tabs>
                <w:tab w:val="left" w:pos="1985"/>
              </w:tabs>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说明</w:t>
            </w:r>
          </w:p>
        </w:tc>
        <w:tc>
          <w:tcPr>
            <w:tcW w:w="13334" w:type="dxa"/>
            <w:gridSpan w:val="6"/>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28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本项目共分六个标段，投标人可兼投不可兼中。参加两个及以上标项的投标人，在前一标项中被推荐为第一中标候选人的，不再被推荐为后续标项的中标候选人。本项目开标顺序按照标项顺序进行。</w:t>
            </w:r>
          </w:p>
          <w:p>
            <w:pPr>
              <w:keepNext w:val="0"/>
              <w:keepLines w:val="0"/>
              <w:pageBreakBefore w:val="0"/>
              <w:widowControl w:val="0"/>
              <w:numPr>
                <w:ilvl w:val="0"/>
                <w:numId w:val="7"/>
              </w:numPr>
              <w:tabs>
                <w:tab w:val="left" w:pos="1985"/>
              </w:tabs>
              <w:kinsoku/>
              <w:wordWrap/>
              <w:overflowPunct/>
              <w:topLinePunct w:val="0"/>
              <w:autoSpaceDE/>
              <w:autoSpaceDN/>
              <w:bidi w:val="0"/>
              <w:adjustRightInd/>
              <w:snapToGrid w:val="0"/>
              <w:spacing w:line="28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本项目绿化养护数量以测绘数据招标，养护期限根据各路段实际情况发生，养护费用为预估数，实际养护费结算金额以每月实际养护数量以及中标单价计算</w:t>
            </w:r>
            <w:r>
              <w:rPr>
                <w:rFonts w:hint="eastAsia" w:ascii="宋体" w:hAnsi="宋体" w:cs="宋体"/>
                <w:sz w:val="21"/>
                <w:szCs w:val="21"/>
                <w:highlight w:val="none"/>
                <w:lang w:val="en-US" w:eastAsia="zh-CN"/>
              </w:rPr>
              <w:t>，遇道路移交或改造需其他部门管理的道路节点绿化，相应标段按中标相应单价计算核减费用</w:t>
            </w:r>
            <w:r>
              <w:rPr>
                <w:rFonts w:hint="eastAsia" w:ascii="宋体" w:hAnsi="宋体" w:eastAsia="宋体" w:cs="宋体"/>
                <w:sz w:val="21"/>
                <w:szCs w:val="21"/>
                <w:highlight w:val="none"/>
                <w:lang w:val="en-US" w:eastAsia="zh-CN"/>
              </w:rPr>
              <w:t>。</w:t>
            </w:r>
          </w:p>
          <w:p>
            <w:pPr>
              <w:keepNext w:val="0"/>
              <w:keepLines w:val="0"/>
              <w:pageBreakBefore w:val="0"/>
              <w:widowControl w:val="0"/>
              <w:numPr>
                <w:ilvl w:val="0"/>
                <w:numId w:val="7"/>
              </w:numPr>
              <w:tabs>
                <w:tab w:val="left" w:pos="1985"/>
              </w:tabs>
              <w:kinsoku/>
              <w:wordWrap/>
              <w:overflowPunct/>
              <w:topLinePunct w:val="0"/>
              <w:autoSpaceDE/>
              <w:autoSpaceDN/>
              <w:bidi w:val="0"/>
              <w:adjustRightInd/>
              <w:snapToGrid w:val="0"/>
              <w:spacing w:line="28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本项目移交进场前的绿化缺损补植服务由本项目中标人提供，该部分费用另计，投标时按折扣率报价，最终按实计算。合计补植结算金额不超过该标项预算金额。</w:t>
            </w:r>
          </w:p>
          <w:p>
            <w:pPr>
              <w:keepNext w:val="0"/>
              <w:keepLines w:val="0"/>
              <w:pageBreakBefore w:val="0"/>
              <w:widowControl w:val="0"/>
              <w:numPr>
                <w:ilvl w:val="0"/>
                <w:numId w:val="0"/>
              </w:numPr>
              <w:tabs>
                <w:tab w:val="left" w:pos="1985"/>
              </w:tabs>
              <w:kinsoku/>
              <w:wordWrap/>
              <w:overflowPunct/>
              <w:topLinePunct w:val="0"/>
              <w:autoSpaceDE/>
              <w:autoSpaceDN/>
              <w:bidi w:val="0"/>
              <w:adjustRightInd/>
              <w:snapToGrid w:val="0"/>
              <w:spacing w:line="28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以标项一为例：投标人绿化补植折扣率如按80%报价的，按最终结算金额</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万元计，则采购人可要求其绿化补植的总金额为</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万元÷80%=</w:t>
            </w:r>
            <w:r>
              <w:rPr>
                <w:rFonts w:hint="eastAsia" w:ascii="宋体" w:hAnsi="宋体" w:cs="宋体"/>
                <w:sz w:val="21"/>
                <w:szCs w:val="21"/>
                <w:highlight w:val="none"/>
                <w:lang w:val="en-US" w:eastAsia="zh-CN"/>
              </w:rPr>
              <w:t>26.5625</w:t>
            </w:r>
            <w:r>
              <w:rPr>
                <w:rFonts w:hint="eastAsia" w:ascii="宋体" w:hAnsi="宋体" w:eastAsia="宋体" w:cs="宋体"/>
                <w:sz w:val="21"/>
                <w:szCs w:val="21"/>
                <w:highlight w:val="none"/>
                <w:lang w:val="en-US" w:eastAsia="zh-CN"/>
              </w:rPr>
              <w:t>万元（</w:t>
            </w:r>
            <w:r>
              <w:rPr>
                <w:rFonts w:hint="eastAsia" w:ascii="宋体" w:hAnsi="宋体" w:cs="宋体"/>
                <w:sz w:val="21"/>
                <w:szCs w:val="21"/>
                <w:highlight w:val="none"/>
                <w:lang w:val="en-US" w:eastAsia="zh-CN"/>
              </w:rPr>
              <w:t>最高相应标段审计</w:t>
            </w:r>
            <w:r>
              <w:rPr>
                <w:rFonts w:hint="eastAsia" w:ascii="宋体" w:hAnsi="宋体" w:eastAsia="宋体" w:cs="宋体"/>
                <w:sz w:val="21"/>
                <w:szCs w:val="21"/>
                <w:highlight w:val="none"/>
                <w:lang w:val="en-US" w:eastAsia="zh-CN"/>
              </w:rPr>
              <w:t>结算价为</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w:t>
            </w:r>
            <w:r>
              <w:rPr>
                <w:rFonts w:hint="eastAsia" w:ascii="宋体" w:hAnsi="宋体" w:cs="宋体"/>
                <w:sz w:val="21"/>
                <w:szCs w:val="21"/>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val="0"/>
              <w:spacing w:line="280" w:lineRule="exact"/>
              <w:ind w:left="0" w:leftChars="0"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苗木品种、数量以</w:t>
            </w:r>
            <w:r>
              <w:rPr>
                <w:rFonts w:hint="eastAsia" w:ascii="宋体" w:hAnsi="宋体" w:eastAsia="宋体" w:cs="宋体"/>
                <w:sz w:val="21"/>
                <w:szCs w:val="21"/>
                <w:highlight w:val="none"/>
                <w:lang w:eastAsia="zh-CN"/>
              </w:rPr>
              <w:t>现状交付</w:t>
            </w:r>
            <w:r>
              <w:rPr>
                <w:rFonts w:hint="eastAsia" w:ascii="宋体" w:hAnsi="宋体" w:eastAsia="宋体" w:cs="宋体"/>
                <w:sz w:val="21"/>
                <w:szCs w:val="21"/>
                <w:highlight w:val="none"/>
              </w:rPr>
              <w:t>为准</w:t>
            </w:r>
            <w:r>
              <w:rPr>
                <w:rFonts w:hint="eastAsia" w:ascii="宋体" w:hAnsi="宋体" w:eastAsia="宋体" w:cs="宋体"/>
                <w:sz w:val="21"/>
                <w:szCs w:val="21"/>
                <w:highlight w:val="none"/>
                <w:lang w:eastAsia="zh-CN"/>
              </w:rPr>
              <w:t>，中标单位进场后进行登记造册书面移交</w:t>
            </w:r>
            <w:r>
              <w:rPr>
                <w:rFonts w:hint="eastAsia" w:ascii="宋体" w:hAnsi="宋体" w:eastAsia="宋体" w:cs="宋体"/>
                <w:sz w:val="21"/>
                <w:szCs w:val="21"/>
                <w:highlight w:val="none"/>
              </w:rPr>
              <w:t>。养护过程中死亡</w:t>
            </w:r>
            <w:r>
              <w:rPr>
                <w:rFonts w:hint="eastAsia" w:ascii="宋体" w:hAnsi="宋体" w:eastAsia="宋体" w:cs="宋体"/>
                <w:sz w:val="21"/>
                <w:szCs w:val="21"/>
                <w:highlight w:val="none"/>
                <w:lang w:val="en-US" w:eastAsia="zh-CN"/>
              </w:rPr>
              <w:t>的，同规格、同品种补种。如不补种，采购单位将派遣养护质量好的单位进行代整治，其代整治费用直接在中标人的绿化养护费中扣除并支付给代整治单位。</w:t>
            </w:r>
          </w:p>
          <w:p>
            <w:pPr>
              <w:keepNext w:val="0"/>
              <w:keepLines w:val="0"/>
              <w:pageBreakBefore w:val="0"/>
              <w:widowControl w:val="0"/>
              <w:tabs>
                <w:tab w:val="left" w:pos="1985"/>
              </w:tabs>
              <w:kinsoku/>
              <w:wordWrap/>
              <w:overflowPunct/>
              <w:topLinePunct w:val="0"/>
              <w:autoSpaceDE/>
              <w:autoSpaceDN/>
              <w:bidi w:val="0"/>
              <w:adjustRightInd/>
              <w:snapToGrid w:val="0"/>
              <w:spacing w:line="28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养护范围内中标人的工作内容包括本项目范围内的乔木、灌木、草坪、地被等养护管理及公园绿地、道路绿地的养护管理，还包括可能出现的因客观原因对该绿地进行局部调整后所引起的上述范围内的养护管理需增减的内容。</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所有养护人员（包括现场管理员），每年需参加</w:t>
            </w:r>
            <w:r>
              <w:rPr>
                <w:rFonts w:hint="eastAsia" w:ascii="宋体" w:hAnsi="宋体" w:eastAsia="宋体" w:cs="宋体"/>
                <w:sz w:val="21"/>
                <w:szCs w:val="21"/>
                <w:highlight w:val="none"/>
                <w:lang w:val="en-US" w:eastAsia="zh-CN"/>
              </w:rPr>
              <w:t>不少于</w:t>
            </w:r>
            <w:r>
              <w:rPr>
                <w:rFonts w:hint="eastAsia" w:ascii="宋体" w:hAnsi="宋体" w:eastAsia="宋体" w:cs="宋体"/>
                <w:sz w:val="21"/>
                <w:szCs w:val="21"/>
                <w:highlight w:val="none"/>
              </w:rPr>
              <w:t>三次园林养护技能培训，</w:t>
            </w:r>
            <w:r>
              <w:rPr>
                <w:rFonts w:hint="eastAsia" w:ascii="宋体" w:hAnsi="宋体" w:eastAsia="宋体" w:cs="宋体"/>
                <w:sz w:val="21"/>
                <w:szCs w:val="21"/>
                <w:highlight w:val="none"/>
                <w:lang w:val="en-US" w:eastAsia="zh-CN"/>
              </w:rPr>
              <w:t>所有费用由中标单位自行承担</w:t>
            </w:r>
            <w:r>
              <w:rPr>
                <w:rFonts w:hint="eastAsia" w:ascii="宋体" w:hAnsi="宋体" w:eastAsia="宋体" w:cs="宋体"/>
                <w:sz w:val="21"/>
                <w:szCs w:val="21"/>
                <w:highlight w:val="none"/>
              </w:rPr>
              <w:t>。</w:t>
            </w:r>
          </w:p>
        </w:tc>
      </w:tr>
    </w:tbl>
    <w:p>
      <w:pPr>
        <w:pStyle w:val="35"/>
        <w:rPr>
          <w:rFonts w:hint="eastAsia"/>
        </w:rPr>
        <w:sectPr>
          <w:pgSz w:w="16838" w:h="11906" w:orient="landscape"/>
          <w:pgMar w:top="1531" w:right="1558" w:bottom="1531" w:left="1402" w:header="851" w:footer="851" w:gutter="0"/>
          <w:pgNumType w:fmt="decimal"/>
          <w:cols w:space="720" w:num="1"/>
          <w:docGrid w:linePitch="312" w:charSpace="0"/>
        </w:sectPr>
      </w:pPr>
    </w:p>
    <w:bookmarkEnd w:id="31"/>
    <w:p>
      <w:pPr>
        <w:spacing w:line="400" w:lineRule="exact"/>
        <w:ind w:firstLine="0" w:firstLineChars="0"/>
        <w:rPr>
          <w:rFonts w:hint="eastAsia" w:ascii="Times New Roman" w:hAnsi="Times New Roman" w:eastAsia="宋体" w:cs="Times New Roman"/>
          <w:highlight w:val="none"/>
          <w:lang w:val="en-US" w:eastAsia="zh-CN"/>
        </w:rPr>
      </w:pPr>
      <w:bookmarkStart w:id="38" w:name="_Toc2372"/>
      <w:bookmarkStart w:id="39" w:name="_Toc26963"/>
      <w:bookmarkStart w:id="40" w:name="_Toc8240"/>
      <w:bookmarkStart w:id="41" w:name="_Toc380480366"/>
      <w:r>
        <w:rPr>
          <w:rFonts w:hint="eastAsia" w:ascii="Times New Roman" w:hAnsi="Times New Roman" w:eastAsia="宋体" w:cs="Times New Roman"/>
          <w:highlight w:val="none"/>
          <w:lang w:val="en-US" w:eastAsia="zh-CN"/>
        </w:rPr>
        <w:t>2、</w:t>
      </w:r>
      <w:r>
        <w:rPr>
          <w:rFonts w:hint="eastAsia" w:cs="Times New Roman"/>
          <w:highlight w:val="none"/>
          <w:lang w:val="en-US" w:eastAsia="zh-CN"/>
        </w:rPr>
        <w:t>标段</w:t>
      </w:r>
      <w:r>
        <w:rPr>
          <w:rFonts w:hint="eastAsia" w:ascii="Times New Roman" w:hAnsi="Times New Roman" w:eastAsia="宋体" w:cs="Times New Roman"/>
          <w:highlight w:val="none"/>
          <w:lang w:val="en-US" w:eastAsia="zh-CN"/>
        </w:rPr>
        <w:t>划分明细表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7"/>
        <w:gridCol w:w="3105"/>
        <w:gridCol w:w="1498"/>
        <w:gridCol w:w="1819"/>
        <w:gridCol w:w="1819"/>
        <w:gridCol w:w="1819"/>
        <w:gridCol w:w="181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10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53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5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10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3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4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浦源大道（康一路——丰食溪大桥）</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123500.00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2620</w:t>
            </w:r>
          </w:p>
        </w:tc>
        <w:tc>
          <w:tcPr>
            <w:tcW w:w="6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2770</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浒畔居西区公园</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18208.50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2042.37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561</w:t>
            </w:r>
          </w:p>
        </w:tc>
        <w:tc>
          <w:tcPr>
            <w:tcW w:w="6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542</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运通路(顺安路——云鸿西路)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427.42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1137.79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6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28</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浮玉路(云鸿西路——王母山桥)</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59704.25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4740.09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2332</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1529</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云鸿西路（康山大道——云鸿西桥）</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21944.30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22571.25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1451</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575</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胜利西路（胜利西桥——浮玉路）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749.26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161.59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74</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顺安路(康山大道——运通路)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2954.82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173.51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188</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90</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车汇路、万庄路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3100.22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80.21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135</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牌楼山路、万虹路、中合路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3030.00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173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204</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清远路（云鸿西路——浦源大道）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25607.00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7915.00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674</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152</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学林路绿化工程</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5291.71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1324.41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268</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3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53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264517.48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40146.22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8482</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6003</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p>
      <w:pPr>
        <w:pStyle w:val="2"/>
      </w:pPr>
    </w:p>
    <w:p/>
    <w:p>
      <w:pPr>
        <w:pStyle w:val="2"/>
      </w:pPr>
    </w:p>
    <w:p/>
    <w:p>
      <w:pPr>
        <w:pStyle w:val="2"/>
      </w:pPr>
    </w:p>
    <w:p/>
    <w:p>
      <w:pPr>
        <w:pStyle w:val="2"/>
      </w:pPr>
    </w:p>
    <w:p/>
    <w:p>
      <w:pPr>
        <w:pStyle w:val="2"/>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7"/>
        <w:gridCol w:w="3105"/>
        <w:gridCol w:w="1498"/>
        <w:gridCol w:w="1819"/>
        <w:gridCol w:w="1819"/>
        <w:gridCol w:w="1819"/>
        <w:gridCol w:w="181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w:t>
            </w:r>
            <w:r>
              <w:rPr>
                <w:rFonts w:hint="eastAsia" w:ascii="宋体" w:hAnsi="宋体" w:cs="宋体"/>
                <w:b w:val="0"/>
                <w:bCs w:val="0"/>
                <w:i w:val="0"/>
                <w:iCs w:val="0"/>
                <w:color w:val="000000"/>
                <w:kern w:val="0"/>
                <w:sz w:val="21"/>
                <w:szCs w:val="21"/>
                <w:highlight w:val="none"/>
                <w:u w:val="none"/>
                <w:lang w:val="en-US" w:eastAsia="zh-CN" w:bidi="ar"/>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10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53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5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10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3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4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浮玉路(阳光大道——浦源大道)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22374.37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1373.23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855</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536</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苕秀路（浮玉路——梅园路）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27317.38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407.34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1359</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327</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306省道至自博院节点</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4712.37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94.33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127</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梅园路(苕秀路——S306省道)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42358.10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9774.97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1819</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1090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阳光大道(康山大道——浮玉路)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118831.56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6723.61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3961</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2968</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三官集镇</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14520.55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2376.26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804</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179</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正嵘路(梅园路——枫岭路)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2085.69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102</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街道办事处办公楼</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1780.23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173.55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22</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街道办事处停车场</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1149.02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460.83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59</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27</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枫岭路(正嵘路——苕秀路)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163.91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绕城环线节点提升工程（马鞍山）</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10446.55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7071.41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243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山大线</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2400.00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50</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245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开发区园区绿化提升工程--百草路及西区停车库北侧绿化工程</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30739.63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5726.11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129</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655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3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53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278879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34181.64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9579</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6281</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pPr>
        <w:pStyle w:val="2"/>
      </w:pPr>
    </w:p>
    <w:p/>
    <w:p>
      <w:pPr>
        <w:pStyle w:val="2"/>
      </w:pPr>
    </w:p>
    <w:p/>
    <w:p>
      <w:pPr>
        <w:pStyle w:val="2"/>
      </w:pPr>
    </w:p>
    <w:p/>
    <w:p>
      <w:pPr>
        <w:pStyle w:val="2"/>
      </w:pPr>
    </w:p>
    <w:p/>
    <w:p>
      <w:pPr>
        <w:pStyle w:val="2"/>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7"/>
        <w:gridCol w:w="3574"/>
        <w:gridCol w:w="1029"/>
        <w:gridCol w:w="1819"/>
        <w:gridCol w:w="1819"/>
        <w:gridCol w:w="1819"/>
        <w:gridCol w:w="181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w:t>
            </w:r>
            <w:r>
              <w:rPr>
                <w:rFonts w:hint="eastAsia" w:ascii="宋体" w:hAnsi="宋体" w:cs="宋体"/>
                <w:b w:val="0"/>
                <w:bCs w:val="0"/>
                <w:i w:val="0"/>
                <w:iCs w:val="0"/>
                <w:color w:val="000000"/>
                <w:kern w:val="0"/>
                <w:sz w:val="21"/>
                <w:szCs w:val="21"/>
                <w:highlight w:val="none"/>
                <w:u w:val="none"/>
                <w:lang w:val="en-US" w:eastAsia="zh-CN" w:bidi="ar"/>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26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36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5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26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36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4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灵峰北路（一号桥与二号桥之间）</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119060.1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527 </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1439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灵峰北路（二号桥至横塘段）</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15646.2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23433.57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698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环岛东路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21248.1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395 </w:t>
            </w:r>
          </w:p>
        </w:tc>
        <w:tc>
          <w:tcPr>
            <w:tcW w:w="6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施家湾路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26334.0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564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施家湾路（灵峰北路至天荒坪北路）待移交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11526.0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乐平路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9714.2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乐平路（灵峰北路至天荒坪北路）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11526.0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天荒坪北路（广济大桥至环岛北路）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天荒坪北路（环岛北路至农批市场）</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越都东路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14838.5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1404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越都东路（灵峰北路至环岛南路）待移交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鄣南路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4203.4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185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鄣南路（灵峰北路至环岛东路）待移交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5718.0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175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103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环岛西路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5988.4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541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57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将军路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2889.7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5100.00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将军路（灵峰北路至天荒坪路）待移交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7468.0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193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文昌路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紫溪路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3156.1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114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银湾苗圃</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20624.9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3427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安城西山边工业园区</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1935.3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安城小集镇+公园（一至三）</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7239.0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210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农批市场西侧、北侧周边绿化</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35481.00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384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松树墩路</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1800.0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环岛北路（天荒坪北路至中力机械）待移交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26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环岛北路（天荒坪北路至灵峰路）待移交</w:t>
            </w:r>
          </w:p>
        </w:tc>
        <w:tc>
          <w:tcPr>
            <w:tcW w:w="3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2600.00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50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36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351996.87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63933.57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5580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8801 </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p>
      <w:pPr>
        <w:pStyle w:val="2"/>
      </w:pPr>
    </w:p>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7"/>
        <w:gridCol w:w="3105"/>
        <w:gridCol w:w="1498"/>
        <w:gridCol w:w="1819"/>
        <w:gridCol w:w="1819"/>
        <w:gridCol w:w="1819"/>
        <w:gridCol w:w="181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w:t>
            </w:r>
            <w:r>
              <w:rPr>
                <w:rFonts w:hint="eastAsia" w:ascii="宋体" w:hAnsi="宋体" w:cs="宋体"/>
                <w:b w:val="0"/>
                <w:bCs w:val="0"/>
                <w:i w:val="0"/>
                <w:iCs w:val="0"/>
                <w:color w:val="000000"/>
                <w:kern w:val="0"/>
                <w:sz w:val="21"/>
                <w:szCs w:val="21"/>
                <w:highlight w:val="none"/>
                <w:u w:val="none"/>
                <w:lang w:val="en-US" w:eastAsia="zh-CN" w:bidi="ar"/>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10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53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5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10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3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4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阳光大道1</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72842.8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382 </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1198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阳光大道2</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81344.7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1107 </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796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光竹山路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6913.9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3353.00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 </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光竹山路2 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2923.00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零星绿化（荷花塘路、北庄路、六官里路、常乐路）待移交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1510.00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北庄路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9765.4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北庄路（钢材市场段）待移交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4216.10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渚溪路（阳光大道至北庄路）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2390.6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84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胡家小区西侧绿化提升 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11250</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3797.8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齐云路（光竹山路至阳光大道）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18160.8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266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三港路（阳光大道至绕城北路）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5185.2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三港路（阳光大道至光竹山路）待移交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3320.00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140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102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长丰路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744.00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栗山路、合川路待移交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25179.00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481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155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半岛中路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7037.9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29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灵峰北路（一号桥至阳光大道）待移交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228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152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绕城北路（双桥至阳光大道）待移交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72000.00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1927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201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荷花塘路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7343.5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68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63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环岛南路（灵峰北路至绕城北路）待移交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40000.00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956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城北一号桥苗圃</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35964.0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4758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金澜相溪东侧绿地</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3000.00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半岛中路停车场（嘉瑞福段）</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5516.40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207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23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龙墩路（半岛中路至阳光大道）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3118.6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55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3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53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439779.73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11597.00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6321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8772 </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pPr>
        <w:pStyle w:val="2"/>
      </w:pPr>
    </w:p>
    <w:tbl>
      <w:tblPr>
        <w:tblStyle w:val="27"/>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4347"/>
        <w:gridCol w:w="982"/>
        <w:gridCol w:w="2005"/>
        <w:gridCol w:w="1568"/>
        <w:gridCol w:w="1636"/>
        <w:gridCol w:w="167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w:t>
            </w:r>
            <w:r>
              <w:rPr>
                <w:rFonts w:hint="eastAsia" w:ascii="宋体" w:hAnsi="宋体" w:cs="宋体"/>
                <w:b w:val="0"/>
                <w:bCs w:val="0"/>
                <w:i w:val="0"/>
                <w:iCs w:val="0"/>
                <w:color w:val="000000"/>
                <w:kern w:val="0"/>
                <w:sz w:val="21"/>
                <w:szCs w:val="21"/>
                <w:highlight w:val="none"/>
                <w:u w:val="none"/>
                <w:lang w:val="en-US" w:eastAsia="zh-CN" w:bidi="ar"/>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53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3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4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53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5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5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4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浒溪党校前段滨河路景观设计工程（兰庭公馆段）</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28156.8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 </w:t>
            </w:r>
          </w:p>
        </w:tc>
        <w:tc>
          <w:tcPr>
            <w:tcW w:w="5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112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灵峰北路（阳光大道至吉庆桥）待移交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80000.00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23433.57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914 </w:t>
            </w:r>
          </w:p>
        </w:tc>
        <w:tc>
          <w:tcPr>
            <w:tcW w:w="5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609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龙墩路（阳光大道至夹溪路）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6246.7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 </w:t>
            </w:r>
          </w:p>
        </w:tc>
        <w:tc>
          <w:tcPr>
            <w:tcW w:w="5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112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瑞竹路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6059.7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211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瑞竹路（夹溪路至苕秀东路）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1678.0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夹溪路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4699.2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59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98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苕秀东路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5121.5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132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广苕路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5092.9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雾山寺路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11949.1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5000.00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183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雾山寺路（青青家园南大门小公园）待移交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2286.00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万华路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6037.0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清政路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3434.0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268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131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半岛东路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49756.8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567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137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半岛东路（靠近吉庆桥村零星绿化）</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1706.00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103 </w:t>
            </w: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半岛西路丁家坝苗圃</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12404.0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5100.00 </w:t>
            </w:r>
          </w:p>
        </w:tc>
        <w:tc>
          <w:tcPr>
            <w:tcW w:w="5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2091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半岛西路停车场（恒林段）待移交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5504.00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171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19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半岛西路</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5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开发区园区绿化提升（半岛西路）待移交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14827.00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410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81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融信悦江府周边景观绿化</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1298.0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135 </w:t>
            </w: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浒溪公园（半岛酒店段）待移交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17 </w:t>
            </w: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翡翠湾北部公园1</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71768.0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600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538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翡翠湾北部公园2</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51885.0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1764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143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浒溪北岸（上村小区段）公园</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56700.0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1099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429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浒溪北岸景观绿化（苕秀东路至天荒坪北路）待移交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44000.00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608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436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华府晶园二期周边绿化待移交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1460.00 </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2600.00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60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73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竹漾路待移交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highlight w:val="none"/>
                <w:u w:val="none"/>
                <w:lang w:val="en-US" w:eastAsia="zh-CN" w:bidi="ar"/>
              </w:rPr>
            </w:pP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162 </w:t>
            </w: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越都西路（阳光大道至苕秀路）待移交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21734.00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456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558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城北小学东侧道路待移交</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460.00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90 </w:t>
            </w:r>
          </w:p>
        </w:tc>
        <w:tc>
          <w:tcPr>
            <w:tcW w:w="5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highlight w:val="none"/>
                <w:u w:val="none"/>
                <w:lang w:val="en-US" w:eastAsia="zh-CN" w:bidi="ar"/>
              </w:rPr>
            </w:pP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w:t>
            </w:r>
          </w:p>
        </w:tc>
        <w:tc>
          <w:tcPr>
            <w:tcW w:w="15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古鄣路（翡翠湾南边）</w:t>
            </w:r>
          </w:p>
        </w:tc>
        <w:tc>
          <w:tcPr>
            <w:tcW w:w="34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28502.8 </w:t>
            </w:r>
          </w:p>
        </w:tc>
        <w:tc>
          <w:tcPr>
            <w:tcW w:w="5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385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593 </w:t>
            </w:r>
          </w:p>
        </w:tc>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70"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3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534766.45</w:t>
            </w:r>
          </w:p>
        </w:tc>
        <w:tc>
          <w:tcPr>
            <w:tcW w:w="5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63933.57 </w:t>
            </w:r>
          </w:p>
        </w:tc>
        <w:tc>
          <w:tcPr>
            <w:tcW w:w="5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8593 </w:t>
            </w:r>
          </w:p>
        </w:tc>
        <w:tc>
          <w:tcPr>
            <w:tcW w:w="5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6913 </w:t>
            </w:r>
          </w:p>
        </w:tc>
        <w:tc>
          <w:tcPr>
            <w:tcW w:w="45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tbl>
      <w:tblPr>
        <w:tblStyle w:val="27"/>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3123"/>
        <w:gridCol w:w="1507"/>
        <w:gridCol w:w="1829"/>
        <w:gridCol w:w="1829"/>
        <w:gridCol w:w="1829"/>
        <w:gridCol w:w="182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w:t>
            </w:r>
            <w:r>
              <w:rPr>
                <w:rFonts w:hint="eastAsia" w:ascii="宋体" w:hAnsi="宋体" w:cs="宋体"/>
                <w:b w:val="0"/>
                <w:bCs w:val="0"/>
                <w:i w:val="0"/>
                <w:iCs w:val="0"/>
                <w:color w:val="000000"/>
                <w:kern w:val="0"/>
                <w:sz w:val="21"/>
                <w:szCs w:val="21"/>
                <w:highlight w:val="none"/>
                <w:u w:val="none"/>
                <w:lang w:val="en-US" w:eastAsia="zh-CN" w:bidi="ar"/>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10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路名</w:t>
            </w:r>
          </w:p>
        </w:tc>
        <w:tc>
          <w:tcPr>
            <w:tcW w:w="53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养护类别</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5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10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3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w:t>
            </w:r>
          </w:p>
        </w:tc>
        <w:tc>
          <w:tcPr>
            <w:tcW w:w="54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常乐路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5436.6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254</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绕城北路（阳光大道至绕城东路）待移交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1285</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渚溪路（拥军路至阳光大道）</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2589.9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6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天目北路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齐云路（古鄣路至灵芝路）待移交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齐云路（阳光大道至古鄣路）待移交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1600.00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古鄣路待移交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56000.00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1767</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534</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三港路（阳光大道至古鄣路）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4981.8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272</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六官里路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3162.1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拥军路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1195.0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拥军路（渚溪路至绕城北路）待移交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规划一号路（含苎麻墩路绿化）</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1301.3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810.00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绕城东线</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55528.0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1740</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1200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天荒坪北路（广济桥至古鄣路）</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6429.9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雾山寺管理处</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3302.5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37</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天鹅湾公园1</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28558.0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天鹅湾公园2</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33102.0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798</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307</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天鹅湾公园3待移交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13598.00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335</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143</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林语香溪南侧绿化</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1670.0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南北庄互通沿线绿化待移交</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89000.00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1680</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1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省道阳光茶厂至垃圾场段临时苗圃</w:t>
            </w:r>
          </w:p>
        </w:tc>
        <w:tc>
          <w:tcPr>
            <w:tcW w:w="53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11507.0 </w:t>
            </w: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2900</w:t>
            </w:r>
          </w:p>
        </w:tc>
        <w:tc>
          <w:tcPr>
            <w:tcW w:w="5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3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53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407162.06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1590.00 </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8992</w:t>
            </w:r>
          </w:p>
        </w:tc>
        <w:tc>
          <w:tcPr>
            <w:tcW w:w="6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7654</w:t>
            </w:r>
          </w:p>
        </w:tc>
        <w:tc>
          <w:tcPr>
            <w:tcW w:w="5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r>
    </w:tbl>
    <w:p>
      <w:pPr>
        <w:pStyle w:val="2"/>
      </w:pPr>
    </w:p>
    <w:p>
      <w:pPr>
        <w:pStyle w:val="2"/>
      </w:pPr>
    </w:p>
    <w:p/>
    <w:p>
      <w:pPr>
        <w:pStyle w:val="2"/>
      </w:pPr>
    </w:p>
    <w:bookmarkEnd w:id="38"/>
    <w:bookmarkEnd w:id="39"/>
    <w:bookmarkEnd w:id="40"/>
    <w:bookmarkEnd w:id="41"/>
    <w:p>
      <w:pPr>
        <w:spacing w:line="400" w:lineRule="exact"/>
        <w:ind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3、标段范围图（见公告附件）</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三、养护服务技术要求</w:t>
      </w:r>
    </w:p>
    <w:p>
      <w:pPr>
        <w:pStyle w:val="24"/>
        <w:numPr>
          <w:ilvl w:val="0"/>
          <w:numId w:val="8"/>
        </w:numPr>
        <w:snapToGrid w:val="0"/>
        <w:spacing w:before="0" w:beforeAutospacing="0" w:after="0" w:afterAutospacing="0" w:line="360" w:lineRule="exact"/>
        <w:ind w:left="-62" w:firstLine="422"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总则</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参照《安吉县城区绿地养护（花卉）管理考核办法(试行)》及其附件一《安吉县城区绿地养护质量标准(试行）》、附件二《安吉县城区绿地养护管理综合考核评分细则(试行）》、附件三《安吉县城区花坛、花境建设养护管理及考核办法（试行）》、附件四《安吉县城区绿化灾害性天气应急预案(试行）》、附件五《安吉县园林绿化养护安全生产、文明作业规范(试行）》，制定《递铺街道绿化养护管理考核办法》，中标人应遵照执行。</w:t>
      </w:r>
    </w:p>
    <w:p>
      <w:pPr>
        <w:pStyle w:val="24"/>
        <w:numPr>
          <w:ilvl w:val="0"/>
          <w:numId w:val="8"/>
        </w:numPr>
        <w:snapToGrid w:val="0"/>
        <w:spacing w:before="0" w:beforeAutospacing="0" w:after="0" w:afterAutospacing="0" w:line="360" w:lineRule="exact"/>
        <w:ind w:left="-62" w:firstLine="422"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公园绿地（绿化节点）养护标准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  总体标准：指公园绿地养护的整体质量，内容有植物养护、树木存活率、设施维护、土肥标准、病虫害防治标准、卫生标准及管理标准。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  植物养护标准：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2.1.1.1  根据设计意图，养护要重视和体现植物造景，对植物群落进行合理养护，使植物季相分明，色彩丰富，生长茂盛，营造优美植物景观。</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2.1.1.2  随着植物生长的各个阶段，应不断进行调整与充实，使植物群落完整，层次丰富，四季有花，黄土不裸露，保持叶面清洁，有整体观赏效果。</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2.1.1.3  花卉面积（含宿根花卉）不低于5%。</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2.1.1.4  树木及时修剪，无徒长枝、病虫枝、过密枝、枯枝、伤损枝；宿根植物及时翻种、断根、间删；植物无死株。</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2.1.1.5  草坪生长茂盛，无空秃，无明显杂草，草坪边缘线清晰（及时切边），草高不超过8厘米。</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2.1.1.6  棚架、假山及垂直绿化管护合理，达到正常生长量。</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2.1.2  树木成活率标准：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树木成活率98%以上；树木保存率100%。</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  设施维护标准：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2.1.3.1  绿地附属设施完好、分布合理、放置整齐、保持清洁。</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2.1.3.2  园路、铺装地坪平整，无大面积破损、无积水、无淤泥。</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2.1.3.3  亭、廊及其它园林建筑保持安全，及时修缮，维护良好。</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2.1.3.4  金属构件设施无明显锈斑、油漆剥落现象。</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2.1.3.5  供水、供电、排水、喷灌等管网设施维护良好。</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2.1.3.6  指示牌、禁令牌、宣传牌放置合理，醒目、完善、规范。</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2.1.4  土肥标准：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土壤疏松，无积水，根据植物生长特性及时施肥，充分利用有机肥，也可施复合肥，增强土壤肥力（要求一年施肥二次，每次用腐熟豆饼0.5kg／m2），改善土壤理化性状。</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2.1.5  病虫害防治标准：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提倡综合防治，以防为主。病虫害危害应控制在以不影响观赏效果的范围之内。其中食叶性害虫危害的叶片，每株不超过5%；刺吸性害虫危害的叶片，每株不超过10%；无蛀干性害虫的活虫、活卵。</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2.1.6  卫生标准：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2.1.6.1  绿地整洁，地面卫生，无垃圾杂物，墙面无涂刻、无招贴。</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2.1.6.2  绿地内水体整洁卫生、无漂浮杂物、无杂生水生植物。</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2.1.6.3  垃圾日产日清，无卫生死角。</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2.1.7  管理标准：</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2.1.7.1  绿地管理制度全面落实，档案资料完整、详尽，工作人员统一着装，挂牌上岗。</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2.1.7.2  无违章占绿、无违法建设。</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2.1.7.3  秩序良好，无乱堆乱放、晾晒衣物现象。</w:t>
      </w:r>
    </w:p>
    <w:p>
      <w:pPr>
        <w:pStyle w:val="24"/>
        <w:numPr>
          <w:ilvl w:val="0"/>
          <w:numId w:val="0"/>
        </w:numPr>
        <w:snapToGrid w:val="0"/>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2.2  时花花坛的养护标准：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2.2.1  布置效果：</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按设计精心养护，有全年用花计划，做到四季有花，花期整齐，图案美观，布置效果良好。</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2.2.2  花卉生长：</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花卉植株生长健壮，花色艳丽，始花期方可上花坛种植，株行距适宜，不露底土。无缺株倒伏，无枯枝残花，无杂草垃圾。</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2.3  常绿草草坪的养护标准：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2.3.1  整体效果：</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草种基本纯正，生长茂盛，有一定厚度，草根不裸露；草坪无明显枯黄现象，草高不超过6cm；草坪边缘线清晰。</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2.3.2  养护要求：</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草坪基本无杂草、无空秃，护栏等防护设施完好美观；草坪保持整洁，不得有石块、果壳纸屑及其它垃圾。</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2.4   具体养护标准：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180"/>
        <w:gridCol w:w="450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99"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分级标准类别</w:t>
            </w:r>
          </w:p>
        </w:tc>
        <w:tc>
          <w:tcPr>
            <w:tcW w:w="318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一级标准</w:t>
            </w:r>
          </w:p>
        </w:tc>
        <w:tc>
          <w:tcPr>
            <w:tcW w:w="450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二级标准</w:t>
            </w:r>
          </w:p>
        </w:tc>
        <w:tc>
          <w:tcPr>
            <w:tcW w:w="417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99"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植物</w:t>
            </w: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生长势旺盛。</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生长势好。</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生长势一般。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99"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树形完美。</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树形良好。</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基本保持树形。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9"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杂草控制</w:t>
            </w: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基本无杂草。</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无大型和缠绕性、攀缘性杂草。另星区域的杂草控制在5CM以下。</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藤类杂草及大型杂草应予清除。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9"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病虫害控制</w:t>
            </w: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食叶性害虫危害的叶片每株小于5%。</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食叶性害虫危害的叶片每株小于10%。</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食叶性害虫危害的叶片每株小于15%。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99"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刺吸性害虫危害的叶片每株小于10%。</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刺吸性害虫危害的叶片每株小于20%。</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刺吸性害虫危害的叶片每株小于30%。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99"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无蛀干性害虫危害。</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蛀干性害虫危害率小于5%。</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蛀干性害虫危害率小10%。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时花花坛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时花种植不含在本项目合同金额内</w:t>
            </w:r>
            <w:r>
              <w:rPr>
                <w:rFonts w:hint="eastAsia" w:ascii="宋体" w:hAnsi="宋体" w:eastAsia="宋体" w:cs="宋体"/>
                <w:sz w:val="21"/>
                <w:szCs w:val="21"/>
                <w:highlight w:val="none"/>
                <w:lang w:eastAsia="zh-CN"/>
              </w:rPr>
              <w:t>）</w:t>
            </w:r>
          </w:p>
        </w:tc>
        <w:tc>
          <w:tcPr>
            <w:tcW w:w="318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月月有花，花期整齐，图案美观。</w:t>
            </w:r>
          </w:p>
        </w:tc>
        <w:tc>
          <w:tcPr>
            <w:tcW w:w="450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四季有花，花期整齐，整体效果好。</w:t>
            </w:r>
          </w:p>
        </w:tc>
        <w:tc>
          <w:tcPr>
            <w:tcW w:w="4170" w:type="dxa"/>
            <w:noWrap w:val="0"/>
            <w:vAlign w:val="top"/>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适时开花，有整体色彩效果。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草坪</w:t>
            </w: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草种纯正，无空秃.草高不得超过8CM，常绿草高不得超6CM，生长季节不枯黄。</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草种基本纯，草坪覆盖率应大于95%，中心区不得有空秃现象。草高不得超过8CM，常绿草高不得超过6CM。</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草种基本纯，草坪覆盖率应大于90%，中心区不得有空秃现象。草高不得超过10CM。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99"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设施、卫生</w:t>
            </w:r>
          </w:p>
        </w:tc>
        <w:tc>
          <w:tcPr>
            <w:tcW w:w="318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完好，无损，整洁。</w:t>
            </w:r>
          </w:p>
        </w:tc>
        <w:tc>
          <w:tcPr>
            <w:tcW w:w="450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基本完好，整洁。</w:t>
            </w:r>
          </w:p>
        </w:tc>
        <w:tc>
          <w:tcPr>
            <w:tcW w:w="4170" w:type="dxa"/>
            <w:noWrap w:val="0"/>
            <w:vAlign w:val="center"/>
          </w:tcPr>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有必要设施，无沉积垃圾</w:t>
            </w:r>
          </w:p>
        </w:tc>
      </w:tr>
    </w:tbl>
    <w:p>
      <w:pPr>
        <w:pStyle w:val="24"/>
        <w:numPr>
          <w:ilvl w:val="0"/>
          <w:numId w:val="8"/>
        </w:numPr>
        <w:snapToGrid w:val="0"/>
        <w:spacing w:before="0" w:beforeAutospacing="0" w:after="0" w:afterAutospacing="0" w:line="360" w:lineRule="exact"/>
        <w:ind w:left="-62" w:firstLine="422"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行道树养护标准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  总体标准：指行道树养护的整体质量，内容有养护质量、树木存活率、设施维护、土肥标准、病虫害防治标准及管理标准。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  养护质量：</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3.1.1.1  植株树冠丰满、完整、茂盛，骨架均匀、树干挺直，具有一定的遮荫及观赏效果。叶片正常，在正常条件下不黄叶，不焦叶，不卷叶，不落叶。</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3.1.1.2  植株无徒长枝、病虫枝、过密枝、并生枝、交叉枝、下垂枝、枯枝、伤损枝、碰线枝；及时抹芽，主干及一级枝不定芽不超过15cm；对倾斜老树要控制倾斜度，并逐渐扶正。</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3.1.1.3  行道树要有群体特色效果，选用的品种、规格相对统一，补植树品种、规格（树高一致，胸径误差≤20%）也应保持一致，树冠必须保留骨架（3--4根一级主枝）</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3.1.1.4  有防台措施，对危树及时采取修枝、加固或申报更换等措施，遇灾害性天气及时组织进行抢扶。</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3.1.2  树木存活率：</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行道树存活率98%以上，（新栽移交的行道树存活率95%以上）行道树保存率100%。无死株、无缺株。</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3.1.3  设施维护：</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3.1.3.1  树穴有侧石，有平整盖板或种植地被植物，黄土不裸露。</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3.1.3.2  树木支撑规范、统一，无断桩、坏桩，桩位扎缚规范化。</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3.1.4  土肥标准：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栽培基质应具有一定的透水、透气、保肥能力；每年冬季施有机肥一次，每次用腐熟豆饼１公斤／株；石砾含量中，其粒径≤5cm,含量≤10%；PH值为6.0—7.8之间；有效土层(长、宽、深)≥100cm；有机质含量≥25g/kg。</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3.1.5  病虫害防治标准: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基本无病虫害危害迹象。</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3.1.6  管理标准：</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3.1.6.1  树穴无杂草、垃圾和其它杂物，树干无钉子、铁丝等破坏树木生长的东西。</w:t>
      </w:r>
    </w:p>
    <w:p>
      <w:pPr>
        <w:pStyle w:val="24"/>
        <w:numPr>
          <w:ilvl w:val="0"/>
          <w:numId w:val="0"/>
        </w:numPr>
        <w:snapToGrid/>
        <w:spacing w:before="0" w:beforeAutospacing="0" w:after="0" w:afterAutospacing="0" w:line="240" w:lineRule="auto"/>
        <w:ind w:left="0" w:leftChars="0"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3.1.6.2  管理制度全面落实，档案资料完整、详尽，对行道树的基础资料、变更情况及时记录入档；工作人员统一着装，挂牌上岗。</w:t>
      </w:r>
    </w:p>
    <w:p>
      <w:pPr>
        <w:pStyle w:val="24"/>
        <w:snapToGrid w:val="0"/>
        <w:spacing w:beforeAutospacing="0" w:afterAutospacing="0" w:line="360" w:lineRule="exact"/>
        <w:ind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3.2  具体养护标准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3709"/>
        <w:gridCol w:w="40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分级标准类别 </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一级标准</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二级标准 </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生长势</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好</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正常</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叶片</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健壮，在正常条件下不黄叶，不焦叶，不卷叶，不落叶。</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正常，较严重黄叶，焦叶，卷叶的株数在2%以下。</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基本正常，较严重黄叶，焦叶，卷叶的株数在10%以下。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枝干</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健壮，无明显枯枝死杈。</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正常，无明显枯枝死杈。</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树冠</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完整美观，分枝点合适。内膛不乱，通风透光。</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基本完整，主侧枝分布均匀，通风透光。</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90%以上的树冠基本完整，有绿化效果。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病虫害控制</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基本无病虫害危害。食叶害虫危害的叶片每株不超过5%，刺吸性害虫危害的叶片每株不超过10%，无蛀干性害虫的活虫，活卵。</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病虫害危害未达到明显程度。食叶害虫危害的叶片每株不超过10%，刺吸性害虫危害的叶片每株不超过15%，蛀干性害虫危害的株数在2%以下。</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有病虫害控制措施。食叶害虫危害的叶片每株不超过20%，刺吸性害虫危害的叶片每株不超过25%，蛀干性害虫危害的株数在5%以下。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树穴</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有侧石，有平整盖板或种植地被植物，黄土不裸露。</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有平整盖板或种植地被植物，黄土不裸露。</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有较完整的覆盖。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其他</w:t>
            </w:r>
          </w:p>
        </w:tc>
        <w:tc>
          <w:tcPr>
            <w:tcW w:w="3709"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无断桩，坏桩，桩位扎缚规范。有防台措施。</w:t>
            </w:r>
          </w:p>
        </w:tc>
        <w:tc>
          <w:tcPr>
            <w:tcW w:w="405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基本无断桩，坏桩，桩位扎缚有效。</w:t>
            </w:r>
          </w:p>
        </w:tc>
        <w:tc>
          <w:tcPr>
            <w:tcW w:w="4410" w:type="dxa"/>
            <w:noWrap w:val="0"/>
            <w:vAlign w:val="top"/>
          </w:tcPr>
          <w:p>
            <w:pPr>
              <w:pStyle w:val="24"/>
              <w:snapToGrid w:val="0"/>
              <w:spacing w:beforeAutospacing="0" w:afterAutospacing="0" w:line="36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有一定的防台措施。 有一定的防台措施。</w:t>
            </w:r>
          </w:p>
        </w:tc>
      </w:tr>
    </w:tbl>
    <w:p>
      <w:pPr>
        <w:pStyle w:val="24"/>
        <w:snapToGrid w:val="0"/>
        <w:spacing w:beforeAutospacing="0" w:afterAutospacing="0" w:line="360" w:lineRule="exact"/>
        <w:jc w:val="both"/>
        <w:rPr>
          <w:rFonts w:hint="eastAsia" w:ascii="微软雅黑" w:hAnsi="微软雅黑" w:eastAsia="微软雅黑"/>
          <w:sz w:val="21"/>
          <w:szCs w:val="21"/>
          <w:highlight w:val="none"/>
        </w:rPr>
      </w:pPr>
      <w:r>
        <w:rPr>
          <w:rFonts w:hint="eastAsia" w:ascii="宋体" w:hAnsi="宋体" w:eastAsia="宋体" w:cs="宋体"/>
          <w:sz w:val="21"/>
          <w:szCs w:val="21"/>
          <w:highlight w:val="none"/>
        </w:rPr>
        <w:t xml:space="preserve">      3.3 胸径</w:t>
      </w:r>
      <w:r>
        <w:rPr>
          <w:rFonts w:hint="eastAsia" w:eastAsia="宋体" w:cs="宋体"/>
          <w:sz w:val="21"/>
          <w:szCs w:val="21"/>
          <w:highlight w:val="none"/>
          <w:lang w:val="en-US" w:eastAsia="zh-CN"/>
        </w:rPr>
        <w:t>15</w:t>
      </w:r>
      <w:r>
        <w:rPr>
          <w:rFonts w:hint="eastAsia" w:ascii="宋体" w:hAnsi="宋体" w:eastAsia="宋体" w:cs="宋体"/>
          <w:sz w:val="21"/>
          <w:szCs w:val="21"/>
          <w:highlight w:val="none"/>
        </w:rPr>
        <w:t>CM以上</w:t>
      </w:r>
      <w:r>
        <w:rPr>
          <w:rFonts w:hint="eastAsia" w:eastAsia="宋体" w:cs="宋体"/>
          <w:sz w:val="21"/>
          <w:szCs w:val="21"/>
          <w:highlight w:val="none"/>
          <w:lang w:eastAsia="zh-CN"/>
        </w:rPr>
        <w:t>（含</w:t>
      </w:r>
      <w:r>
        <w:rPr>
          <w:rFonts w:hint="eastAsia" w:eastAsia="宋体" w:cs="宋体"/>
          <w:sz w:val="21"/>
          <w:szCs w:val="21"/>
          <w:highlight w:val="none"/>
          <w:lang w:val="en-US" w:eastAsia="zh-CN"/>
        </w:rPr>
        <w:t>15</w:t>
      </w:r>
      <w:r>
        <w:rPr>
          <w:rFonts w:hint="eastAsia" w:ascii="宋体" w:hAnsi="宋体" w:eastAsia="宋体" w:cs="宋体"/>
          <w:sz w:val="21"/>
          <w:szCs w:val="21"/>
          <w:highlight w:val="none"/>
        </w:rPr>
        <w:t>CM</w:t>
      </w:r>
      <w:r>
        <w:rPr>
          <w:rFonts w:hint="eastAsia" w:eastAsia="宋体" w:cs="宋体"/>
          <w:sz w:val="21"/>
          <w:szCs w:val="21"/>
          <w:highlight w:val="none"/>
          <w:lang w:eastAsia="zh-CN"/>
        </w:rPr>
        <w:t>）</w:t>
      </w:r>
      <w:r>
        <w:rPr>
          <w:rFonts w:hint="eastAsia" w:ascii="宋体" w:hAnsi="宋体" w:eastAsia="宋体" w:cs="宋体"/>
          <w:sz w:val="21"/>
          <w:szCs w:val="21"/>
          <w:highlight w:val="none"/>
        </w:rPr>
        <w:t>的行道树要求达到一级养护标准，胸径</w:t>
      </w:r>
      <w:r>
        <w:rPr>
          <w:rFonts w:hint="eastAsia" w:eastAsia="宋体" w:cs="宋体"/>
          <w:sz w:val="21"/>
          <w:szCs w:val="21"/>
          <w:highlight w:val="none"/>
          <w:lang w:val="en-US" w:eastAsia="zh-CN"/>
        </w:rPr>
        <w:t>15</w:t>
      </w:r>
      <w:r>
        <w:rPr>
          <w:rFonts w:hint="eastAsia" w:ascii="宋体" w:hAnsi="宋体" w:eastAsia="宋体" w:cs="宋体"/>
          <w:sz w:val="21"/>
          <w:szCs w:val="21"/>
          <w:highlight w:val="none"/>
        </w:rPr>
        <w:t>CM以下的行道树要求达到二级以上养护标准。</w:t>
      </w:r>
    </w:p>
    <w:p>
      <w:pPr>
        <w:pStyle w:val="24"/>
        <w:numPr>
          <w:ilvl w:val="0"/>
          <w:numId w:val="8"/>
        </w:numPr>
        <w:snapToGrid w:val="0"/>
        <w:spacing w:before="0" w:beforeAutospacing="0" w:after="0" w:afterAutospacing="0" w:line="360" w:lineRule="exact"/>
        <w:ind w:left="-62" w:firstLine="422"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道路绿化带（包括护栏挂箱）养护标准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4.1  总体标准：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指道路绿化带养护的整体质量，内容有养护质量、树木存活率、设施维护、土肥标准、病虫害防治标准及管理标准。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4.1.1  植物养护标准：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按道路绿化带的立地条件，对植物进行特殊养护、精心养护，使植物健康生长，具有良好的道路景观。 </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4.1.2  树木种植成活率标准：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树木成活率在98%以上（新栽移交成活率达95%以上），保存率100%。无缺株、死株。</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4.1.3  土肥标准：</w:t>
      </w:r>
    </w:p>
    <w:p>
      <w:pPr>
        <w:pStyle w:val="24"/>
        <w:snapToGrid w:val="0"/>
        <w:spacing w:beforeAutospacing="0" w:afterAutospacing="0" w:line="360" w:lineRule="exact"/>
        <w:ind w:left="0" w:leftChars="0"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土壤疏松，无积水，种植土低于容器（或侧石）上沿3cm；充分利用有机肥，也可用复合肥，增强土壤肥力（要求一年施肥二次，每次用腐熟豆饼0.5kg／m2），其理化性状应符合下列规定：PH值为6.7—7.5之间；石砾粒径≤5cm（高架挂箱石砾粒径≤2cm），含量≤8%（W/W）；有机质含量≥25g/kg。</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4.1.4  病虫害防治标准：</w:t>
      </w:r>
    </w:p>
    <w:p>
      <w:pPr>
        <w:pStyle w:val="24"/>
        <w:snapToGrid w:val="0"/>
        <w:spacing w:beforeAutospacing="0" w:afterAutospacing="0" w:line="360" w:lineRule="exact"/>
        <w:ind w:left="420" w:leftChars="200" w:firstLine="0" w:firstLineChars="0"/>
        <w:rPr>
          <w:rFonts w:hint="eastAsia"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提倡综合防治，病虫害应控制在以不影响观赏效果的危害程度之内</w:t>
      </w:r>
      <w:r>
        <w:rPr>
          <w:rFonts w:hint="eastAsia" w:eastAsia="宋体" w:cs="宋体"/>
          <w:b w:val="0"/>
          <w:bCs/>
          <w:sz w:val="21"/>
          <w:szCs w:val="21"/>
          <w:highlight w:val="none"/>
          <w:lang w:val="en-US" w:eastAsia="zh-CN"/>
        </w:rPr>
        <w:t>。</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  道路绿化带的具体养管标准。</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  道路绿化带景观要求。</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4.2.1.1  采用修剪等特殊手法，控制植物高度，植物高度不得影响交通视线。</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4.2.1.2  特殊地段的景观应按设计精心养护，形成有特色的植物景观。整形植物必须及时修剪保持形态，悬垂植物生长健壮，整体效果好。</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4.2.1.3  花卉花期整齐，株行距适宜，无空秃、色彩效果好。</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4.2.1.4  绿带必须无裸地，可种植地被植物或草坪。</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4.2.1.5  绿带内无枯枝残叶、无杂草，整洁无垃圾；植物叶面无陈旧积尘。</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4.2.1.6  辅助设施（包括支撑物和悬挂容器）必须安全、完好、整洁、美观。</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4.2.1.7  道路绿化带冬季浇水应注意不要让水溢出，避免造成路面结冰。</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4.2.2  道路绿化带养护作业必须穿着有反光条的工作服，做到文明作业，尽量减少对行车的干扰。</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5.1 总体标准：</w:t>
      </w:r>
    </w:p>
    <w:p>
      <w:pPr>
        <w:pStyle w:val="24"/>
        <w:snapToGrid w:val="0"/>
        <w:spacing w:beforeAutospacing="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指</w:t>
      </w:r>
      <w:r>
        <w:rPr>
          <w:rFonts w:hint="eastAsia" w:eastAsia="宋体" w:cs="宋体"/>
          <w:b w:val="0"/>
          <w:bCs/>
          <w:sz w:val="21"/>
          <w:szCs w:val="21"/>
          <w:highlight w:val="none"/>
          <w:lang w:val="en-US" w:eastAsia="zh-CN"/>
        </w:rPr>
        <w:t>绿地</w:t>
      </w:r>
      <w:r>
        <w:rPr>
          <w:rFonts w:hint="eastAsia" w:ascii="宋体" w:hAnsi="宋体" w:eastAsia="宋体" w:cs="宋体"/>
          <w:b w:val="0"/>
          <w:bCs/>
          <w:sz w:val="21"/>
          <w:szCs w:val="21"/>
          <w:highlight w:val="none"/>
          <w:lang w:val="en-US" w:eastAsia="zh-CN"/>
        </w:rPr>
        <w:t>绿化养护的整体质量，内容有植物养护、树木存活率、病虫害防治标准及管理标准。</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5.1.1 植物养护标准：</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5.1.1.1 根据设计意图，按植物生态特性：喜阳、耐阴、耐旱、喜湿等分别养护，做到季相分明，群落完整。</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5.1.1.2 植物生长健壮正常，全年有绿化效果，无枯枝烂头、无死树。应有30%面积种植养管粗放的地被植物。没有地被植物的区域内杂草高度不超过30cm，绿地内藤类杂草应予清除。</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 xml:space="preserve">5.1.1.3 每年施冬肥（有机肥）一次。 </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 xml:space="preserve">5.1.2 树木存活率：当年新栽植物成活率达85%以上，保存率95%以上，无缺株、死株。 </w:t>
      </w:r>
    </w:p>
    <w:p>
      <w:pPr>
        <w:pStyle w:val="24"/>
        <w:snapToGrid w:val="0"/>
        <w:spacing w:beforeAutospacing="0" w:afterAutospacing="0" w:line="360" w:lineRule="exact"/>
        <w:ind w:left="420" w:leftChars="200" w:firstLine="0" w:firstLineChars="0"/>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 xml:space="preserve">5.1.3 病虫害防治标准：提倡综合防治，病虫害应控制在以不影响观赏效果的危害程度之内。 </w:t>
      </w:r>
    </w:p>
    <w:p>
      <w:pPr>
        <w:pStyle w:val="24"/>
        <w:snapToGrid w:val="0"/>
        <w:spacing w:beforeAutospacing="0" w:afterAutospacing="0" w:line="360" w:lineRule="exact"/>
        <w:ind w:left="420" w:leftChars="200" w:firstLine="0" w:firstLineChars="0"/>
        <w:rPr>
          <w:rFonts w:hint="eastAsia"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5.1.4 管理标准:有必要设施，无沉积垃圾。</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bookmarkStart w:id="42" w:name="_Toc29157"/>
      <w:r>
        <w:rPr>
          <w:rFonts w:hint="eastAsia" w:ascii="宋体" w:hAnsi="宋体" w:eastAsia="宋体" w:cs="宋体"/>
          <w:b/>
          <w:bCs/>
          <w:kern w:val="2"/>
          <w:sz w:val="21"/>
          <w:szCs w:val="21"/>
          <w:lang w:val="en-US" w:eastAsia="zh-CN" w:bidi="ar-SA"/>
        </w:rPr>
        <w:t>四、考核管理办法及实施细则</w:t>
      </w:r>
      <w:bookmarkEnd w:id="42"/>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eastAsia="宋体" w:cs="宋体"/>
          <w:b w:val="0"/>
          <w:bCs/>
          <w:sz w:val="21"/>
          <w:szCs w:val="21"/>
          <w:highlight w:val="none"/>
          <w:lang w:val="en-US" w:eastAsia="zh-CN"/>
        </w:rPr>
        <w:t>1、考核采取绿化养护企业日上报，属地管理处日巡查及不定期巡查、街道月考核、领导评价及公众媒体督办相结合的方式</w:t>
      </w:r>
      <w:r>
        <w:rPr>
          <w:rFonts w:hint="eastAsia" w:ascii="宋体" w:hAnsi="宋体" w:eastAsia="宋体" w:cs="宋体"/>
          <w:b w:val="0"/>
          <w:bCs/>
          <w:sz w:val="21"/>
          <w:szCs w:val="21"/>
          <w:highlight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Times New Roman" w:hAnsi="Times New Roman" w:eastAsia="宋体" w:cs="宋体"/>
          <w:b w:val="0"/>
          <w:bCs/>
          <w:sz w:val="21"/>
          <w:szCs w:val="21"/>
          <w:highlight w:val="none"/>
          <w:lang w:val="en-US" w:eastAsia="zh-CN"/>
        </w:rPr>
      </w:pPr>
      <w:r>
        <w:rPr>
          <w:rFonts w:hint="eastAsia" w:ascii="Times New Roman" w:hAnsi="Times New Roman" w:eastAsia="宋体" w:cs="宋体"/>
          <w:b w:val="0"/>
          <w:bCs/>
          <w:sz w:val="21"/>
          <w:szCs w:val="21"/>
          <w:highlight w:val="none"/>
          <w:lang w:val="en-US" w:eastAsia="zh-CN"/>
        </w:rPr>
        <w:t>2、属地</w:t>
      </w:r>
      <w:r>
        <w:rPr>
          <w:rFonts w:hint="eastAsia" w:ascii="Times New Roman" w:hAnsi="Times New Roman" w:eastAsia="宋体" w:cs="宋体"/>
          <w:b w:val="0"/>
          <w:bCs/>
          <w:spacing w:val="0"/>
          <w:kern w:val="0"/>
          <w:sz w:val="21"/>
          <w:szCs w:val="21"/>
          <w:highlight w:val="none"/>
          <w:lang w:val="en-US" w:eastAsia="zh-CN"/>
        </w:rPr>
        <w:t>管理处同</w:t>
      </w:r>
      <w:r>
        <w:rPr>
          <w:rFonts w:hint="eastAsia" w:eastAsia="宋体" w:cs="宋体"/>
          <w:b w:val="0"/>
          <w:bCs/>
          <w:sz w:val="21"/>
          <w:szCs w:val="21"/>
          <w:highlight w:val="none"/>
          <w:lang w:val="en-US" w:eastAsia="zh-CN"/>
        </w:rPr>
        <w:t>街道</w:t>
      </w:r>
      <w:r>
        <w:rPr>
          <w:rFonts w:hint="eastAsia" w:ascii="Times New Roman" w:hAnsi="Times New Roman" w:eastAsia="宋体" w:cs="宋体"/>
          <w:b w:val="0"/>
          <w:bCs/>
          <w:spacing w:val="0"/>
          <w:kern w:val="0"/>
          <w:sz w:val="21"/>
          <w:szCs w:val="21"/>
          <w:highlight w:val="none"/>
          <w:lang w:val="en-US" w:eastAsia="zh-CN"/>
        </w:rPr>
        <w:t>管理科室当月不定期进行抽查考核，当月绿化考核通报报管理</w:t>
      </w:r>
      <w:r>
        <w:rPr>
          <w:rFonts w:hint="eastAsia" w:cs="宋体"/>
          <w:b w:val="0"/>
          <w:bCs/>
          <w:spacing w:val="0"/>
          <w:kern w:val="0"/>
          <w:sz w:val="21"/>
          <w:szCs w:val="21"/>
          <w:highlight w:val="none"/>
          <w:lang w:val="en-US" w:eastAsia="zh-CN"/>
        </w:rPr>
        <w:t>科室及</w:t>
      </w:r>
      <w:r>
        <w:rPr>
          <w:rFonts w:hint="eastAsia" w:ascii="Times New Roman" w:hAnsi="Times New Roman" w:eastAsia="宋体" w:cs="宋体"/>
          <w:b w:val="0"/>
          <w:bCs/>
          <w:spacing w:val="0"/>
          <w:kern w:val="0"/>
          <w:sz w:val="21"/>
          <w:szCs w:val="21"/>
          <w:highlight w:val="none"/>
          <w:lang w:val="en-US" w:eastAsia="zh-CN"/>
        </w:rPr>
        <w:t>分管领导签字确认后予以通报，经费按季度支付后，管理处将支付面单复印件上报至管理科室备案。</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eastAsia="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绿化养护企业对本项目养护的绿地进行每日巡查全覆盖，并对所养护绿地内发生、发现的问题进行上报，月末统计养护企业的工作量，即为养护企业日上报数据。</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养护企业日上报记录应包括安全生产措施、养护方案等，以文字和照片形式体现。</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eastAsia="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属地管理处管理人员对自己所管理的绿地进行日全覆盖巡查，发现问题反馈至该绿化养护企业进行整改。月末统计本月巡查问题数量、结案数量、结案率，即为管理处巡查数据。</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巡查考核计分应依据《递铺街道绿地养护管理综合考核评分细则(试行）》执行。</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宋体" w:hAnsi="宋体" w:eastAsia="宋体" w:cs="宋体"/>
          <w:b w:val="0"/>
          <w:bCs/>
          <w:sz w:val="21"/>
          <w:szCs w:val="21"/>
          <w:highlight w:val="none"/>
          <w:lang w:val="en-US" w:eastAsia="zh-CN"/>
        </w:rPr>
      </w:pPr>
      <w:r>
        <w:rPr>
          <w:rFonts w:hint="eastAsia" w:eastAsia="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考核办依据《递铺街道绿地养护质量标准(试行）》，对所有绿地进行月全覆盖巡查，发现问题反馈至该绿化养护企业，直接记录。于月末统计本月巡查问题数量即为考核办巡查数据。</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巡查考核计分应依据《递铺街道绿地养护管理综合考核评分细则(试行）》执行</w:t>
      </w:r>
      <w:r>
        <w:rPr>
          <w:rFonts w:hint="eastAsia" w:eastAsia="宋体" w:cs="宋体"/>
          <w:b w:val="0"/>
          <w:bCs/>
          <w:sz w:val="21"/>
          <w:szCs w:val="21"/>
          <w:highlight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default" w:ascii="宋体" w:hAnsi="宋体" w:eastAsia="宋体" w:cs="宋体"/>
          <w:b w:val="0"/>
          <w:bCs/>
          <w:sz w:val="21"/>
          <w:szCs w:val="21"/>
          <w:highlight w:val="none"/>
          <w:lang w:val="en-US" w:eastAsia="zh-CN"/>
        </w:rPr>
      </w:pPr>
      <w:r>
        <w:rPr>
          <w:rFonts w:hint="eastAsia" w:eastAsia="宋体" w:cs="宋体"/>
          <w:b w:val="0"/>
          <w:bCs/>
          <w:sz w:val="21"/>
          <w:szCs w:val="21"/>
          <w:highlight w:val="none"/>
          <w:lang w:val="en-US" w:eastAsia="zh-CN"/>
        </w:rPr>
        <w:t xml:space="preserve">    6、</w:t>
      </w:r>
      <w:r>
        <w:rPr>
          <w:rFonts w:hint="eastAsia" w:ascii="宋体" w:hAnsi="宋体" w:eastAsia="宋体" w:cs="宋体"/>
          <w:b w:val="0"/>
          <w:bCs/>
          <w:sz w:val="21"/>
          <w:szCs w:val="21"/>
          <w:highlight w:val="none"/>
          <w:lang w:val="en-US" w:eastAsia="zh-CN"/>
        </w:rPr>
        <w:t>属地管理处领导和</w:t>
      </w:r>
      <w:r>
        <w:rPr>
          <w:rFonts w:hint="eastAsia" w:eastAsia="宋体" w:cs="宋体"/>
          <w:b w:val="0"/>
          <w:bCs/>
          <w:sz w:val="21"/>
          <w:szCs w:val="21"/>
          <w:highlight w:val="none"/>
          <w:lang w:val="en-US" w:eastAsia="zh-CN"/>
        </w:rPr>
        <w:t>街道分管</w:t>
      </w:r>
      <w:r>
        <w:rPr>
          <w:rFonts w:hint="eastAsia" w:ascii="宋体" w:hAnsi="宋体" w:eastAsia="宋体" w:cs="宋体"/>
          <w:b w:val="0"/>
          <w:bCs/>
          <w:sz w:val="21"/>
          <w:szCs w:val="21"/>
          <w:highlight w:val="none"/>
          <w:lang w:val="en-US" w:eastAsia="zh-CN"/>
        </w:rPr>
        <w:t>领导对养护企业当月的评价分值计入各养护企业当月的考核成绩，根据养护企业服务质量进行评分，属地管理处领导2分、街道分管领导3分。</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7、公众媒体督办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color w:val="000000"/>
          <w:sz w:val="28"/>
          <w:szCs w:val="28"/>
          <w:highlight w:val="none"/>
          <w:lang w:val="en-US" w:eastAsia="zh-CN"/>
        </w:rPr>
      </w:pPr>
      <w:r>
        <w:rPr>
          <w:rFonts w:hint="eastAsia" w:ascii="宋体" w:hAnsi="宋体" w:eastAsia="宋体" w:cs="宋体"/>
          <w:b w:val="0"/>
          <w:bCs/>
          <w:sz w:val="21"/>
          <w:szCs w:val="21"/>
          <w:highlight w:val="none"/>
          <w:lang w:val="en-US" w:eastAsia="zh-CN"/>
        </w:rPr>
        <w:t>当月网站、新闻媒体、信访等批评及表扬意见等，每表扬一次加1分，3分封顶；每批评一次扣1分，扣完3分为止，即为公众媒体督办月度分值。</w:t>
      </w:r>
    </w:p>
    <w:p>
      <w:pPr>
        <w:pStyle w:val="2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8、考核细则</w:t>
      </w:r>
    </w:p>
    <w:p>
      <w:pPr>
        <w:pStyle w:val="24"/>
        <w:widowControl/>
        <w:spacing w:before="0" w:beforeAutospacing="0" w:after="0" w:afterAutospacing="0" w:line="360" w:lineRule="exact"/>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绿化养护管理考核总分采用百分制，领导评分和媒体督办为附加分。</w:t>
      </w:r>
    </w:p>
    <w:p>
      <w:pPr>
        <w:pStyle w:val="2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Chars="100" w:firstLine="45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Times New Roman"/>
          <w:b/>
          <w:bCs/>
          <w:spacing w:val="-8"/>
          <w:kern w:val="0"/>
          <w:sz w:val="24"/>
          <w:szCs w:val="24"/>
          <w:highlight w:val="none"/>
          <w:lang w:eastAsia="zh-CN"/>
        </w:rPr>
        <w:t>递铺街道绿地</w:t>
      </w:r>
      <w:r>
        <w:rPr>
          <w:rFonts w:hint="eastAsia" w:ascii="宋体" w:hAnsi="宋体" w:eastAsia="宋体" w:cs="Times New Roman"/>
          <w:b/>
          <w:bCs/>
          <w:spacing w:val="-8"/>
          <w:kern w:val="0"/>
          <w:sz w:val="24"/>
          <w:szCs w:val="24"/>
          <w:highlight w:val="none"/>
        </w:rPr>
        <w:t>养护管理综合考核评分细则</w:t>
      </w:r>
      <w:r>
        <w:rPr>
          <w:rFonts w:hint="eastAsia" w:ascii="宋体" w:hAnsi="宋体" w:eastAsia="宋体" w:cs="Times New Roman"/>
          <w:b/>
          <w:bCs/>
          <w:spacing w:val="-8"/>
          <w:kern w:val="0"/>
          <w:sz w:val="24"/>
          <w:szCs w:val="24"/>
          <w:highlight w:val="none"/>
          <w:lang w:eastAsia="zh-CN"/>
        </w:rPr>
        <w:t>（试行）</w:t>
      </w:r>
    </w:p>
    <w:tbl>
      <w:tblPr>
        <w:tblStyle w:val="27"/>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30"/>
        <w:gridCol w:w="922"/>
        <w:gridCol w:w="5122"/>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15" w:type="dxa"/>
        </w:trPr>
        <w:tc>
          <w:tcPr>
            <w:tcW w:w="1685"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b/>
                <w:bCs/>
                <w:spacing w:val="-8"/>
                <w:kern w:val="0"/>
                <w:sz w:val="24"/>
                <w:szCs w:val="24"/>
                <w:highlight w:val="none"/>
              </w:rPr>
              <w:t>项目</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b/>
                <w:bCs/>
                <w:spacing w:val="-8"/>
                <w:kern w:val="0"/>
                <w:sz w:val="24"/>
                <w:szCs w:val="24"/>
                <w:highlight w:val="none"/>
              </w:rPr>
              <w:t>分项</w:t>
            </w:r>
          </w:p>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b/>
                <w:bCs/>
                <w:spacing w:val="-8"/>
                <w:kern w:val="0"/>
                <w:sz w:val="24"/>
                <w:szCs w:val="24"/>
                <w:highlight w:val="none"/>
              </w:rPr>
              <w:t>编号</w:t>
            </w:r>
          </w:p>
        </w:tc>
        <w:tc>
          <w:tcPr>
            <w:tcW w:w="50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b/>
                <w:bCs/>
                <w:spacing w:val="-8"/>
                <w:kern w:val="0"/>
                <w:sz w:val="24"/>
                <w:szCs w:val="24"/>
                <w:highlight w:val="none"/>
              </w:rPr>
              <w:t>分项标准</w:t>
            </w:r>
          </w:p>
        </w:tc>
        <w:tc>
          <w:tcPr>
            <w:tcW w:w="6019"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b/>
                <w:bCs/>
                <w:spacing w:val="-8"/>
                <w:kern w:val="0"/>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tblCellSpacing w:w="15" w:type="dxa"/>
        </w:trPr>
        <w:tc>
          <w:tcPr>
            <w:tcW w:w="1685" w:type="dxa"/>
            <w:vMerge w:val="restart"/>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植物养护</w:t>
            </w:r>
          </w:p>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（40分）</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1.1</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根据设计意图体现植物造景，养护精细，生长茂盛，景观良好。(4分)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因养护不当造成植物生长不良、影响景观的，每处扣1分。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1.2</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行道树要有群体效果，选用的品种、规格相对统一，补植树木品种一致、规格也应保持一致，树冠必须保留骨架（4分）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补植行道树品种不一致、规格差别明显的,每株扣1分;补植行道树未保留骨架的,每株扣1分.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1.3</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乔木树冠完整、茂盛，树干挺直，具有一定的遮荫及观赏效果；叶片在正常条件下不黄叶，不焦叶，不卷叶，不落叶；无徒长枝、病虫枝、过密枝、枯枝、伤损枝、碰线枝；及时抹芽，对树木要控制倾斜度，并逐渐扶正。（8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树形差、长势差、缺乏观赏价值的，每株扣1分；</w:t>
            </w:r>
            <w:r>
              <w:rPr>
                <w:rFonts w:hint="eastAsia" w:ascii="宋体" w:hAnsi="宋体" w:eastAsia="宋体" w:cs="宋体"/>
                <w:kern w:val="0"/>
                <w:szCs w:val="21"/>
                <w:highlight w:val="none"/>
              </w:rPr>
              <w:t>有明显徒长枝、病虫枝、枯枝、伤损枝、碰线枝的，每处扣0.5分；</w:t>
            </w:r>
          </w:p>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主干及一级枝有不定芽，每株扣0.5分;</w:t>
            </w:r>
          </w:p>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树木倾斜明显，而不采取扶正措施的,每株扣1分.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1.4</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修剪及时，无窜枝，控制好绿篱高度，植物高度不得影响交通视线。（7分）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绿篱未及时修剪，有窜枝，每处扣1分；</w:t>
            </w:r>
          </w:p>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绿篱</w:t>
            </w:r>
            <w:r>
              <w:rPr>
                <w:rFonts w:hint="eastAsia" w:ascii="宋体" w:hAnsi="宋体" w:eastAsia="宋体" w:cs="宋体"/>
                <w:spacing w:val="-8"/>
                <w:kern w:val="0"/>
                <w:szCs w:val="21"/>
                <w:highlight w:val="none"/>
              </w:rPr>
              <w:t>植物高度过高的，每处扣1分。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1.5</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宿根花卉</w:t>
            </w:r>
            <w:r>
              <w:rPr>
                <w:rFonts w:hint="eastAsia" w:ascii="宋体" w:hAnsi="宋体" w:eastAsia="宋体" w:cs="宋体"/>
                <w:kern w:val="0"/>
                <w:szCs w:val="21"/>
                <w:highlight w:val="none"/>
              </w:rPr>
              <w:t>精心养护，图案美观，效果良好；花坛种植不露底土。无缺株倒伏，无枯枝残花，无杂草垃圾。（6分）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宿根花卉</w:t>
            </w:r>
            <w:r>
              <w:rPr>
                <w:rFonts w:hint="eastAsia" w:ascii="宋体" w:hAnsi="宋体" w:eastAsia="宋体" w:cs="宋体"/>
                <w:kern w:val="0"/>
                <w:szCs w:val="21"/>
                <w:highlight w:val="none"/>
              </w:rPr>
              <w:t>欠整齐美观的，每处扣1分；</w:t>
            </w:r>
          </w:p>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花坛</w:t>
            </w:r>
            <w:r>
              <w:rPr>
                <w:rFonts w:hint="eastAsia" w:ascii="宋体" w:hAnsi="宋体" w:eastAsia="宋体" w:cs="宋体"/>
                <w:kern w:val="0"/>
                <w:szCs w:val="21"/>
                <w:highlight w:val="none"/>
                <w:lang w:eastAsia="zh-CN"/>
              </w:rPr>
              <w:t>中</w:t>
            </w:r>
            <w:r>
              <w:rPr>
                <w:rFonts w:hint="eastAsia" w:ascii="宋体" w:hAnsi="宋体" w:eastAsia="宋体" w:cs="宋体"/>
                <w:kern w:val="0"/>
                <w:szCs w:val="21"/>
                <w:highlight w:val="none"/>
              </w:rPr>
              <w:t>露底土，每处扣1分；花卉植株生长不健壮，每处扣0.5分；</w:t>
            </w:r>
            <w:r>
              <w:rPr>
                <w:rFonts w:hint="eastAsia" w:ascii="宋体" w:hAnsi="宋体" w:eastAsia="宋体" w:cs="宋体"/>
                <w:kern w:val="0"/>
                <w:szCs w:val="21"/>
                <w:highlight w:val="none"/>
                <w:lang w:eastAsia="zh-CN"/>
              </w:rPr>
              <w:t>有</w:t>
            </w:r>
            <w:r>
              <w:rPr>
                <w:rFonts w:hint="eastAsia" w:ascii="宋体" w:hAnsi="宋体" w:eastAsia="宋体" w:cs="宋体"/>
                <w:kern w:val="0"/>
                <w:szCs w:val="21"/>
                <w:highlight w:val="none"/>
              </w:rPr>
              <w:t>杂草垃圾，每处扣1分；有缺株倒伏、枯枝残花，每处扣0.5分。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1.6</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绿地无裸露，可种植地被植物或草坪；绿地内无枯枝残叶、无杂草。（7分）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发现泥土露天的，每平方米扣0.5分，不足1平方米按1平方米计算。</w:t>
            </w:r>
            <w:r>
              <w:rPr>
                <w:rFonts w:hint="eastAsia" w:ascii="宋体" w:hAnsi="宋体" w:eastAsia="宋体" w:cs="宋体"/>
                <w:kern w:val="0"/>
                <w:szCs w:val="21"/>
                <w:highlight w:val="none"/>
              </w:rPr>
              <w:t>绿带内枯枝残叶未及时清理、有明显杂草的，每处扣</w:t>
            </w:r>
            <w:r>
              <w:rPr>
                <w:rFonts w:hint="eastAsia" w:ascii="宋体" w:hAnsi="宋体" w:eastAsia="宋体" w:cs="宋体"/>
                <w:spacing w:val="-8"/>
                <w:kern w:val="0"/>
                <w:szCs w:val="21"/>
                <w:highlight w:val="none"/>
              </w:rPr>
              <w:t>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blCellSpacing w:w="15" w:type="dxa"/>
        </w:trPr>
        <w:tc>
          <w:tcPr>
            <w:tcW w:w="1685" w:type="dxa"/>
            <w:vMerge w:val="continue"/>
            <w:noWrap w:val="0"/>
            <w:vAlign w:val="center"/>
          </w:tcPr>
          <w:p>
            <w:pPr>
              <w:widowControl/>
              <w:spacing w:line="340" w:lineRule="exact"/>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1.7</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草坪生长茂盛，无空秃，无明显杂草，草坪边缘线清晰（及时切边），草高不超过8厘米。常绿草草坪要求草种纯正，草高不超过6厘米。（4分）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常绿草草种不纯正，每处扣0.5分；</w:t>
            </w:r>
          </w:p>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草坪边缘线不清晰的，每处扣0.5分；草坪高度不符要求的，每处扣0.5分。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tblCellSpacing w:w="15" w:type="dxa"/>
        </w:trPr>
        <w:tc>
          <w:tcPr>
            <w:tcW w:w="1685" w:type="dxa"/>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植物保存率</w:t>
            </w:r>
          </w:p>
          <w:p>
            <w:pPr>
              <w:widowControl/>
              <w:spacing w:line="340" w:lineRule="exact"/>
              <w:ind w:left="107" w:right="-107" w:hanging="10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（15分）</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2.1</w:t>
            </w:r>
          </w:p>
        </w:tc>
        <w:tc>
          <w:tcPr>
            <w:tcW w:w="5092" w:type="dxa"/>
            <w:noWrap w:val="0"/>
            <w:tcMar>
              <w:top w:w="0" w:type="dxa"/>
              <w:left w:w="108" w:type="dxa"/>
              <w:bottom w:w="0" w:type="dxa"/>
              <w:right w:w="108" w:type="dxa"/>
            </w:tcMar>
            <w:vAlign w:val="top"/>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行道树保存率100%,道路绿化带保存率98%以上。无死株、无缺株。（15分）</w:t>
            </w:r>
          </w:p>
        </w:tc>
        <w:tc>
          <w:tcPr>
            <w:tcW w:w="6019" w:type="dxa"/>
            <w:noWrap w:val="0"/>
            <w:tcMar>
              <w:top w:w="0" w:type="dxa"/>
              <w:left w:w="108" w:type="dxa"/>
              <w:bottom w:w="0" w:type="dxa"/>
              <w:right w:w="108" w:type="dxa"/>
            </w:tcMar>
            <w:vAlign w:val="top"/>
          </w:tcPr>
          <w:p>
            <w:pPr>
              <w:widowControl/>
              <w:spacing w:line="340" w:lineRule="exact"/>
              <w:rPr>
                <w:rFonts w:hint="eastAsia" w:ascii="宋体" w:hAnsi="宋体" w:eastAsia="宋体" w:cs="宋体"/>
                <w:kern w:val="0"/>
                <w:szCs w:val="21"/>
                <w:highlight w:val="none"/>
              </w:rPr>
            </w:pPr>
            <w:r>
              <w:rPr>
                <w:rFonts w:hint="eastAsia" w:ascii="宋体" w:hAnsi="宋体" w:eastAsia="宋体" w:cs="宋体"/>
                <w:spacing w:val="-8"/>
                <w:kern w:val="0"/>
                <w:szCs w:val="21"/>
                <w:highlight w:val="none"/>
              </w:rPr>
              <w:t>行道树、大中型灌木有死株、缺株的，每株扣1分;小灌木明显缺、死株的，每处扣1分。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tblCellSpacing w:w="15" w:type="dxa"/>
        </w:trPr>
        <w:tc>
          <w:tcPr>
            <w:tcW w:w="1685" w:type="dxa"/>
            <w:vMerge w:val="restart"/>
            <w:noWrap w:val="0"/>
            <w:tcMar>
              <w:top w:w="0" w:type="dxa"/>
              <w:left w:w="108" w:type="dxa"/>
              <w:bottom w:w="0" w:type="dxa"/>
              <w:right w:w="108" w:type="dxa"/>
            </w:tcMar>
            <w:vAlign w:val="top"/>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设施维护</w:t>
            </w:r>
          </w:p>
          <w:p>
            <w:pPr>
              <w:widowControl/>
              <w:spacing w:line="340" w:lineRule="exact"/>
              <w:ind w:left="107" w:right="-107" w:hanging="10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分）</w:t>
            </w:r>
          </w:p>
        </w:tc>
        <w:tc>
          <w:tcPr>
            <w:tcW w:w="892" w:type="dxa"/>
            <w:noWrap w:val="0"/>
            <w:tcMar>
              <w:top w:w="0" w:type="dxa"/>
              <w:left w:w="108" w:type="dxa"/>
              <w:bottom w:w="0" w:type="dxa"/>
              <w:right w:w="108" w:type="dxa"/>
            </w:tcMar>
            <w:vAlign w:val="top"/>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3.1</w:t>
            </w:r>
          </w:p>
        </w:tc>
        <w:tc>
          <w:tcPr>
            <w:tcW w:w="5092"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树穴有侧石，有平整盖板或种植地被植物等，黄土不裸露。（</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分）</w:t>
            </w:r>
          </w:p>
        </w:tc>
        <w:tc>
          <w:tcPr>
            <w:tcW w:w="6019"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树穴无侧石</w:t>
            </w:r>
            <w:r>
              <w:rPr>
                <w:rFonts w:hint="eastAsia" w:ascii="宋体" w:hAnsi="宋体" w:eastAsia="宋体" w:cs="宋体"/>
                <w:spacing w:val="-8"/>
                <w:kern w:val="0"/>
                <w:szCs w:val="21"/>
                <w:highlight w:val="none"/>
                <w:lang w:val="en-US" w:eastAsia="zh-CN"/>
              </w:rPr>
              <w:t>不及时上报</w:t>
            </w:r>
            <w:r>
              <w:rPr>
                <w:rFonts w:hint="eastAsia" w:ascii="宋体" w:hAnsi="宋体" w:eastAsia="宋体" w:cs="宋体"/>
                <w:spacing w:val="-8"/>
                <w:kern w:val="0"/>
                <w:szCs w:val="21"/>
                <w:highlight w:val="none"/>
              </w:rPr>
              <w:t>或泥土裸露的，每株扣0.5分。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top"/>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3.2</w:t>
            </w:r>
          </w:p>
        </w:tc>
        <w:tc>
          <w:tcPr>
            <w:tcW w:w="5092"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树木支撑规范、统一，无断桩、坏桩，桩位扎缚规范化。（3分）</w:t>
            </w:r>
          </w:p>
        </w:tc>
        <w:tc>
          <w:tcPr>
            <w:tcW w:w="6019"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树木支撑不规范的，每株扣</w:t>
            </w:r>
            <w:r>
              <w:rPr>
                <w:rFonts w:hint="eastAsia" w:ascii="宋体" w:hAnsi="宋体" w:eastAsia="宋体" w:cs="宋体"/>
                <w:spacing w:val="-8"/>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top"/>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3.3</w:t>
            </w:r>
          </w:p>
        </w:tc>
        <w:tc>
          <w:tcPr>
            <w:tcW w:w="5092"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辅助设施（包括遮光网、栏杆、浇灌设施、栽植容器、园灯等）必须安全、完好、美观。（</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分）</w:t>
            </w:r>
          </w:p>
        </w:tc>
        <w:tc>
          <w:tcPr>
            <w:tcW w:w="6019"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spacing w:val="-8"/>
                <w:kern w:val="0"/>
                <w:sz w:val="21"/>
                <w:szCs w:val="21"/>
                <w:highlight w:val="none"/>
                <w:lang w:val="en-US" w:eastAsia="zh-CN" w:bidi="ar-SA"/>
              </w:rPr>
            </w:pPr>
            <w:r>
              <w:rPr>
                <w:rFonts w:hint="eastAsia" w:ascii="宋体" w:hAnsi="宋体" w:eastAsia="宋体" w:cs="宋体"/>
                <w:kern w:val="0"/>
                <w:szCs w:val="21"/>
                <w:highlight w:val="none"/>
              </w:rPr>
              <w:t>发现辅助设施不符合要求</w:t>
            </w:r>
            <w:r>
              <w:rPr>
                <w:rFonts w:hint="eastAsia" w:ascii="宋体" w:hAnsi="宋体" w:eastAsia="宋体" w:cs="宋体"/>
                <w:kern w:val="0"/>
                <w:szCs w:val="21"/>
                <w:highlight w:val="none"/>
                <w:lang w:val="en-US" w:eastAsia="zh-CN"/>
              </w:rPr>
              <w:t>或</w:t>
            </w:r>
            <w:r>
              <w:rPr>
                <w:rFonts w:hint="eastAsia" w:ascii="宋体" w:hAnsi="宋体" w:eastAsia="宋体" w:cs="宋体"/>
                <w:kern w:val="0"/>
                <w:szCs w:val="21"/>
                <w:highlight w:val="none"/>
                <w:lang w:eastAsia="zh-CN"/>
              </w:rPr>
              <w:t>损坏不及时上报的，</w:t>
            </w:r>
            <w:r>
              <w:rPr>
                <w:rFonts w:hint="eastAsia" w:ascii="宋体" w:hAnsi="宋体" w:eastAsia="宋体" w:cs="宋体"/>
                <w:kern w:val="0"/>
                <w:szCs w:val="21"/>
                <w:highlight w:val="none"/>
              </w:rPr>
              <w:t>每处扣</w:t>
            </w:r>
            <w:r>
              <w:rPr>
                <w:rFonts w:hint="eastAsia" w:ascii="宋体" w:hAnsi="宋体" w:eastAsia="宋体" w:cs="宋体"/>
                <w:spacing w:val="-8"/>
                <w:kern w:val="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trPr>
        <w:tc>
          <w:tcPr>
            <w:tcW w:w="1685"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土肥标准</w:t>
            </w:r>
          </w:p>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（8分）</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4</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栽培基质应具有一定的透水、透气、保肥能力，土壤疏松，无积水，；每年施有机肥二次； （8分）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没有施肥记录或不按标准施肥的，扣除本分项全部分数（8分）。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tblCellSpacing w:w="15" w:type="dxa"/>
        </w:trPr>
        <w:tc>
          <w:tcPr>
            <w:tcW w:w="1685" w:type="dxa"/>
            <w:noWrap w:val="0"/>
            <w:tcMar>
              <w:top w:w="0" w:type="dxa"/>
              <w:left w:w="108" w:type="dxa"/>
              <w:bottom w:w="0" w:type="dxa"/>
              <w:right w:w="108" w:type="dxa"/>
            </w:tcMar>
            <w:vAlign w:val="center"/>
          </w:tcPr>
          <w:p>
            <w:pPr>
              <w:widowControl/>
              <w:spacing w:line="340" w:lineRule="exact"/>
              <w:ind w:left="107" w:right="-107" w:hanging="10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病虫害防治</w:t>
            </w:r>
          </w:p>
          <w:p>
            <w:pPr>
              <w:widowControl/>
              <w:spacing w:line="340" w:lineRule="exact"/>
              <w:ind w:left="107" w:leftChars="0" w:right="-107" w:rightChars="0" w:hanging="107"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（10分）</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5</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提倡综合防治，以防为主。病虫害危害应控制在以不影响观赏效果的范围之内。（10分）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乔木有明显病虫害的，每发现一株扣0.5分。绿化带有明显病虫害的，每处扣1分。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blCellSpacing w:w="15" w:type="dxa"/>
        </w:trPr>
        <w:tc>
          <w:tcPr>
            <w:tcW w:w="1685" w:type="dxa"/>
            <w:vMerge w:val="restart"/>
            <w:noWrap w:val="0"/>
            <w:tcMar>
              <w:top w:w="0" w:type="dxa"/>
              <w:left w:w="108" w:type="dxa"/>
              <w:bottom w:w="0" w:type="dxa"/>
              <w:right w:w="108" w:type="dxa"/>
            </w:tcMar>
            <w:vAlign w:val="top"/>
          </w:tcPr>
          <w:p>
            <w:pPr>
              <w:widowControl/>
              <w:spacing w:line="340" w:lineRule="exact"/>
              <w:ind w:left="0" w:right="-107" w:firstLine="0"/>
              <w:jc w:val="both"/>
              <w:rPr>
                <w:rFonts w:hint="eastAsia" w:ascii="宋体" w:hAnsi="宋体" w:eastAsia="宋体" w:cs="宋体"/>
                <w:kern w:val="0"/>
                <w:szCs w:val="21"/>
                <w:highlight w:val="none"/>
              </w:rPr>
            </w:pPr>
            <w:r>
              <w:rPr>
                <w:rFonts w:hint="eastAsia" w:ascii="宋体" w:hAnsi="宋体" w:eastAsia="宋体" w:cs="宋体"/>
                <w:kern w:val="0"/>
                <w:szCs w:val="21"/>
                <w:highlight w:val="none"/>
              </w:rPr>
              <w:t>管理及卫生</w:t>
            </w:r>
          </w:p>
          <w:p>
            <w:pPr>
              <w:widowControl/>
              <w:spacing w:line="340" w:lineRule="exact"/>
              <w:ind w:left="107" w:right="-107" w:hanging="10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17</w:t>
            </w:r>
            <w:r>
              <w:rPr>
                <w:rFonts w:hint="eastAsia" w:ascii="宋体" w:hAnsi="宋体" w:eastAsia="宋体" w:cs="宋体"/>
                <w:kern w:val="0"/>
                <w:szCs w:val="21"/>
                <w:highlight w:val="none"/>
              </w:rPr>
              <w:t>分）</w:t>
            </w: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6.1</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树干无钉子、铁丝、晾晒衣物等破坏树木生长的现象。（2分）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6.2</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绿地及设施整洁，无垃圾杂物，叶面无陈旧性积尘。（3分）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绿地及设施不整洁，一处扣0.5分。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6.3</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绿地冬季浇灌不溢水。（2分）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未按</w:t>
            </w:r>
            <w:r>
              <w:rPr>
                <w:rFonts w:hint="eastAsia" w:ascii="宋体" w:hAnsi="宋体" w:eastAsia="宋体" w:cs="宋体"/>
                <w:kern w:val="0"/>
                <w:szCs w:val="21"/>
                <w:highlight w:val="none"/>
              </w:rPr>
              <w:t>规定浇灌，扣除本项全部分数（2分）。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6.4</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管理制度落实，养护管理人员到位；养护作业人员必须穿着有反光条的工作服，做到文明作业。</w:t>
            </w:r>
            <w:r>
              <w:rPr>
                <w:rFonts w:hint="eastAsia" w:ascii="宋体" w:hAnsi="宋体" w:eastAsia="宋体" w:cs="宋体"/>
                <w:kern w:val="0"/>
                <w:szCs w:val="21"/>
                <w:highlight w:val="none"/>
                <w:lang w:eastAsia="zh-CN"/>
              </w:rPr>
              <w:t>管理养护管理台账健全。</w:t>
            </w:r>
            <w:r>
              <w:rPr>
                <w:rFonts w:hint="eastAsia" w:ascii="宋体" w:hAnsi="宋体" w:eastAsia="宋体" w:cs="宋体"/>
                <w:kern w:val="0"/>
                <w:szCs w:val="21"/>
                <w:highlight w:val="none"/>
              </w:rPr>
              <w:t>（4分）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管理制度不落实的，一处扣0.5分；</w:t>
            </w:r>
          </w:p>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管理人员不到位，扣1分。养护人员上路作业不穿有反光条的工作服，不文明作业，扣2分。</w:t>
            </w:r>
            <w:r>
              <w:rPr>
                <w:rFonts w:hint="eastAsia" w:ascii="宋体" w:hAnsi="宋体" w:eastAsia="宋体" w:cs="宋体"/>
                <w:kern w:val="0"/>
                <w:szCs w:val="21"/>
                <w:highlight w:val="none"/>
                <w:lang w:eastAsia="zh-CN"/>
              </w:rPr>
              <w:t>管理养护管理台账不健全的，每次扣</w:t>
            </w:r>
            <w:r>
              <w:rPr>
                <w:rFonts w:hint="eastAsia" w:ascii="宋体" w:hAnsi="宋体" w:eastAsia="宋体" w:cs="宋体"/>
                <w:kern w:val="0"/>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6.5</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有防台措施，对危树及时采取修枝、加固或申报更换等措施，遇灾害性天气及时组织进行抢扶。（4分）</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未对危树及时采取有效措施并因此造成事故的,扣除本分项全部分数（4分）;遇灾害性天气未及时进行抢扶的,扣除本分项全部分数（4分）。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6.6</w:t>
            </w:r>
          </w:p>
        </w:tc>
        <w:tc>
          <w:tcPr>
            <w:tcW w:w="5092" w:type="dxa"/>
            <w:noWrap w:val="0"/>
            <w:tcMar>
              <w:top w:w="0" w:type="dxa"/>
              <w:left w:w="108" w:type="dxa"/>
              <w:bottom w:w="0" w:type="dxa"/>
              <w:right w:w="108" w:type="dxa"/>
            </w:tcMar>
            <w:vAlign w:val="center"/>
          </w:tcPr>
          <w:p>
            <w:pPr>
              <w:widowControl/>
              <w:spacing w:line="340" w:lineRule="exact"/>
              <w:rPr>
                <w:rFonts w:hint="eastAsia" w:ascii="Times New Roman" w:hAnsi="Times New Roman" w:eastAsia="微软雅黑" w:cs="Times New Roman"/>
                <w:kern w:val="0"/>
                <w:sz w:val="21"/>
                <w:szCs w:val="21"/>
                <w:highlight w:val="none"/>
                <w:lang w:val="en-US" w:eastAsia="zh-CN" w:bidi="ar-SA"/>
              </w:rPr>
            </w:pPr>
            <w:r>
              <w:rPr>
                <w:rFonts w:hint="eastAsia" w:ascii="宋体" w:hAnsi="宋体" w:eastAsia="宋体" w:cs="Times New Roman"/>
                <w:kern w:val="0"/>
                <w:szCs w:val="21"/>
                <w:highlight w:val="none"/>
              </w:rPr>
              <w:t>垃圾日产日清。（</w:t>
            </w: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分）</w:t>
            </w:r>
          </w:p>
        </w:tc>
        <w:tc>
          <w:tcPr>
            <w:tcW w:w="6019" w:type="dxa"/>
            <w:noWrap w:val="0"/>
            <w:tcMar>
              <w:top w:w="0" w:type="dxa"/>
              <w:left w:w="108" w:type="dxa"/>
              <w:bottom w:w="0" w:type="dxa"/>
              <w:right w:w="108" w:type="dxa"/>
            </w:tcMar>
            <w:vAlign w:val="center"/>
          </w:tcPr>
          <w:p>
            <w:pPr>
              <w:widowControl/>
              <w:spacing w:line="340" w:lineRule="exact"/>
              <w:rPr>
                <w:rFonts w:hint="eastAsia" w:ascii="Times New Roman" w:hAnsi="Times New Roman" w:eastAsia="微软雅黑" w:cs="Times New Roman"/>
                <w:kern w:val="0"/>
                <w:sz w:val="21"/>
                <w:szCs w:val="21"/>
                <w:highlight w:val="none"/>
                <w:lang w:val="en-US" w:eastAsia="zh-CN" w:bidi="ar-SA"/>
              </w:rPr>
            </w:pPr>
            <w:r>
              <w:rPr>
                <w:rFonts w:hint="eastAsia" w:ascii="宋体" w:hAnsi="宋体" w:eastAsia="宋体" w:cs="Times New Roman"/>
                <w:kern w:val="0"/>
                <w:szCs w:val="21"/>
                <w:highlight w:val="none"/>
              </w:rPr>
              <w:t>绿地内垃圾较多的，一次扣</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分；有卫生死角的，扣除本分项全部分数（</w:t>
            </w:r>
            <w:r>
              <w:rPr>
                <w:rFonts w:hint="eastAsia" w:ascii="宋体" w:hAnsi="宋体" w:eastAsia="宋体" w:cs="Times New Roman"/>
                <w:kern w:val="0"/>
                <w:szCs w:val="21"/>
                <w:highlight w:val="none"/>
                <w:lang w:eastAsia="zh-CN"/>
              </w:rPr>
              <w:t>2</w:t>
            </w:r>
            <w:r>
              <w:rPr>
                <w:rFonts w:hint="eastAsia" w:ascii="宋体" w:hAnsi="宋体" w:eastAsia="宋体" w:cs="Times New Roman"/>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8"/>
                <w:kern w:val="0"/>
                <w:szCs w:val="21"/>
                <w:highlight w:val="none"/>
              </w:rPr>
              <w:t>6.</w:t>
            </w:r>
            <w:r>
              <w:rPr>
                <w:rFonts w:hint="eastAsia" w:ascii="宋体" w:hAnsi="宋体" w:eastAsia="宋体" w:cs="宋体"/>
                <w:spacing w:val="-8"/>
                <w:kern w:val="0"/>
                <w:szCs w:val="21"/>
                <w:highlight w:val="none"/>
                <w:lang w:val="en-US" w:eastAsia="zh-CN"/>
              </w:rPr>
              <w:t>7</w:t>
            </w:r>
          </w:p>
        </w:tc>
        <w:tc>
          <w:tcPr>
            <w:tcW w:w="5092"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无违章占绿、无违法建设。（一项否决制）</w:t>
            </w:r>
          </w:p>
        </w:tc>
        <w:tc>
          <w:tcPr>
            <w:tcW w:w="6019" w:type="dxa"/>
            <w:noWrap w:val="0"/>
            <w:tcMar>
              <w:top w:w="0" w:type="dxa"/>
              <w:left w:w="108" w:type="dxa"/>
              <w:bottom w:w="0" w:type="dxa"/>
              <w:right w:w="108" w:type="dxa"/>
            </w:tcMar>
            <w:vAlign w:val="center"/>
          </w:tcPr>
          <w:p>
            <w:pPr>
              <w:widowControl/>
              <w:spacing w:line="3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一旦发现违章占绿或违法建设情况，未及时</w:t>
            </w:r>
            <w:r>
              <w:rPr>
                <w:rFonts w:hint="eastAsia" w:ascii="宋体" w:hAnsi="宋体" w:eastAsia="宋体" w:cs="宋体"/>
                <w:kern w:val="0"/>
                <w:szCs w:val="21"/>
                <w:highlight w:val="none"/>
                <w:lang w:val="en-US" w:eastAsia="zh-CN"/>
              </w:rPr>
              <w:t>上报</w:t>
            </w:r>
            <w:r>
              <w:rPr>
                <w:rFonts w:hint="eastAsia" w:ascii="宋体" w:hAnsi="宋体" w:eastAsia="宋体" w:cs="宋体"/>
                <w:kern w:val="0"/>
                <w:szCs w:val="21"/>
                <w:highlight w:val="none"/>
              </w:rPr>
              <w:t>，扣除</w:t>
            </w:r>
            <w:r>
              <w:rPr>
                <w:rFonts w:hint="eastAsia" w:ascii="宋体" w:hAnsi="宋体" w:eastAsia="宋体" w:cs="宋体"/>
                <w:kern w:val="0"/>
                <w:szCs w:val="21"/>
                <w:highlight w:val="none"/>
                <w:lang w:val="en-US" w:eastAsia="zh-CN"/>
              </w:rPr>
              <w:t>本大类</w:t>
            </w:r>
            <w:r>
              <w:rPr>
                <w:rFonts w:hint="eastAsia" w:ascii="宋体" w:hAnsi="宋体" w:eastAsia="宋体" w:cs="宋体"/>
                <w:kern w:val="0"/>
                <w:szCs w:val="21"/>
                <w:highlight w:val="none"/>
              </w:rPr>
              <w:t>全部分数（1</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1685" w:type="dxa"/>
            <w:vMerge w:val="restart"/>
            <w:noWrap w:val="0"/>
            <w:tcMar>
              <w:top w:w="0" w:type="dxa"/>
              <w:left w:w="108" w:type="dxa"/>
              <w:bottom w:w="0" w:type="dxa"/>
              <w:right w:w="108" w:type="dxa"/>
            </w:tcMar>
            <w:vAlign w:val="center"/>
          </w:tcPr>
          <w:p>
            <w:pPr>
              <w:widowControl/>
              <w:spacing w:line="340" w:lineRule="exact"/>
              <w:ind w:left="0" w:right="-107" w:firstLine="0"/>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附加分</w:t>
            </w:r>
          </w:p>
        </w:tc>
        <w:tc>
          <w:tcPr>
            <w:tcW w:w="892" w:type="dxa"/>
            <w:noWrap w:val="0"/>
            <w:tcMar>
              <w:top w:w="0" w:type="dxa"/>
              <w:left w:w="108" w:type="dxa"/>
              <w:bottom w:w="0" w:type="dxa"/>
              <w:right w:w="108" w:type="dxa"/>
            </w:tcMar>
            <w:vAlign w:val="center"/>
          </w:tcPr>
          <w:p>
            <w:pPr>
              <w:widowControl/>
              <w:spacing w:line="340" w:lineRule="exact"/>
              <w:jc w:val="center"/>
              <w:rPr>
                <w:rFonts w:hint="default" w:ascii="宋体" w:hAnsi="宋体" w:eastAsia="宋体" w:cs="宋体"/>
                <w:spacing w:val="-8"/>
                <w:kern w:val="0"/>
                <w:szCs w:val="21"/>
                <w:highlight w:val="none"/>
                <w:lang w:val="en-US" w:eastAsia="zh-CN"/>
              </w:rPr>
            </w:pPr>
            <w:r>
              <w:rPr>
                <w:rFonts w:hint="eastAsia" w:ascii="宋体" w:hAnsi="宋体" w:eastAsia="宋体" w:cs="宋体"/>
                <w:spacing w:val="-8"/>
                <w:kern w:val="0"/>
                <w:szCs w:val="21"/>
                <w:highlight w:val="none"/>
                <w:lang w:val="en-US" w:eastAsia="zh-CN"/>
              </w:rPr>
              <w:t>7.1</w:t>
            </w:r>
          </w:p>
        </w:tc>
        <w:tc>
          <w:tcPr>
            <w:tcW w:w="5092" w:type="dxa"/>
            <w:noWrap w:val="0"/>
            <w:tcMar>
              <w:top w:w="0" w:type="dxa"/>
              <w:left w:w="108" w:type="dxa"/>
              <w:bottom w:w="0" w:type="dxa"/>
              <w:right w:w="108" w:type="dxa"/>
            </w:tcMar>
            <w:vAlign w:val="center"/>
          </w:tcPr>
          <w:p>
            <w:pPr>
              <w:pStyle w:val="24"/>
              <w:spacing w:line="340" w:lineRule="exac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领导评价5分</w:t>
            </w:r>
          </w:p>
        </w:tc>
        <w:tc>
          <w:tcPr>
            <w:tcW w:w="6019" w:type="dxa"/>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属地管理处领导和街道分管领导可对养护企业服务质量进行评分，属地管理处领导2分、街道分管领导3分。</w:t>
            </w:r>
          </w:p>
          <w:p>
            <w:pPr>
              <w:spacing w:line="340" w:lineRule="exact"/>
              <w:rPr>
                <w:rFonts w:hint="eastAsia" w:ascii="宋体" w:hAnsi="宋体" w:eastAsia="宋体" w:cs="宋体"/>
                <w:sz w:val="21"/>
                <w:szCs w:val="21"/>
                <w:highlight w:val="none"/>
                <w:lang w:val="en-US"/>
              </w:rPr>
            </w:pPr>
            <w:bookmarkStart w:id="43" w:name="_Toc21932"/>
            <w:bookmarkStart w:id="44" w:name="_Toc3930"/>
            <w:bookmarkStart w:id="45" w:name="_Toc2469"/>
            <w:bookmarkStart w:id="46" w:name="_Toc30401"/>
            <w:r>
              <w:rPr>
                <w:rFonts w:hint="eastAsia" w:ascii="宋体" w:hAnsi="宋体" w:eastAsia="宋体" w:cs="宋体"/>
                <w:b w:val="0"/>
                <w:bCs w:val="0"/>
                <w:sz w:val="21"/>
                <w:szCs w:val="21"/>
                <w:highlight w:val="none"/>
                <w:lang w:val="en-US" w:eastAsia="zh-CN"/>
              </w:rPr>
              <w:t>本项分数可加可减，但加减最多为5分。</w:t>
            </w:r>
            <w:bookmarkEnd w:id="43"/>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tblCellSpacing w:w="15" w:type="dxa"/>
        </w:trPr>
        <w:tc>
          <w:tcPr>
            <w:tcW w:w="1685" w:type="dxa"/>
            <w:vMerge w:val="continue"/>
            <w:noWrap w:val="0"/>
            <w:tcMar>
              <w:top w:w="0" w:type="dxa"/>
              <w:left w:w="108" w:type="dxa"/>
              <w:bottom w:w="0" w:type="dxa"/>
              <w:right w:w="108" w:type="dxa"/>
            </w:tcMar>
            <w:vAlign w:val="top"/>
          </w:tcPr>
          <w:p>
            <w:pPr>
              <w:widowControl/>
              <w:spacing w:line="340" w:lineRule="exact"/>
              <w:ind w:left="107" w:right="-107" w:hanging="107"/>
              <w:jc w:val="left"/>
              <w:rPr>
                <w:rFonts w:hint="eastAsia" w:ascii="宋体" w:hAnsi="宋体" w:eastAsia="宋体" w:cs="宋体"/>
                <w:kern w:val="0"/>
                <w:szCs w:val="21"/>
                <w:highlight w:val="none"/>
              </w:rPr>
            </w:pPr>
          </w:p>
        </w:tc>
        <w:tc>
          <w:tcPr>
            <w:tcW w:w="892" w:type="dxa"/>
            <w:noWrap w:val="0"/>
            <w:tcMar>
              <w:top w:w="0" w:type="dxa"/>
              <w:left w:w="108" w:type="dxa"/>
              <w:bottom w:w="0" w:type="dxa"/>
              <w:right w:w="108" w:type="dxa"/>
            </w:tcMar>
            <w:vAlign w:val="center"/>
          </w:tcPr>
          <w:p>
            <w:pPr>
              <w:widowControl/>
              <w:spacing w:line="340" w:lineRule="exact"/>
              <w:jc w:val="center"/>
              <w:rPr>
                <w:rFonts w:hint="default" w:ascii="宋体" w:hAnsi="宋体" w:eastAsia="宋体" w:cs="宋体"/>
                <w:spacing w:val="-8"/>
                <w:kern w:val="0"/>
                <w:szCs w:val="21"/>
                <w:highlight w:val="none"/>
                <w:lang w:val="en-US" w:eastAsia="zh-CN"/>
              </w:rPr>
            </w:pPr>
            <w:r>
              <w:rPr>
                <w:rFonts w:hint="eastAsia" w:ascii="宋体" w:hAnsi="宋体" w:eastAsia="宋体" w:cs="宋体"/>
                <w:spacing w:val="-8"/>
                <w:kern w:val="0"/>
                <w:szCs w:val="21"/>
                <w:highlight w:val="none"/>
                <w:lang w:val="en-US" w:eastAsia="zh-CN"/>
              </w:rPr>
              <w:t>7.2</w:t>
            </w:r>
          </w:p>
        </w:tc>
        <w:tc>
          <w:tcPr>
            <w:tcW w:w="5092" w:type="dxa"/>
            <w:noWrap w:val="0"/>
            <w:tcMar>
              <w:top w:w="0" w:type="dxa"/>
              <w:left w:w="108" w:type="dxa"/>
              <w:bottom w:w="0" w:type="dxa"/>
              <w:right w:w="108" w:type="dxa"/>
            </w:tcMar>
            <w:vAlign w:val="center"/>
          </w:tcPr>
          <w:p>
            <w:pPr>
              <w:pStyle w:val="24"/>
              <w:spacing w:line="340" w:lineRule="exact"/>
              <w:rPr>
                <w:rFonts w:hint="eastAsia" w:ascii="宋体" w:hAnsi="宋体" w:eastAsia="宋体" w:cs="宋体"/>
                <w:kern w:val="0"/>
                <w:szCs w:val="21"/>
                <w:highlight w:val="none"/>
              </w:rPr>
            </w:pPr>
            <w:r>
              <w:rPr>
                <w:rFonts w:hint="eastAsia" w:ascii="宋体" w:hAnsi="宋体" w:eastAsia="宋体" w:cs="宋体"/>
                <w:b w:val="0"/>
                <w:bCs/>
                <w:sz w:val="21"/>
                <w:szCs w:val="21"/>
                <w:highlight w:val="none"/>
                <w:lang w:val="en-US" w:eastAsia="zh-CN"/>
              </w:rPr>
              <w:t>公众媒体督办3分</w:t>
            </w:r>
          </w:p>
        </w:tc>
        <w:tc>
          <w:tcPr>
            <w:tcW w:w="6019" w:type="dxa"/>
            <w:noWrap w:val="0"/>
            <w:tcMar>
              <w:top w:w="0" w:type="dxa"/>
              <w:left w:w="108" w:type="dxa"/>
              <w:bottom w:w="0" w:type="dxa"/>
              <w:right w:w="108" w:type="dxa"/>
            </w:tcMar>
            <w:vAlign w:val="center"/>
          </w:tcPr>
          <w:p>
            <w:pPr>
              <w:spacing w:line="34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考核办依据当月网站、新闻媒体、信访等批评及表扬意见等汇总数量，每表扬一次加1分，最多加3分；每批评1次扣1分，最多扣3分。</w:t>
            </w:r>
          </w:p>
          <w:p>
            <w:pPr>
              <w:widowControl/>
              <w:spacing w:line="340" w:lineRule="exact"/>
              <w:rPr>
                <w:rFonts w:hint="eastAsia" w:ascii="宋体" w:hAnsi="宋体" w:eastAsia="宋体" w:cs="宋体"/>
                <w:kern w:val="2"/>
                <w:szCs w:val="21"/>
                <w:highlight w:val="none"/>
              </w:rPr>
            </w:pPr>
            <w:r>
              <w:rPr>
                <w:rFonts w:hint="eastAsia" w:ascii="宋体" w:hAnsi="宋体" w:eastAsia="宋体" w:cs="宋体"/>
                <w:b w:val="0"/>
                <w:bCs w:val="0"/>
                <w:sz w:val="21"/>
                <w:szCs w:val="21"/>
                <w:highlight w:val="none"/>
                <w:lang w:val="en-US" w:eastAsia="zh-CN"/>
              </w:rPr>
              <w:t>本项分数可加可减，但加减最多为3分。</w:t>
            </w:r>
          </w:p>
        </w:tc>
      </w:tr>
    </w:tbl>
    <w:p>
      <w:pPr>
        <w:widowControl/>
        <w:spacing w:line="360" w:lineRule="exact"/>
        <w:rPr>
          <w:rFonts w:ascii="Times New Roman" w:hAnsi="Times New Roman" w:eastAsia="微软雅黑" w:cs="Times New Roman"/>
          <w:kern w:val="0"/>
          <w:szCs w:val="21"/>
          <w:highlight w:val="none"/>
        </w:rPr>
      </w:pPr>
      <w:r>
        <w:rPr>
          <w:rFonts w:hint="eastAsia" w:ascii="宋体" w:hAnsi="宋体" w:eastAsia="宋体" w:cs="Times New Roman"/>
          <w:spacing w:val="-8"/>
          <w:kern w:val="0"/>
          <w:szCs w:val="21"/>
          <w:highlight w:val="none"/>
        </w:rPr>
        <w:t>备注：1、本表根据</w:t>
      </w:r>
      <w:r>
        <w:rPr>
          <w:rFonts w:hint="eastAsia" w:ascii="宋体" w:hAnsi="宋体" w:eastAsia="宋体" w:cs="Times New Roman"/>
          <w:spacing w:val="-8"/>
          <w:kern w:val="0"/>
          <w:szCs w:val="21"/>
          <w:highlight w:val="none"/>
          <w:lang w:val="en-US" w:eastAsia="zh-CN"/>
        </w:rPr>
        <w:t>《递铺街道</w:t>
      </w:r>
      <w:r>
        <w:rPr>
          <w:rFonts w:hint="eastAsia" w:ascii="宋体" w:hAnsi="宋体" w:eastAsia="宋体" w:cs="Times New Roman"/>
          <w:spacing w:val="-8"/>
          <w:kern w:val="0"/>
          <w:szCs w:val="21"/>
          <w:highlight w:val="none"/>
          <w:lang w:eastAsia="zh-CN"/>
        </w:rPr>
        <w:t>绿地养护质量标准</w:t>
      </w:r>
      <w:r>
        <w:rPr>
          <w:rFonts w:hint="eastAsia" w:ascii="宋体" w:hAnsi="宋体" w:eastAsia="宋体" w:cs="Times New Roman"/>
          <w:spacing w:val="-8"/>
          <w:kern w:val="0"/>
          <w:szCs w:val="21"/>
          <w:highlight w:val="none"/>
          <w:lang w:val="en-US" w:eastAsia="zh-CN"/>
        </w:rPr>
        <w:t>(试行）》</w:t>
      </w:r>
      <w:r>
        <w:rPr>
          <w:rFonts w:hint="eastAsia" w:ascii="宋体" w:hAnsi="宋体" w:eastAsia="宋体" w:cs="Times New Roman"/>
          <w:spacing w:val="-8"/>
          <w:kern w:val="0"/>
          <w:szCs w:val="21"/>
          <w:highlight w:val="none"/>
        </w:rPr>
        <w:t>制定；</w:t>
      </w:r>
    </w:p>
    <w:p>
      <w:pPr>
        <w:widowControl/>
        <w:spacing w:line="360" w:lineRule="exact"/>
        <w:ind w:firstLine="630"/>
        <w:rPr>
          <w:rFonts w:ascii="Times New Roman" w:hAnsi="Times New Roman" w:eastAsia="微软雅黑" w:cs="Times New Roman"/>
          <w:kern w:val="0"/>
          <w:szCs w:val="21"/>
          <w:highlight w:val="none"/>
        </w:rPr>
      </w:pPr>
      <w:r>
        <w:rPr>
          <w:rFonts w:hint="eastAsia" w:ascii="宋体" w:hAnsi="宋体" w:eastAsia="宋体" w:cs="Times New Roman"/>
          <w:spacing w:val="-8"/>
          <w:kern w:val="0"/>
          <w:szCs w:val="21"/>
          <w:highlight w:val="none"/>
        </w:rPr>
        <w:t>2、本表适用于</w:t>
      </w:r>
      <w:r>
        <w:rPr>
          <w:rFonts w:hint="eastAsia" w:ascii="宋体" w:hAnsi="宋体" w:eastAsia="宋体" w:cs="Times New Roman"/>
          <w:spacing w:val="-8"/>
          <w:kern w:val="0"/>
          <w:szCs w:val="21"/>
          <w:highlight w:val="none"/>
          <w:lang w:val="en-US" w:eastAsia="zh-CN"/>
        </w:rPr>
        <w:t>递铺街道</w:t>
      </w:r>
      <w:r>
        <w:rPr>
          <w:rFonts w:hint="eastAsia" w:ascii="宋体" w:hAnsi="宋体" w:eastAsia="宋体" w:cs="Times New Roman"/>
          <w:spacing w:val="-8"/>
          <w:kern w:val="0"/>
          <w:szCs w:val="21"/>
          <w:highlight w:val="none"/>
          <w:lang w:eastAsia="zh-CN"/>
        </w:rPr>
        <w:t>绿地</w:t>
      </w:r>
      <w:r>
        <w:rPr>
          <w:rFonts w:hint="eastAsia" w:ascii="宋体" w:hAnsi="宋体" w:eastAsia="宋体" w:cs="Times New Roman"/>
          <w:spacing w:val="-8"/>
          <w:kern w:val="0"/>
          <w:szCs w:val="21"/>
          <w:highlight w:val="none"/>
        </w:rPr>
        <w:t>日常养护检查，满分为100分；</w:t>
      </w:r>
    </w:p>
    <w:p>
      <w:pPr>
        <w:widowControl/>
        <w:spacing w:line="360" w:lineRule="exact"/>
        <w:ind w:firstLine="630"/>
        <w:rPr>
          <w:rFonts w:ascii="Times New Roman" w:hAnsi="Times New Roman" w:eastAsia="微软雅黑" w:cs="Times New Roman"/>
          <w:kern w:val="0"/>
          <w:szCs w:val="21"/>
          <w:highlight w:val="none"/>
        </w:rPr>
      </w:pPr>
      <w:r>
        <w:rPr>
          <w:rFonts w:hint="eastAsia" w:ascii="宋体" w:hAnsi="宋体" w:eastAsia="宋体" w:cs="Times New Roman"/>
          <w:spacing w:val="-8"/>
          <w:kern w:val="0"/>
          <w:szCs w:val="21"/>
          <w:highlight w:val="none"/>
        </w:rPr>
        <w:t>3、各分项分值扣完为止，不计负分</w:t>
      </w:r>
      <w:r>
        <w:rPr>
          <w:rFonts w:hint="eastAsia" w:ascii="宋体" w:hAnsi="宋体" w:eastAsia="宋体" w:cs="Times New Roman"/>
          <w:spacing w:val="-8"/>
          <w:kern w:val="0"/>
          <w:szCs w:val="21"/>
          <w:highlight w:val="none"/>
          <w:lang w:eastAsia="zh-CN"/>
        </w:rPr>
        <w:t>（</w:t>
      </w:r>
      <w:r>
        <w:rPr>
          <w:rFonts w:hint="eastAsia" w:ascii="宋体" w:hAnsi="宋体" w:eastAsia="宋体" w:cs="Times New Roman"/>
          <w:spacing w:val="-8"/>
          <w:kern w:val="0"/>
          <w:szCs w:val="21"/>
          <w:highlight w:val="none"/>
          <w:lang w:val="en-US" w:eastAsia="zh-CN"/>
        </w:rPr>
        <w:t>附加分除外</w:t>
      </w:r>
      <w:r>
        <w:rPr>
          <w:rFonts w:hint="eastAsia" w:ascii="宋体" w:hAnsi="宋体" w:eastAsia="宋体" w:cs="Times New Roman"/>
          <w:spacing w:val="-8"/>
          <w:kern w:val="0"/>
          <w:szCs w:val="21"/>
          <w:highlight w:val="none"/>
          <w:lang w:eastAsia="zh-CN"/>
        </w:rPr>
        <w:t>）</w:t>
      </w:r>
      <w:r>
        <w:rPr>
          <w:rFonts w:hint="eastAsia" w:ascii="宋体" w:hAnsi="宋体" w:eastAsia="宋体" w:cs="Times New Roman"/>
          <w:spacing w:val="-8"/>
          <w:kern w:val="0"/>
          <w:szCs w:val="21"/>
          <w:highlight w:val="none"/>
        </w:rPr>
        <w:t>。</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bookmarkStart w:id="47" w:name="_Toc344411592"/>
      <w:bookmarkStart w:id="48" w:name="_Toc3307"/>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p>
    <w:p>
      <w:pPr>
        <w:pStyle w:val="4"/>
        <w:keepNext w:val="0"/>
        <w:keepLines w:val="0"/>
        <w:spacing w:before="0" w:after="0" w:line="500" w:lineRule="exac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bookmarkEnd w:id="47"/>
      <w:r>
        <w:rPr>
          <w:rFonts w:hint="eastAsia" w:ascii="宋体" w:hAnsi="宋体" w:eastAsia="宋体" w:cs="宋体"/>
          <w:b/>
          <w:bCs/>
          <w:kern w:val="2"/>
          <w:sz w:val="21"/>
          <w:szCs w:val="21"/>
          <w:lang w:val="en-US" w:eastAsia="zh-CN" w:bidi="ar-SA"/>
        </w:rPr>
        <w:t>监管及考核奖惩措施</w:t>
      </w:r>
      <w:bookmarkEnd w:id="48"/>
    </w:p>
    <w:p>
      <w:pPr>
        <w:keepNext w:val="0"/>
        <w:keepLines w:val="0"/>
        <w:pageBreakBefore w:val="0"/>
        <w:widowControl/>
        <w:numPr>
          <w:ilvl w:val="0"/>
          <w:numId w:val="0"/>
        </w:numPr>
        <w:tabs>
          <w:tab w:val="left" w:pos="1170"/>
          <w:tab w:val="left" w:pos="162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养护管理实行百分制月度考评，得分在90分（含90分）以上，可全额计取当月养护费；得分在90分-80分（含80分）按所得分百分比支付养护费（如得分为87分，则记取当月87%的养护费），得分在80分-70分（含70分）扣除当月养护费的一半；得分在70分以下，扣除当月全部养护费，连续二次得分在70分以下的，终止养护合同</w:t>
      </w:r>
      <w:r>
        <w:rPr>
          <w:rFonts w:hint="eastAsia" w:ascii="宋体" w:hAnsi="宋体" w:eastAsia="宋体" w:cs="宋体"/>
          <w:color w:val="auto"/>
          <w:sz w:val="21"/>
          <w:szCs w:val="21"/>
          <w:highlight w:val="none"/>
        </w:rPr>
        <w:t>。</w:t>
      </w:r>
    </w:p>
    <w:p>
      <w:pPr>
        <w:keepNext w:val="0"/>
        <w:keepLines w:val="0"/>
        <w:pageBreakBefore w:val="0"/>
        <w:widowControl/>
        <w:numPr>
          <w:ilvl w:val="0"/>
          <w:numId w:val="0"/>
        </w:numPr>
        <w:tabs>
          <w:tab w:val="left" w:pos="1170"/>
          <w:tab w:val="left" w:pos="162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街道对绿地进行巡查，对养护质量未达到标准要求的一般问题，发出整改通知，逾期未整改或回复的每次扣除养护费1000元；对养护质量未达到标准要求的较严重问题，发送问题抄告单，问题抄告单每张扣除养护经费300元，逾期未整改或回复的扣除养护经费2000元。     </w:t>
      </w:r>
    </w:p>
    <w:p>
      <w:pPr>
        <w:widowControl/>
        <w:numPr>
          <w:ilvl w:val="0"/>
          <w:numId w:val="0"/>
        </w:numPr>
        <w:tabs>
          <w:tab w:val="left" w:pos="1170"/>
          <w:tab w:val="left" w:pos="1620"/>
        </w:tabs>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3、因绿地养护不力在考核、专项检查或重大节日（活动）中被街道点名批评的，每次扣除该养护单位服务费2000-5000元，被上级部门点名批评的，每次扣除该养护单位服务费5000-10000元。</w:t>
      </w:r>
      <w:r>
        <w:rPr>
          <w:rFonts w:hint="eastAsia" w:ascii="宋体" w:hAnsi="宋体" w:eastAsia="宋体" w:cs="宋体"/>
          <w:color w:val="auto"/>
          <w:sz w:val="21"/>
          <w:szCs w:val="21"/>
          <w:highlight w:val="none"/>
        </w:rPr>
        <w:t>因责任事故被投诉或养护问题被</w:t>
      </w:r>
      <w:r>
        <w:rPr>
          <w:rFonts w:hint="eastAsia" w:ascii="宋体" w:hAnsi="宋体" w:eastAsia="宋体" w:cs="宋体"/>
          <w:color w:val="auto"/>
          <w:sz w:val="21"/>
          <w:szCs w:val="21"/>
          <w:highlight w:val="none"/>
          <w:lang w:eastAsia="zh-CN"/>
        </w:rPr>
        <w:t>县</w:t>
      </w:r>
      <w:r>
        <w:rPr>
          <w:rFonts w:hint="eastAsia" w:ascii="宋体" w:hAnsi="宋体" w:eastAsia="宋体" w:cs="宋体"/>
          <w:color w:val="auto"/>
          <w:sz w:val="21"/>
          <w:szCs w:val="21"/>
          <w:highlight w:val="none"/>
        </w:rPr>
        <w:t>级媒体曝光的，每次扣除养护费10000元，被市级媒体曝光的，每次扣除养护费30000元，被省级及以上媒体曝光的，每次扣除养护费50000元。</w:t>
      </w:r>
    </w:p>
    <w:p>
      <w:pPr>
        <w:widowControl/>
        <w:numPr>
          <w:ilvl w:val="0"/>
          <w:numId w:val="0"/>
        </w:numPr>
        <w:tabs>
          <w:tab w:val="left" w:pos="1170"/>
          <w:tab w:val="left" w:pos="1620"/>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对于数字城管派遣问题未在规定时间内整改完毕或整改后未及时回复的，每个扣除养护费500元。同一问题因整改不到位二次派遣的每个扣除养护费1000元。超时未整改或回复导致案卷亮红灯的，每次扣除养护费3000元</w:t>
      </w:r>
      <w:r>
        <w:rPr>
          <w:rFonts w:hint="eastAsia" w:ascii="宋体" w:hAnsi="宋体" w:eastAsia="宋体" w:cs="宋体"/>
          <w:color w:val="auto"/>
          <w:sz w:val="21"/>
          <w:szCs w:val="21"/>
          <w:highlight w:val="none"/>
        </w:rPr>
        <w:t>。</w:t>
      </w:r>
    </w:p>
    <w:p>
      <w:pPr>
        <w:widowControl/>
        <w:numPr>
          <w:ilvl w:val="0"/>
          <w:numId w:val="0"/>
        </w:numPr>
        <w:tabs>
          <w:tab w:val="left" w:pos="1170"/>
          <w:tab w:val="left" w:pos="16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对所发生的违章占绿或毁绿现象未及时上报的，发现一处扣除养护费5000元；未按时完成上级有关部门布置的专项养护工作任务，按单项统计，未完成一项扣除养护费5000元。</w:t>
      </w:r>
    </w:p>
    <w:p>
      <w:pPr>
        <w:widowControl/>
        <w:numPr>
          <w:ilvl w:val="0"/>
          <w:numId w:val="0"/>
        </w:numPr>
        <w:tabs>
          <w:tab w:val="left" w:pos="1170"/>
          <w:tab w:val="left" w:pos="1620"/>
        </w:tabs>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6、养护企业所派项目负责人和两名现场管理员，必须为本公司在职人员，且都能熟练使用智能手机，能够完成各项在线工作。</w:t>
      </w:r>
    </w:p>
    <w:p>
      <w:pPr>
        <w:pStyle w:val="2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7、项目负责人每月到岗不少于四天（每天八小时在岗），两名现场管理员（技术人员）每月到岗不少于二十二天（每天八小时在岗）。</w:t>
      </w:r>
    </w:p>
    <w:p>
      <w:pPr>
        <w:pStyle w:val="2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项目负责人和现场管理员到岗当天，必须到所有绿地巡查一遍，并填写各自的巡查日志，如项目负责人和现场管理人员巡查不力，没有及时发现和处理问题，被平台监测或现场督察发现问题，视为当天不在岗。</w:t>
      </w:r>
    </w:p>
    <w:p>
      <w:pPr>
        <w:pStyle w:val="2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项目负责人如月到岗天数不足四天，扣除该当月全月养护服务费，累计两次（含两次）出现到岗天数不足四天，扣除两个月养护服务费，并终止养护合同，同时记录项目负责人诚信记录，并向上一级部门汇报处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现场管理人员，每月缺勤一天，扣除当月养护服务费10000元，缺勤两天，扣除当月养护服务费20000元，缺勤三天，扣除当月养护费40000元，以此倍数增加，扣完本季度养护费为止。现场管理人员轮休期间，必须保证现场管理人员或项目负责人有一人当天在岗。</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根据绿化养护合同安排养护人员做好日常养护工作，合同人数为每天在现场的总人数（不含项目负责人），属地</w:t>
      </w:r>
      <w:r>
        <w:rPr>
          <w:rFonts w:hint="eastAsia" w:ascii="宋体" w:hAnsi="宋体" w:eastAsia="宋体" w:cs="宋体"/>
          <w:color w:val="auto"/>
          <w:sz w:val="21"/>
          <w:szCs w:val="21"/>
          <w:highlight w:val="none"/>
          <w:lang w:val="en-US" w:eastAsia="zh-CN"/>
        </w:rPr>
        <w:t>管理处</w:t>
      </w:r>
      <w:r>
        <w:rPr>
          <w:rFonts w:hint="eastAsia" w:ascii="宋体" w:hAnsi="宋体" w:eastAsia="宋体" w:cs="宋体"/>
          <w:color w:val="auto"/>
          <w:sz w:val="21"/>
          <w:szCs w:val="21"/>
          <w:highlight w:val="none"/>
          <w:lang w:eastAsia="zh-CN"/>
        </w:rPr>
        <w:t>结合检查作业人员到岗率，无故缺勤一人扣除当月养护费3000元，缺勤二人扣除当月养护费6000元，缺勤三人扣除当月养护费12000元，以此倍数增加，扣完两个月养护</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lang w:eastAsia="zh-CN"/>
        </w:rPr>
        <w:t>为止，在养护期内两次检查发现养护作业人员不足养护合同规定70%的，将终止养护合同，并按照相关规定对养护企业进行处罚。</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8" w:firstLineChars="2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做好日常养护工作台帐每月上报</w:t>
      </w:r>
      <w:r>
        <w:rPr>
          <w:rFonts w:hint="eastAsia" w:ascii="宋体" w:hAnsi="宋体" w:eastAsia="宋体" w:cs="宋体"/>
          <w:color w:val="auto"/>
          <w:sz w:val="21"/>
          <w:szCs w:val="21"/>
          <w:highlight w:val="none"/>
          <w:lang w:eastAsia="zh-CN"/>
        </w:rPr>
        <w:t>考核办</w:t>
      </w:r>
      <w:r>
        <w:rPr>
          <w:rFonts w:hint="eastAsia" w:ascii="宋体" w:hAnsi="宋体" w:eastAsia="宋体" w:cs="宋体"/>
          <w:color w:val="auto"/>
          <w:sz w:val="21"/>
          <w:szCs w:val="21"/>
          <w:highlight w:val="none"/>
        </w:rPr>
        <w:t>，台账包括管理制度、工作计划、日常养护记录和对抄告单的处理情况等四大部分。上报时间为</w:t>
      </w:r>
      <w:r>
        <w:rPr>
          <w:rFonts w:hint="eastAsia" w:ascii="宋体" w:hAnsi="宋体" w:eastAsia="宋体" w:cs="宋体"/>
          <w:color w:val="auto"/>
          <w:sz w:val="21"/>
          <w:szCs w:val="21"/>
          <w:highlight w:val="none"/>
          <w:lang w:eastAsia="zh-CN"/>
        </w:rPr>
        <w:t>月底</w:t>
      </w:r>
      <w:r>
        <w:rPr>
          <w:rFonts w:hint="eastAsia" w:ascii="宋体" w:hAnsi="宋体" w:eastAsia="宋体" w:cs="宋体"/>
          <w:color w:val="auto"/>
          <w:sz w:val="21"/>
          <w:szCs w:val="21"/>
          <w:highlight w:val="none"/>
        </w:rPr>
        <w:t>前。未按时上报</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一次扣当月养护经费1000元；上报内容缺失未及时补报的扣当月养护经费1000元；上报台账缺一次扣当月养护经费3000元</w:t>
      </w:r>
      <w:r>
        <w:rPr>
          <w:rFonts w:hint="eastAsia" w:ascii="宋体" w:hAnsi="宋体" w:eastAsia="宋体" w:cs="宋体"/>
          <w:color w:val="auto"/>
          <w:sz w:val="21"/>
          <w:szCs w:val="21"/>
          <w:highlight w:val="none"/>
          <w:lang w:eastAsia="zh-CN"/>
        </w:rPr>
        <w:t>。</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按照要求做好防灾抗灾应急工作，未按要求落实防灾抗灾工作的，发现问题一次扣除养护费5000元。未按时上报防灾抗灾统计报表的一次扣除养护费1000元；防灾抗灾物资落实不到位的每次扣除养护费5000元。在防灾抗灾护绿工作中，由于责任原因导致事故或重大损失的，除负责全部经济损失外，一次扣除全年养护费。</w:t>
      </w:r>
    </w:p>
    <w:p>
      <w:pPr>
        <w:spacing w:line="400" w:lineRule="exact"/>
        <w:ind w:left="42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出现安全</w:t>
      </w:r>
      <w:r>
        <w:rPr>
          <w:rFonts w:hint="eastAsia" w:ascii="宋体" w:hAnsi="宋体" w:eastAsia="宋体" w:cs="宋体"/>
          <w:color w:val="auto"/>
          <w:sz w:val="21"/>
          <w:szCs w:val="21"/>
          <w:highlight w:val="none"/>
          <w:lang w:eastAsia="zh-CN"/>
        </w:rPr>
        <w:t>责任</w:t>
      </w:r>
      <w:r>
        <w:rPr>
          <w:rFonts w:hint="eastAsia" w:ascii="宋体" w:hAnsi="宋体" w:eastAsia="宋体" w:cs="宋体"/>
          <w:color w:val="auto"/>
          <w:sz w:val="21"/>
          <w:szCs w:val="21"/>
          <w:highlight w:val="none"/>
        </w:rPr>
        <w:t>事故的，各相关责任主体除照国家法律法规承担各自的责任外，参照本办法对相关</w:t>
      </w:r>
      <w:r>
        <w:rPr>
          <w:rFonts w:hint="eastAsia" w:ascii="宋体" w:hAnsi="宋体" w:eastAsia="宋体" w:cs="宋体"/>
          <w:color w:val="auto"/>
          <w:sz w:val="21"/>
          <w:szCs w:val="21"/>
          <w:highlight w:val="none"/>
          <w:lang w:eastAsia="zh-CN"/>
        </w:rPr>
        <w:t>养护企业</w:t>
      </w:r>
      <w:r>
        <w:rPr>
          <w:rFonts w:hint="eastAsia" w:ascii="宋体" w:hAnsi="宋体" w:eastAsia="宋体" w:cs="宋体"/>
          <w:color w:val="auto"/>
          <w:sz w:val="21"/>
          <w:szCs w:val="21"/>
          <w:highlight w:val="none"/>
        </w:rPr>
        <w:t>予以经济处罚，一般安全</w:t>
      </w:r>
      <w:r>
        <w:rPr>
          <w:rFonts w:hint="eastAsia" w:ascii="宋体" w:hAnsi="宋体" w:eastAsia="宋体" w:cs="宋体"/>
          <w:color w:val="auto"/>
          <w:sz w:val="21"/>
          <w:szCs w:val="21"/>
          <w:highlight w:val="none"/>
          <w:lang w:eastAsia="zh-CN"/>
        </w:rPr>
        <w:t>责任</w:t>
      </w:r>
      <w:r>
        <w:rPr>
          <w:rFonts w:hint="eastAsia" w:ascii="宋体" w:hAnsi="宋体" w:eastAsia="宋体" w:cs="宋体"/>
          <w:color w:val="auto"/>
          <w:sz w:val="21"/>
          <w:szCs w:val="21"/>
          <w:highlight w:val="none"/>
        </w:rPr>
        <w:t>事故的，给予</w:t>
      </w:r>
      <w:r>
        <w:rPr>
          <w:rFonts w:hint="eastAsia" w:ascii="宋体" w:hAnsi="宋体" w:eastAsia="宋体" w:cs="宋体"/>
          <w:color w:val="auto"/>
          <w:sz w:val="21"/>
          <w:szCs w:val="21"/>
          <w:highlight w:val="none"/>
          <w:lang w:eastAsia="zh-CN"/>
        </w:rPr>
        <w:t>扣除</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养护企业</w:t>
      </w:r>
      <w:r>
        <w:rPr>
          <w:rFonts w:hint="eastAsia" w:ascii="宋体" w:hAnsi="宋体" w:eastAsia="宋体" w:cs="宋体"/>
          <w:color w:val="auto"/>
          <w:sz w:val="21"/>
          <w:szCs w:val="21"/>
          <w:highlight w:val="none"/>
        </w:rPr>
        <w:t>履约保证金50%的处罚，由</w:t>
      </w:r>
      <w:r>
        <w:rPr>
          <w:rFonts w:hint="eastAsia" w:ascii="宋体" w:hAnsi="宋体" w:eastAsia="宋体" w:cs="宋体"/>
          <w:color w:val="auto"/>
          <w:sz w:val="21"/>
          <w:szCs w:val="21"/>
          <w:highlight w:val="none"/>
          <w:lang w:eastAsia="zh-CN"/>
        </w:rPr>
        <w:t>街道</w:t>
      </w:r>
      <w:r>
        <w:rPr>
          <w:rFonts w:hint="eastAsia" w:ascii="宋体" w:hAnsi="宋体" w:eastAsia="宋体" w:cs="宋体"/>
          <w:color w:val="auto"/>
          <w:sz w:val="21"/>
          <w:szCs w:val="21"/>
          <w:highlight w:val="none"/>
        </w:rPr>
        <w:t>通报批评；重大安全</w:t>
      </w:r>
      <w:r>
        <w:rPr>
          <w:rFonts w:hint="eastAsia" w:ascii="宋体" w:hAnsi="宋体" w:eastAsia="宋体" w:cs="宋体"/>
          <w:color w:val="auto"/>
          <w:sz w:val="21"/>
          <w:szCs w:val="21"/>
          <w:highlight w:val="none"/>
          <w:lang w:eastAsia="zh-CN"/>
        </w:rPr>
        <w:t>责任</w:t>
      </w:r>
      <w:r>
        <w:rPr>
          <w:rFonts w:hint="eastAsia" w:ascii="宋体" w:hAnsi="宋体" w:eastAsia="宋体" w:cs="宋体"/>
          <w:color w:val="auto"/>
          <w:sz w:val="21"/>
          <w:szCs w:val="21"/>
          <w:highlight w:val="none"/>
        </w:rPr>
        <w:t>事故的，给予</w:t>
      </w:r>
      <w:r>
        <w:rPr>
          <w:rFonts w:hint="eastAsia" w:ascii="宋体" w:hAnsi="宋体" w:eastAsia="宋体" w:cs="宋体"/>
          <w:color w:val="auto"/>
          <w:sz w:val="21"/>
          <w:szCs w:val="21"/>
          <w:highlight w:val="none"/>
          <w:lang w:eastAsia="zh-CN"/>
        </w:rPr>
        <w:t>扣除</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养护企业</w:t>
      </w:r>
      <w:r>
        <w:rPr>
          <w:rFonts w:hint="eastAsia" w:ascii="宋体" w:hAnsi="宋体" w:eastAsia="宋体" w:cs="宋体"/>
          <w:color w:val="auto"/>
          <w:sz w:val="21"/>
          <w:szCs w:val="21"/>
          <w:highlight w:val="none"/>
        </w:rPr>
        <w:t>履约保证金100%的处罚。</w:t>
      </w:r>
      <w:r>
        <w:rPr>
          <w:rFonts w:hint="eastAsia" w:ascii="宋体" w:hAnsi="宋体" w:eastAsia="宋体" w:cs="宋体"/>
          <w:color w:val="auto"/>
          <w:sz w:val="21"/>
          <w:szCs w:val="21"/>
          <w:highlight w:val="none"/>
          <w:lang w:eastAsia="zh-CN"/>
        </w:rPr>
        <w:t>终止养护合同</w:t>
      </w:r>
      <w:r>
        <w:rPr>
          <w:rFonts w:hint="eastAsia" w:ascii="宋体" w:hAnsi="宋体" w:eastAsia="宋体" w:cs="宋体"/>
          <w:color w:val="auto"/>
          <w:sz w:val="21"/>
          <w:szCs w:val="21"/>
          <w:highlight w:val="none"/>
        </w:rPr>
        <w:t>，并向相关部门通报。其它等级安全责任事故的由国家相关部门进行查处。</w:t>
      </w:r>
      <w:r>
        <w:rPr>
          <w:rFonts w:hint="eastAsia" w:ascii="宋体" w:hAnsi="宋体" w:eastAsia="宋体" w:cs="宋体"/>
          <w:b w:val="0"/>
          <w:bCs/>
          <w:color w:val="auto"/>
          <w:sz w:val="21"/>
          <w:szCs w:val="21"/>
          <w:highlight w:val="none"/>
          <w:lang w:val="en-US" w:eastAsia="zh-CN"/>
        </w:rPr>
        <w:t>。</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bookmarkStart w:id="49" w:name="_Toc2037"/>
      <w:bookmarkStart w:id="50" w:name="_Toc29879"/>
      <w:bookmarkStart w:id="51" w:name="_Toc14163180"/>
      <w:r>
        <w:rPr>
          <w:rFonts w:hint="eastAsia" w:ascii="宋体" w:hAnsi="宋体" w:eastAsia="宋体" w:cs="宋体"/>
          <w:b/>
          <w:bCs/>
          <w:kern w:val="2"/>
          <w:sz w:val="21"/>
          <w:szCs w:val="21"/>
          <w:lang w:val="en-US" w:eastAsia="zh-CN" w:bidi="ar-SA"/>
        </w:rPr>
        <w:t>六、安全事项及违约责任</w:t>
      </w:r>
    </w:p>
    <w:p>
      <w:pPr>
        <w:widowControl/>
        <w:spacing w:line="3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w:t>
      </w:r>
      <w:r>
        <w:rPr>
          <w:rFonts w:hint="eastAsia" w:ascii="宋体" w:hAnsi="宋体" w:cs="宋体"/>
          <w:kern w:val="0"/>
          <w:szCs w:val="21"/>
          <w:highlight w:val="none"/>
        </w:rPr>
        <w:t>中标人应严格执行各项国家有关规定，有关技术人员必须持证上岗，专人专职负责安全。</w:t>
      </w:r>
    </w:p>
    <w:p>
      <w:pPr>
        <w:widowControl/>
        <w:spacing w:line="3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w:t>
      </w:r>
      <w:r>
        <w:rPr>
          <w:rFonts w:hint="eastAsia" w:ascii="宋体" w:hAnsi="宋体" w:cs="宋体"/>
          <w:kern w:val="0"/>
          <w:szCs w:val="21"/>
          <w:highlight w:val="none"/>
        </w:rPr>
        <w:t>中标人应严格按国家有关规定，为本项目所有养护人员办理相关保险事宜（如工伤保险等）。</w:t>
      </w:r>
    </w:p>
    <w:p>
      <w:pPr>
        <w:widowControl/>
        <w:spacing w:line="3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kern w:val="0"/>
          <w:szCs w:val="21"/>
          <w:highlight w:val="none"/>
          <w:lang w:eastAsia="zh-CN"/>
        </w:rPr>
        <w:t>、</w:t>
      </w:r>
      <w:r>
        <w:rPr>
          <w:rFonts w:hint="eastAsia" w:ascii="宋体" w:hAnsi="宋体" w:cs="宋体"/>
          <w:kern w:val="0"/>
          <w:szCs w:val="21"/>
          <w:highlight w:val="none"/>
        </w:rPr>
        <w:t>中标人应实施严格的各类安全防护措施，切实做好修剪、浇水、除草、保洁、除虫等养护工作时的安民告示；设置必要养护工作时的警戒标志、线杆保护措施；制定保障人员出行安全畅通的保证措施；做好养护照明、看守、警卫工作及有毒气体防护措施和电源电线安全保护措施，并对养护工程现场的安全负责，接受采购单位的现场代表对安全措施的监督。中标人在养护期间，若发生与本养护管理工程相关的安全事故和治安纠纷事件，一切法律和经济责任均由中标人承担，采购单位概不负责。由于中标人安全措施不力、养护工作不到位、违反安全操作规程而导致责任事故或伤害的，所发生的费用均由中标人自负，采购单位保留追究责任的权利。</w:t>
      </w:r>
    </w:p>
    <w:p>
      <w:pPr>
        <w:widowControl/>
        <w:spacing w:line="3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养护期间中标人应做好抗灾减灾应急预案，密切注意气象预报，及时采取防范措施，防止暴风雨（台风）、洪水、雷电、冰冻、旱、雪等造成工程损害，中标人不得以除不可抗力以外的自然灾害为由提出索赔要求。</w:t>
      </w:r>
    </w:p>
    <w:p>
      <w:pPr>
        <w:widowControl/>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5</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养护过程中，中标人必须按投标时提供的人员配置，合理安排劳动力，未详之处按劳动法相关规定处理</w:t>
      </w:r>
      <w:r>
        <w:rPr>
          <w:rFonts w:hint="eastAsia" w:ascii="宋体" w:hAnsi="宋体" w:eastAsia="宋体" w:cs="宋体"/>
          <w:kern w:val="0"/>
          <w:szCs w:val="21"/>
          <w:highlight w:val="none"/>
          <w:lang w:eastAsia="zh-CN"/>
        </w:rPr>
        <w:t>。</w:t>
      </w:r>
    </w:p>
    <w:p>
      <w:pPr>
        <w:numPr>
          <w:ilvl w:val="0"/>
          <w:numId w:val="0"/>
        </w:numPr>
        <w:ind w:left="0" w:leftChars="0" w:firstLine="0" w:firstLineChars="0"/>
        <w:jc w:val="left"/>
        <w:outlineLvl w:val="9"/>
        <w:rPr>
          <w:rFonts w:hint="eastAsia"/>
          <w:highlight w:val="none"/>
          <w:lang w:val="en-US" w:eastAsia="zh-CN"/>
        </w:rPr>
      </w:pP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七、人员及设备、设施配备（每标段均需）</w:t>
      </w:r>
    </w:p>
    <w:p>
      <w:pPr>
        <w:widowControl/>
        <w:snapToGrid w:val="0"/>
        <w:spacing w:line="360" w:lineRule="exact"/>
        <w:ind w:firstLine="420" w:firstLineChars="200"/>
        <w:jc w:val="left"/>
        <w:rPr>
          <w:rFonts w:hint="default"/>
          <w:highlight w:val="none"/>
          <w:lang w:val="en-US" w:eastAsia="zh-CN"/>
        </w:rPr>
      </w:pPr>
      <w:r>
        <w:rPr>
          <w:rFonts w:hint="eastAsia" w:ascii="宋体" w:hAnsi="宋体" w:cs="宋体"/>
          <w:kern w:val="0"/>
          <w:szCs w:val="21"/>
          <w:highlight w:val="none"/>
          <w:lang w:val="en-US" w:eastAsia="zh-CN"/>
        </w:rPr>
        <w:t>1、应配备一名项目负责人、二名现场管理员（现场管理员应具备相关园艺管理经验）、二名安全员，并按照每10000平方米绿地配置不少于一人配备基本服务人员。</w:t>
      </w:r>
      <w:r>
        <w:rPr>
          <w:rFonts w:hint="eastAsia" w:ascii="宋体" w:hAnsi="宋体" w:cs="宋体"/>
          <w:kern w:val="0"/>
          <w:szCs w:val="21"/>
          <w:highlight w:val="yellow"/>
          <w:lang w:val="en-US" w:eastAsia="zh-CN"/>
        </w:rPr>
        <w:t>（上述各类型人员不得兼任）</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2、养护机械设备最低配置要求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832"/>
        <w:gridCol w:w="1860"/>
        <w:gridCol w:w="1424"/>
        <w:gridCol w:w="1511"/>
        <w:gridCol w:w="171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052"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eastAsia="zh-CN"/>
              </w:rPr>
              <w:t>序号</w:t>
            </w:r>
          </w:p>
        </w:tc>
        <w:tc>
          <w:tcPr>
            <w:tcW w:w="10380" w:type="dxa"/>
            <w:gridSpan w:val="6"/>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机械设备</w:t>
            </w:r>
            <w:r>
              <w:rPr>
                <w:rFonts w:hint="eastAsia" w:ascii="宋体" w:eastAsia="宋体" w:cs="宋体"/>
                <w:b w:val="0"/>
                <w:bCs w:val="0"/>
                <w:color w:val="000000"/>
                <w:kern w:val="0"/>
                <w:sz w:val="21"/>
                <w:szCs w:val="21"/>
                <w:highlight w:val="none"/>
                <w:lang w:val="en-US" w:eastAsia="zh-CN"/>
              </w:rPr>
              <w:t>最低</w:t>
            </w:r>
            <w:r>
              <w:rPr>
                <w:rFonts w:hint="eastAsia" w:ascii="宋体" w:hAnsi="宋体" w:eastAsia="宋体" w:cs="宋体"/>
                <w:b w:val="0"/>
                <w:bCs w:val="0"/>
                <w:color w:val="000000"/>
                <w:kern w:val="0"/>
                <w:sz w:val="21"/>
                <w:szCs w:val="21"/>
                <w:highlight w:val="none"/>
              </w:rPr>
              <w:t>配置要求（辆或台）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2052"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p>
        </w:tc>
        <w:tc>
          <w:tcPr>
            <w:tcW w:w="1832"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eastAsia="zh-CN"/>
              </w:rPr>
              <w:t>洒</w:t>
            </w:r>
            <w:r>
              <w:rPr>
                <w:rFonts w:hint="eastAsia" w:ascii="宋体" w:hAnsi="宋体" w:eastAsia="宋体" w:cs="宋体"/>
                <w:b w:val="0"/>
                <w:bCs w:val="0"/>
                <w:color w:val="000000"/>
                <w:kern w:val="0"/>
                <w:sz w:val="21"/>
                <w:szCs w:val="21"/>
                <w:highlight w:val="none"/>
              </w:rPr>
              <w:t>水车</w:t>
            </w:r>
          </w:p>
        </w:tc>
        <w:tc>
          <w:tcPr>
            <w:tcW w:w="1860"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打药机或喷药机</w:t>
            </w:r>
          </w:p>
        </w:tc>
        <w:tc>
          <w:tcPr>
            <w:tcW w:w="1424"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登高作业车</w:t>
            </w:r>
          </w:p>
        </w:tc>
        <w:tc>
          <w:tcPr>
            <w:tcW w:w="1511"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水泵</w:t>
            </w:r>
          </w:p>
        </w:tc>
        <w:tc>
          <w:tcPr>
            <w:tcW w:w="1715"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绿篱修剪机</w:t>
            </w:r>
          </w:p>
        </w:tc>
        <w:tc>
          <w:tcPr>
            <w:tcW w:w="2038"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草坪修剪机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052" w:type="dxa"/>
            <w:noWrap w:val="0"/>
            <w:vAlign w:val="center"/>
          </w:tcPr>
          <w:p>
            <w:pPr>
              <w:jc w:val="center"/>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1</w:t>
            </w:r>
          </w:p>
        </w:tc>
        <w:tc>
          <w:tcPr>
            <w:tcW w:w="1832"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2</w:t>
            </w:r>
          </w:p>
        </w:tc>
        <w:tc>
          <w:tcPr>
            <w:tcW w:w="1860"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2</w:t>
            </w:r>
          </w:p>
        </w:tc>
        <w:tc>
          <w:tcPr>
            <w:tcW w:w="1424"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eastAsia="宋体" w:cs="宋体"/>
                <w:b w:val="0"/>
                <w:bCs w:val="0"/>
                <w:color w:val="000000"/>
                <w:kern w:val="0"/>
                <w:sz w:val="21"/>
                <w:szCs w:val="21"/>
                <w:highlight w:val="none"/>
                <w:lang w:val="en-US" w:eastAsia="zh-CN"/>
              </w:rPr>
              <w:t>1</w:t>
            </w:r>
          </w:p>
        </w:tc>
        <w:tc>
          <w:tcPr>
            <w:tcW w:w="1511"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2</w:t>
            </w:r>
          </w:p>
        </w:tc>
        <w:tc>
          <w:tcPr>
            <w:tcW w:w="1715" w:type="dxa"/>
            <w:noWrap w:val="0"/>
            <w:vAlign w:val="center"/>
          </w:tcPr>
          <w:p>
            <w:pPr>
              <w:jc w:val="center"/>
              <w:rPr>
                <w:rFonts w:hint="eastAsia" w:ascii="宋体" w:hAnsi="宋体" w:eastAsia="宋体" w:cs="宋体"/>
                <w:b w:val="0"/>
                <w:bCs w:val="0"/>
                <w:color w:val="000000"/>
                <w:kern w:val="0"/>
                <w:sz w:val="21"/>
                <w:szCs w:val="21"/>
                <w:highlight w:val="none"/>
              </w:rPr>
            </w:pPr>
            <w:r>
              <w:rPr>
                <w:rFonts w:hint="eastAsia" w:ascii="宋体" w:eastAsia="宋体" w:cs="宋体"/>
                <w:b w:val="0"/>
                <w:bCs w:val="0"/>
                <w:color w:val="000000"/>
                <w:kern w:val="0"/>
                <w:sz w:val="21"/>
                <w:szCs w:val="21"/>
                <w:highlight w:val="none"/>
                <w:lang w:val="en-US" w:eastAsia="zh-CN"/>
              </w:rPr>
              <w:t>5</w:t>
            </w:r>
          </w:p>
        </w:tc>
        <w:tc>
          <w:tcPr>
            <w:tcW w:w="2038"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eastAsia="宋体" w:cs="宋体"/>
                <w:b w:val="0"/>
                <w:bCs w:val="0"/>
                <w:color w:val="000000"/>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052"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val="0"/>
                <w:bCs w:val="0"/>
                <w:color w:val="000000"/>
                <w:kern w:val="0"/>
                <w:sz w:val="21"/>
                <w:szCs w:val="21"/>
                <w:highlight w:val="none"/>
                <w:lang w:eastAsia="zh-CN"/>
              </w:rPr>
            </w:pPr>
            <w:r>
              <w:rPr>
                <w:rFonts w:hint="eastAsia" w:ascii="宋体" w:eastAsia="宋体" w:cs="宋体"/>
                <w:b w:val="0"/>
                <w:bCs w:val="0"/>
                <w:color w:val="000000"/>
                <w:kern w:val="0"/>
                <w:sz w:val="21"/>
                <w:szCs w:val="21"/>
                <w:highlight w:val="none"/>
                <w:lang w:eastAsia="zh-CN"/>
              </w:rPr>
              <w:t>注</w:t>
            </w:r>
          </w:p>
        </w:tc>
        <w:tc>
          <w:tcPr>
            <w:tcW w:w="10380" w:type="dxa"/>
            <w:gridSpan w:val="6"/>
            <w:noWrap w:val="0"/>
            <w:vAlign w:val="center"/>
          </w:tcPr>
          <w:p>
            <w:pPr>
              <w:pStyle w:val="14"/>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Cs/>
                <w:sz w:val="21"/>
                <w:szCs w:val="21"/>
                <w:highlight w:val="none"/>
              </w:rPr>
              <w:t>所有机械设备均应为园林养护企业自备。</w:t>
            </w:r>
          </w:p>
        </w:tc>
      </w:tr>
    </w:tbl>
    <w:p>
      <w:pPr>
        <w:widowControl/>
        <w:snapToGrid w:val="0"/>
        <w:spacing w:line="360" w:lineRule="exact"/>
        <w:ind w:firstLine="422" w:firstLineChars="200"/>
        <w:jc w:val="left"/>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3、采购单位不提供管理用房及仓库，由投标人自行解决；中标单位中标后20天内由采购人进行现场验收，不能提供的单位不予签订合同。</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4、本项目养护范围内用水由中标人自理，并按时交纳水费。</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5、中标人在养护范围内用水过程中，消防栓开关损坏，应及时更换。若采购单位发现消防栓开关损坏未更换的，采购单位有权对中标单位按市场价的2倍扣除相应金额。</w:t>
      </w:r>
    </w:p>
    <w:p>
      <w:pPr>
        <w:widowControl/>
        <w:snapToGrid w:val="0"/>
        <w:spacing w:line="360" w:lineRule="exact"/>
        <w:ind w:firstLine="422" w:firstLineChars="200"/>
        <w:jc w:val="left"/>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6、中标人在养护范围内的农药、肥料等辅料由中标人自行采购（费用包含在总价中），使用前需报采购人认可。</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7、支撑材料</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支撑杆应选用杉木杆、松木杆、桉树杆等，不得使用竹竿。15cm以内乔木可采用1.5-2m高度支撑杆，15cm(含）以上乔木必须采用2m以上高度支撑杆。</w:t>
      </w:r>
    </w:p>
    <w:p>
      <w:pPr>
        <w:widowControl/>
        <w:snapToGrid w:val="0"/>
        <w:spacing w:line="360" w:lineRule="exact"/>
        <w:ind w:firstLine="422" w:firstLineChars="200"/>
        <w:jc w:val="left"/>
        <w:rPr>
          <w:rFonts w:hint="eastAsia" w:ascii="宋体" w:hAnsi="宋体" w:eastAsia="宋体" w:cs="宋体"/>
          <w:kern w:val="0"/>
          <w:szCs w:val="21"/>
          <w:highlight w:val="none"/>
          <w:lang w:val="en-US" w:eastAsia="zh-CN"/>
        </w:rPr>
      </w:pPr>
      <w:r>
        <w:rPr>
          <w:rFonts w:hint="eastAsia" w:ascii="宋体" w:hAnsi="宋体" w:eastAsia="宋体" w:cs="宋体"/>
          <w:b/>
          <w:bCs/>
          <w:color w:val="FF0000"/>
          <w:kern w:val="0"/>
          <w:szCs w:val="21"/>
          <w:highlight w:val="none"/>
          <w:lang w:val="en-US" w:eastAsia="zh-CN"/>
        </w:rPr>
        <w:t>▲本项目养护范围内的乔木支撑杆残缺不</w:t>
      </w:r>
      <w:r>
        <w:rPr>
          <w:rFonts w:hint="eastAsia" w:ascii="宋体" w:hAnsi="宋体" w:eastAsia="宋体" w:cs="宋体"/>
          <w:b/>
          <w:bCs/>
          <w:color w:val="FF0000"/>
          <w:kern w:val="0"/>
          <w:szCs w:val="21"/>
          <w:highlight w:val="none"/>
          <w:u w:val="single"/>
          <w:lang w:val="en-US" w:eastAsia="zh-CN"/>
        </w:rPr>
        <w:t>齐</w:t>
      </w:r>
      <w:r>
        <w:rPr>
          <w:rFonts w:hint="eastAsia" w:ascii="宋体" w:hAnsi="宋体" w:eastAsia="宋体" w:cs="宋体"/>
          <w:b/>
          <w:bCs/>
          <w:color w:val="FF0000"/>
          <w:kern w:val="0"/>
          <w:szCs w:val="21"/>
          <w:highlight w:val="none"/>
          <w:lang w:val="en-US" w:eastAsia="zh-CN"/>
        </w:rPr>
        <w:t>，中标单位进场后应按照所有乔木总量的10%根据采购人要求加装支撑杆，费用包含在投标总价中。</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7.1尺寸标准</w:t>
      </w:r>
      <w:r>
        <w:rPr>
          <w:rFonts w:hint="default" w:ascii="宋体" w:hAnsi="宋体" w:cs="宋体"/>
          <w:kern w:val="0"/>
          <w:szCs w:val="21"/>
          <w:highlight w:val="none"/>
          <w:lang w:val="en-US" w:eastAsia="zh-CN"/>
        </w:rPr>
        <w:t xml:space="preserve"> </w:t>
      </w:r>
    </w:p>
    <w:tbl>
      <w:tblPr>
        <w:tblStyle w:val="28"/>
        <w:tblW w:w="13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4612"/>
        <w:gridCol w:w="370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支撑杆长度</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小头直径</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允许偏差</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±0.7cm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lang w:val="en-US" w:eastAsia="zh-CN"/>
              </w:rPr>
              <w:t>5m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±0.5cm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±0.5cm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8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2m</w:t>
            </w:r>
          </w:p>
        </w:tc>
        <w:tc>
          <w:tcPr>
            <w:tcW w:w="461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≥2cm</w:t>
            </w:r>
          </w:p>
        </w:tc>
        <w:tc>
          <w:tcPr>
            <w:tcW w:w="370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±0.4cm</w:t>
            </w:r>
          </w:p>
        </w:tc>
        <w:tc>
          <w:tcPr>
            <w:tcW w:w="235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kern w:val="0"/>
                <w:sz w:val="21"/>
                <w:szCs w:val="21"/>
                <w:highlight w:val="none"/>
                <w:lang w:val="en-US" w:eastAsia="zh-CN"/>
              </w:rPr>
            </w:pPr>
          </w:p>
        </w:tc>
      </w:tr>
    </w:tbl>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7.2 材料</w:t>
      </w:r>
      <w:r>
        <w:rPr>
          <w:rFonts w:hint="default" w:ascii="宋体" w:hAnsi="宋体" w:cs="宋体"/>
          <w:kern w:val="0"/>
          <w:szCs w:val="21"/>
          <w:highlight w:val="none"/>
          <w:lang w:val="en-US" w:eastAsia="zh-CN"/>
        </w:rPr>
        <w:t xml:space="preserve">质量要求 </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①材料不得老旧腐朽，生产至进货期不超过一年，保障材质和硬度； </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②材料必须干直，不得为歪曲木材； </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③因其与苗木直接接触，故不得携带对苗木有危害的病虫害，无虫蛀痕迹； </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④除杉木外，严禁使用带皮支撑杆</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 xml:space="preserve">7.3 </w:t>
      </w:r>
      <w:r>
        <w:rPr>
          <w:rFonts w:hint="default" w:ascii="宋体" w:hAnsi="宋体" w:cs="宋体"/>
          <w:kern w:val="0"/>
          <w:szCs w:val="21"/>
          <w:highlight w:val="none"/>
          <w:lang w:val="en-US" w:eastAsia="zh-CN"/>
        </w:rPr>
        <w:t xml:space="preserve">镀锌钢管 </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default" w:ascii="宋体" w:hAnsi="宋体" w:cs="宋体"/>
          <w:kern w:val="0"/>
          <w:szCs w:val="21"/>
          <w:highlight w:val="none"/>
          <w:lang w:val="en-US" w:eastAsia="zh-CN"/>
        </w:rPr>
        <w:t>大型苗木（胸径 30cm,高度超过 8 米）</w:t>
      </w:r>
      <w:r>
        <w:rPr>
          <w:rFonts w:hint="eastAsia" w:ascii="宋体" w:hAnsi="宋体" w:cs="宋体"/>
          <w:kern w:val="0"/>
          <w:szCs w:val="21"/>
          <w:highlight w:val="none"/>
          <w:lang w:val="en-US" w:eastAsia="zh-CN"/>
        </w:rPr>
        <w:t>应</w:t>
      </w:r>
      <w:r>
        <w:rPr>
          <w:rFonts w:hint="default" w:ascii="宋体" w:hAnsi="宋体" w:cs="宋体"/>
          <w:kern w:val="0"/>
          <w:szCs w:val="21"/>
          <w:highlight w:val="none"/>
          <w:lang w:val="en-US" w:eastAsia="zh-CN"/>
        </w:rPr>
        <w:t>选用</w:t>
      </w:r>
      <w:r>
        <w:rPr>
          <w:rFonts w:hint="eastAsia" w:ascii="宋体" w:hAnsi="宋体" w:cs="宋体"/>
          <w:kern w:val="0"/>
          <w:szCs w:val="21"/>
          <w:highlight w:val="none"/>
          <w:lang w:val="en-US" w:eastAsia="zh-CN"/>
        </w:rPr>
        <w:t>DN40</w:t>
      </w:r>
      <w:r>
        <w:rPr>
          <w:rFonts w:hint="default" w:ascii="宋体" w:hAnsi="宋体" w:cs="宋体"/>
          <w:kern w:val="0"/>
          <w:szCs w:val="21"/>
          <w:highlight w:val="none"/>
          <w:lang w:val="en-US" w:eastAsia="zh-CN"/>
        </w:rPr>
        <w:t>钢管支撑。钢支撑表面内层镀锌防锈，外层涂绿漆；必须干直，不得歪曲</w:t>
      </w:r>
      <w:r>
        <w:rPr>
          <w:rFonts w:hint="eastAsia" w:ascii="宋体" w:hAnsi="宋体" w:cs="宋体"/>
          <w:kern w:val="0"/>
          <w:szCs w:val="21"/>
          <w:highlight w:val="none"/>
          <w:lang w:val="en-US" w:eastAsia="zh-CN"/>
        </w:rPr>
        <w:t>。</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7.4支撑制作</w:t>
      </w:r>
      <w:r>
        <w:rPr>
          <w:rFonts w:hint="default" w:ascii="宋体" w:hAnsi="宋体" w:cs="宋体"/>
          <w:kern w:val="0"/>
          <w:szCs w:val="21"/>
          <w:highlight w:val="none"/>
          <w:lang w:val="en-US" w:eastAsia="zh-CN"/>
        </w:rPr>
        <w:t xml:space="preserve">质量要求 </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支撑制作及搭建应按安吉县园管处指导技术标准执行。</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①三角、四角支撑及水平支撑的各支撑杆要粗细一致，整齐美观； </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②作行列式栽植及片植的同一树种，其支撑杆的设置方向、支撑高度、 </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支撑杆倾斜角度应整齐一致，分布均匀； </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③支撑杆要设置牢固，不偏斜、不吊桩，支撑树干扎缚处应夹垫衬物， </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 xml:space="preserve">以防磨损树皮； </w:t>
      </w:r>
    </w:p>
    <w:p>
      <w:pPr>
        <w:widowControl/>
        <w:snapToGrid w:val="0"/>
        <w:spacing w:line="360" w:lineRule="exact"/>
        <w:ind w:firstLine="420" w:firstLineChars="200"/>
        <w:jc w:val="left"/>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④严禁使用未经处理、带有病虫的木质撑杆。</w:t>
      </w:r>
    </w:p>
    <w:p>
      <w:pPr>
        <w:widowControl/>
        <w:snapToGrid w:val="0"/>
        <w:spacing w:line="360" w:lineRule="exact"/>
        <w:ind w:firstLine="422" w:firstLineChars="200"/>
        <w:jc w:val="left"/>
        <w:rPr>
          <w:rFonts w:hint="eastAsia" w:ascii="宋体" w:hAnsi="宋体" w:eastAsia="宋体" w:cs="宋体"/>
          <w:b/>
          <w:bCs/>
          <w:color w:val="FF0000"/>
          <w:kern w:val="0"/>
          <w:szCs w:val="21"/>
          <w:highlight w:val="none"/>
          <w:lang w:val="en-US" w:eastAsia="zh-CN"/>
        </w:rPr>
      </w:pPr>
      <w:bookmarkStart w:id="52" w:name="_Toc32332"/>
      <w:bookmarkStart w:id="53" w:name="_Toc24540"/>
      <w:r>
        <w:rPr>
          <w:rFonts w:hint="eastAsia" w:ascii="宋体" w:hAnsi="宋体" w:eastAsia="宋体" w:cs="宋体"/>
          <w:b/>
          <w:bCs/>
          <w:color w:val="FF0000"/>
          <w:kern w:val="0"/>
          <w:szCs w:val="21"/>
          <w:highlight w:val="none"/>
          <w:lang w:val="en-US" w:eastAsia="zh-CN"/>
        </w:rPr>
        <w:t>▲8、“</w:t>
      </w:r>
      <w:r>
        <w:rPr>
          <w:rFonts w:hint="eastAsia" w:ascii="宋体" w:hAnsi="宋体" w:cs="宋体"/>
          <w:b/>
          <w:bCs/>
          <w:color w:val="FF0000"/>
          <w:kern w:val="0"/>
          <w:szCs w:val="21"/>
          <w:highlight w:val="none"/>
          <w:lang w:val="en-US" w:eastAsia="zh-CN"/>
        </w:rPr>
        <w:t>安吉县绿色家居产业园园区道路绿化养护服务政府采购项目（项目编号</w:t>
      </w:r>
      <w:r>
        <w:rPr>
          <w:rFonts w:hint="eastAsia" w:ascii="宋体" w:hAnsi="宋体" w:eastAsia="宋体" w:cs="宋体"/>
          <w:b/>
          <w:bCs/>
          <w:color w:val="FF0000"/>
          <w:kern w:val="0"/>
          <w:szCs w:val="21"/>
          <w:highlight w:val="none"/>
          <w:lang w:val="en-US" w:eastAsia="zh-CN"/>
        </w:rPr>
        <w:t>：JCGK2021-002）</w:t>
      </w:r>
      <w:r>
        <w:rPr>
          <w:rFonts w:hint="eastAsia" w:ascii="宋体" w:hAnsi="宋体" w:cs="宋体"/>
          <w:b/>
          <w:bCs/>
          <w:color w:val="FF0000"/>
          <w:kern w:val="0"/>
          <w:szCs w:val="21"/>
          <w:highlight w:val="none"/>
          <w:lang w:val="en-US" w:eastAsia="zh-CN"/>
        </w:rPr>
        <w:t>；递铺街道塘浦片区道路绿化养护服务政府采购项目(项目编号：JCGK2022-018）</w:t>
      </w:r>
      <w:r>
        <w:rPr>
          <w:rFonts w:hint="eastAsia" w:ascii="宋体" w:hAnsi="宋体" w:eastAsia="宋体" w:cs="宋体"/>
          <w:b/>
          <w:bCs/>
          <w:color w:val="FF0000"/>
          <w:kern w:val="0"/>
          <w:szCs w:val="21"/>
          <w:highlight w:val="none"/>
          <w:lang w:val="en-US" w:eastAsia="zh-CN"/>
        </w:rPr>
        <w:t>”</w:t>
      </w:r>
      <w:r>
        <w:rPr>
          <w:rFonts w:hint="eastAsia" w:ascii="宋体" w:hAnsi="宋体" w:cs="宋体"/>
          <w:b/>
          <w:bCs/>
          <w:color w:val="FF0000"/>
          <w:kern w:val="0"/>
          <w:szCs w:val="21"/>
          <w:highlight w:val="none"/>
          <w:lang w:val="en-US" w:eastAsia="zh-CN"/>
        </w:rPr>
        <w:t>的中标人</w:t>
      </w:r>
      <w:r>
        <w:rPr>
          <w:rFonts w:hint="eastAsia" w:ascii="宋体" w:hAnsi="宋体" w:eastAsia="宋体" w:cs="宋体"/>
          <w:b/>
          <w:bCs/>
          <w:color w:val="FF0000"/>
          <w:kern w:val="0"/>
          <w:szCs w:val="21"/>
          <w:highlight w:val="none"/>
          <w:lang w:val="en-US" w:eastAsia="zh-CN"/>
        </w:rPr>
        <w:t>参加本项目投标，应注意拟投入本项目的人员（二名现场管理人员、二名安全员和所有服务人员）、设备（</w:t>
      </w:r>
      <w:r>
        <w:rPr>
          <w:rFonts w:hint="eastAsia" w:ascii="宋体" w:hAnsi="宋体" w:eastAsia="宋体" w:cs="宋体"/>
          <w:b/>
          <w:bCs/>
          <w:color w:val="FF0000"/>
          <w:kern w:val="0"/>
          <w:szCs w:val="21"/>
          <w:highlight w:val="none"/>
          <w:lang w:eastAsia="zh-CN"/>
        </w:rPr>
        <w:t>洒</w:t>
      </w:r>
      <w:r>
        <w:rPr>
          <w:rFonts w:hint="eastAsia" w:ascii="宋体" w:hAnsi="宋体" w:eastAsia="宋体" w:cs="宋体"/>
          <w:b/>
          <w:bCs/>
          <w:color w:val="FF0000"/>
          <w:kern w:val="0"/>
          <w:szCs w:val="21"/>
          <w:highlight w:val="none"/>
        </w:rPr>
        <w:t>水车</w:t>
      </w:r>
      <w:r>
        <w:rPr>
          <w:rFonts w:hint="eastAsia" w:ascii="宋体" w:hAnsi="宋体" w:eastAsia="宋体" w:cs="宋体"/>
          <w:b/>
          <w:bCs/>
          <w:color w:val="FF0000"/>
          <w:kern w:val="0"/>
          <w:szCs w:val="21"/>
          <w:highlight w:val="none"/>
          <w:lang w:val="en-US" w:eastAsia="zh-CN"/>
        </w:rPr>
        <w:t>2辆、</w:t>
      </w:r>
      <w:r>
        <w:rPr>
          <w:rFonts w:hint="eastAsia" w:ascii="宋体" w:hAnsi="宋体" w:eastAsia="宋体" w:cs="宋体"/>
          <w:b/>
          <w:bCs/>
          <w:color w:val="FF0000"/>
          <w:kern w:val="0"/>
          <w:szCs w:val="21"/>
          <w:highlight w:val="none"/>
        </w:rPr>
        <w:t>打药</w:t>
      </w:r>
      <w:r>
        <w:rPr>
          <w:rFonts w:hint="eastAsia" w:ascii="宋体" w:hAnsi="宋体" w:eastAsia="宋体" w:cs="宋体"/>
          <w:b/>
          <w:bCs/>
          <w:color w:val="FF0000"/>
          <w:kern w:val="0"/>
          <w:szCs w:val="21"/>
          <w:highlight w:val="none"/>
          <w:lang w:eastAsia="zh-CN"/>
        </w:rPr>
        <w:t>机</w:t>
      </w:r>
      <w:r>
        <w:rPr>
          <w:rFonts w:hint="eastAsia" w:ascii="宋体" w:hAnsi="宋体" w:eastAsia="宋体" w:cs="宋体"/>
          <w:b/>
          <w:bCs/>
          <w:color w:val="FF0000"/>
          <w:kern w:val="0"/>
          <w:szCs w:val="21"/>
          <w:highlight w:val="none"/>
        </w:rPr>
        <w:t>或喷药</w:t>
      </w:r>
      <w:r>
        <w:rPr>
          <w:rFonts w:hint="eastAsia" w:ascii="宋体" w:hAnsi="宋体" w:eastAsia="宋体" w:cs="宋体"/>
          <w:b/>
          <w:bCs/>
          <w:color w:val="FF0000"/>
          <w:kern w:val="0"/>
          <w:szCs w:val="21"/>
          <w:highlight w:val="none"/>
          <w:lang w:eastAsia="zh-CN"/>
        </w:rPr>
        <w:t>机</w:t>
      </w:r>
      <w:r>
        <w:rPr>
          <w:rFonts w:hint="eastAsia" w:ascii="宋体" w:hAnsi="宋体" w:eastAsia="宋体" w:cs="宋体"/>
          <w:b/>
          <w:bCs/>
          <w:color w:val="FF0000"/>
          <w:kern w:val="0"/>
          <w:szCs w:val="21"/>
          <w:highlight w:val="none"/>
          <w:lang w:val="en-US" w:eastAsia="zh-CN"/>
        </w:rPr>
        <w:t>2台、登高作业车1辆）不能与</w:t>
      </w:r>
      <w:r>
        <w:rPr>
          <w:rFonts w:hint="eastAsia" w:ascii="宋体" w:hAnsi="宋体" w:cs="宋体"/>
          <w:b/>
          <w:bCs/>
          <w:color w:val="FF0000"/>
          <w:kern w:val="0"/>
          <w:szCs w:val="21"/>
          <w:highlight w:val="none"/>
          <w:lang w:val="en-US" w:eastAsia="zh-CN"/>
        </w:rPr>
        <w:t>上述两个</w:t>
      </w:r>
      <w:r>
        <w:rPr>
          <w:rFonts w:hint="eastAsia" w:ascii="宋体" w:hAnsi="宋体" w:eastAsia="宋体" w:cs="宋体"/>
          <w:b/>
          <w:bCs/>
          <w:color w:val="FF0000"/>
          <w:kern w:val="0"/>
          <w:szCs w:val="21"/>
          <w:highlight w:val="none"/>
          <w:lang w:val="en-US" w:eastAsia="zh-CN"/>
        </w:rPr>
        <w:t>正在养护的项目重合。</w:t>
      </w:r>
      <w:bookmarkEnd w:id="52"/>
      <w:bookmarkEnd w:id="53"/>
    </w:p>
    <w:p>
      <w:pPr>
        <w:widowControl/>
        <w:snapToGrid w:val="0"/>
        <w:spacing w:line="360" w:lineRule="exact"/>
        <w:ind w:firstLine="422" w:firstLineChars="200"/>
        <w:jc w:val="left"/>
        <w:rPr>
          <w:rFonts w:hint="eastAsia" w:ascii="宋体" w:hAnsi="宋体" w:eastAsia="宋体" w:cs="宋体"/>
          <w:b/>
          <w:bCs/>
          <w:color w:val="FF0000"/>
          <w:kern w:val="0"/>
          <w:szCs w:val="21"/>
          <w:highlight w:val="none"/>
          <w:lang w:val="en-US" w:eastAsia="zh-CN"/>
        </w:rPr>
      </w:pPr>
      <w:r>
        <w:rPr>
          <w:rFonts w:hint="eastAsia" w:ascii="宋体" w:hAnsi="宋体" w:cs="宋体"/>
          <w:b/>
          <w:bCs/>
          <w:color w:val="FF0000"/>
          <w:kern w:val="0"/>
          <w:szCs w:val="21"/>
          <w:highlight w:val="none"/>
          <w:lang w:val="en-US" w:eastAsia="zh-CN"/>
        </w:rPr>
        <w:t>安吉县绿色家居产业园园区道路绿化养护服务政府采购项目（项目编号</w:t>
      </w:r>
      <w:r>
        <w:rPr>
          <w:rFonts w:hint="eastAsia" w:ascii="宋体" w:hAnsi="宋体" w:eastAsia="宋体" w:cs="宋体"/>
          <w:b/>
          <w:bCs/>
          <w:color w:val="FF0000"/>
          <w:kern w:val="0"/>
          <w:szCs w:val="21"/>
          <w:highlight w:val="none"/>
          <w:lang w:val="en-US" w:eastAsia="zh-CN"/>
        </w:rPr>
        <w:t>：JCGK2021-002）</w:t>
      </w:r>
      <w:r>
        <w:rPr>
          <w:rFonts w:hint="eastAsia" w:ascii="宋体" w:hAnsi="宋体" w:cs="宋体"/>
          <w:b/>
          <w:bCs/>
          <w:color w:val="FF0000"/>
          <w:kern w:val="0"/>
          <w:szCs w:val="21"/>
          <w:highlight w:val="none"/>
          <w:lang w:val="en-US" w:eastAsia="zh-CN"/>
        </w:rPr>
        <w:t>；递铺街道塘浦片区道路绿化养护服务政府采购项目(项目编号：JCGK2022-018）的中标人</w:t>
      </w:r>
      <w:r>
        <w:rPr>
          <w:rFonts w:hint="eastAsia" w:ascii="宋体" w:hAnsi="宋体" w:eastAsia="宋体" w:cs="宋体"/>
          <w:b/>
          <w:bCs/>
          <w:color w:val="FF0000"/>
          <w:kern w:val="0"/>
          <w:szCs w:val="21"/>
          <w:highlight w:val="none"/>
          <w:lang w:val="en-US" w:eastAsia="zh-CN"/>
        </w:rPr>
        <w:t>参加本项目投标，应如实提交各中标项目</w:t>
      </w:r>
      <w:r>
        <w:rPr>
          <w:rFonts w:hint="eastAsia" w:ascii="宋体" w:hAnsi="宋体" w:cs="宋体"/>
          <w:b/>
          <w:bCs/>
          <w:color w:val="FF0000"/>
          <w:kern w:val="0"/>
          <w:szCs w:val="21"/>
          <w:highlight w:val="none"/>
          <w:lang w:val="en-US" w:eastAsia="zh-CN"/>
        </w:rPr>
        <w:t>投标书中明确</w:t>
      </w:r>
      <w:r>
        <w:rPr>
          <w:rFonts w:hint="eastAsia" w:ascii="宋体" w:hAnsi="宋体" w:eastAsia="宋体" w:cs="宋体"/>
          <w:b/>
          <w:bCs/>
          <w:color w:val="FF0000"/>
          <w:kern w:val="0"/>
          <w:szCs w:val="21"/>
          <w:highlight w:val="none"/>
          <w:lang w:val="en-US" w:eastAsia="zh-CN"/>
        </w:rPr>
        <w:t>投入人员的名单和上述车辆的行驶证复印件、设备购置发票等</w:t>
      </w:r>
      <w:r>
        <w:rPr>
          <w:rFonts w:hint="eastAsia" w:ascii="宋体" w:hAnsi="宋体" w:cs="宋体"/>
          <w:b/>
          <w:bCs/>
          <w:color w:val="FF0000"/>
          <w:kern w:val="0"/>
          <w:szCs w:val="21"/>
          <w:highlight w:val="none"/>
          <w:lang w:val="en-US" w:eastAsia="zh-CN"/>
        </w:rPr>
        <w:t>，否则投标无效</w:t>
      </w:r>
      <w:r>
        <w:rPr>
          <w:rFonts w:hint="eastAsia" w:ascii="宋体" w:hAnsi="宋体" w:eastAsia="宋体" w:cs="宋体"/>
          <w:b/>
          <w:bCs/>
          <w:color w:val="FF0000"/>
          <w:kern w:val="0"/>
          <w:szCs w:val="21"/>
          <w:highlight w:val="none"/>
          <w:lang w:val="en-US" w:eastAsia="zh-CN"/>
        </w:rPr>
        <w:t>。</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八、服务费结算及支付</w:t>
      </w:r>
    </w:p>
    <w:p>
      <w:pPr>
        <w:widowControl/>
        <w:snapToGrid w:val="0"/>
        <w:spacing w:line="3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本次招标采用固定单价承包方式</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按实际工作量计算</w:t>
      </w:r>
      <w:r>
        <w:rPr>
          <w:rFonts w:hint="eastAsia" w:ascii="宋体" w:hAnsi="宋体" w:eastAsia="宋体" w:cs="宋体"/>
          <w:kern w:val="0"/>
          <w:szCs w:val="21"/>
          <w:highlight w:val="none"/>
        </w:rPr>
        <w:t>。</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1、养护服务费按季结算（按每月实际养护量及中标单价核算，并根据考核情况计算），按季支付。</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2、管理处根据上月的考核成绩，在当月中旬将考核结果及服务费支付意见上报街道科室。</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养护管理实行百分制月度考评，得分在90分（含90分）以上，可计取当月养护费；得分在90分-80分（含80分）按所得分百分比支付养护费（如得分为87分，则记取当月87%的养护费），得分在80分-70分（含70分）扣除当月养护费的一半；得分在70分以下，扣除当月全部养护费，连续二次得分在70分以下的，终止养护合同。</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4、发生下列情况之一的，经查扣除履约保证金、终止合同，并取消下次绿化养护投标资格：</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4.1月考核成绩连续两次或累计三年内三次（含三次）70分以下的；</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4.2项目负责人如出现每月到岗天数不足四天，累计两次（含两次）出现到岗天数不足四天的；</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4.3在养护期内两次发现养护作业人员不足养护合同规定70%的；</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4.4养护企业在养护期内弄虚作假的，累计三次出现的；</w:t>
      </w:r>
    </w:p>
    <w:p>
      <w:pPr>
        <w:widowControl/>
        <w:snapToGrid w:val="0"/>
        <w:spacing w:line="36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4.5出现重大安全责任事故的；</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4.6检查考核过程中，发现有转包或分包行为的；</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4.7拖欠工人工资，经劳动或其他政府部门催告或通报拒不清偿的；</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4.8合同期内不服从管理的；</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4.9未按时报送数据累计达到3次的；</w:t>
      </w:r>
    </w:p>
    <w:p>
      <w:pPr>
        <w:widowControl/>
        <w:snapToGrid w:val="0"/>
        <w:spacing w:line="36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4.10有商业贿赂行为的；</w:t>
      </w:r>
    </w:p>
    <w:p>
      <w:pPr>
        <w:widowControl/>
        <w:snapToGrid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lang w:val="en-US" w:eastAsia="zh-CN"/>
        </w:rPr>
        <w:t>4.11其他违反法律、法规和协议规定的行为。</w:t>
      </w:r>
    </w:p>
    <w:p>
      <w:pPr>
        <w:widowControl/>
        <w:numPr>
          <w:ilvl w:val="0"/>
          <w:numId w:val="0"/>
        </w:numPr>
        <w:snapToGrid w:val="0"/>
        <w:spacing w:line="360" w:lineRule="exact"/>
        <w:ind w:left="420" w:leftChars="0" w:firstLine="0" w:firstLineChars="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5、绿化补植费用的计算及支付：</w:t>
      </w:r>
    </w:p>
    <w:p>
      <w:pPr>
        <w:widowControl/>
        <w:numPr>
          <w:ilvl w:val="0"/>
          <w:numId w:val="0"/>
        </w:numPr>
        <w:snapToGrid w:val="0"/>
        <w:spacing w:line="360" w:lineRule="exact"/>
        <w:ind w:left="420" w:leftChars="0" w:firstLine="0" w:firstLineChars="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5.1以现行浙江省及地方标准计算的工程价格为基础，根据投标人投标承诺的折扣率计算，最终以决算审核为准。</w:t>
      </w:r>
    </w:p>
    <w:p>
      <w:pPr>
        <w:widowControl/>
        <w:numPr>
          <w:ilvl w:val="0"/>
          <w:numId w:val="0"/>
        </w:numPr>
        <w:snapToGrid w:val="0"/>
        <w:spacing w:line="360" w:lineRule="exact"/>
        <w:ind w:left="0" w:leftChars="0" w:firstLine="420" w:firstLineChars="20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最终结算费用=标准计算费用×投标折扣率。</w:t>
      </w:r>
    </w:p>
    <w:p>
      <w:pPr>
        <w:keepNext w:val="0"/>
        <w:keepLines w:val="0"/>
        <w:pageBreakBefore w:val="0"/>
        <w:widowControl w:val="0"/>
        <w:numPr>
          <w:ilvl w:val="0"/>
          <w:numId w:val="0"/>
        </w:numPr>
        <w:tabs>
          <w:tab w:val="left" w:pos="1985"/>
        </w:tabs>
        <w:kinsoku/>
        <w:wordWrap/>
        <w:overflowPunct/>
        <w:topLinePunct w:val="0"/>
        <w:autoSpaceDE/>
        <w:autoSpaceDN/>
        <w:bidi w:val="0"/>
        <w:adjustRightInd/>
        <w:snapToGrid w:val="0"/>
        <w:spacing w:line="28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以标项一为例：投标人绿化补植折扣率如按80%报价的，按最终结算金额</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万元计，则采购人可要求其绿化补植的总金额为</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万元÷80%=</w:t>
      </w:r>
      <w:r>
        <w:rPr>
          <w:rFonts w:hint="eastAsia" w:ascii="宋体" w:hAnsi="宋体" w:cs="宋体"/>
          <w:sz w:val="21"/>
          <w:szCs w:val="21"/>
          <w:highlight w:val="none"/>
          <w:lang w:val="en-US" w:eastAsia="zh-CN"/>
        </w:rPr>
        <w:t>26.5625</w:t>
      </w:r>
      <w:r>
        <w:rPr>
          <w:rFonts w:hint="eastAsia" w:ascii="宋体" w:hAnsi="宋体" w:eastAsia="宋体" w:cs="宋体"/>
          <w:sz w:val="21"/>
          <w:szCs w:val="21"/>
          <w:highlight w:val="none"/>
          <w:lang w:val="en-US" w:eastAsia="zh-CN"/>
        </w:rPr>
        <w:t>万元（</w:t>
      </w:r>
      <w:r>
        <w:rPr>
          <w:rFonts w:hint="eastAsia" w:ascii="宋体" w:hAnsi="宋体" w:cs="宋体"/>
          <w:sz w:val="21"/>
          <w:szCs w:val="21"/>
          <w:highlight w:val="none"/>
          <w:lang w:val="en-US" w:eastAsia="zh-CN"/>
        </w:rPr>
        <w:t>最高相应标段审计</w:t>
      </w:r>
      <w:r>
        <w:rPr>
          <w:rFonts w:hint="eastAsia" w:ascii="宋体" w:hAnsi="宋体" w:eastAsia="宋体" w:cs="宋体"/>
          <w:sz w:val="21"/>
          <w:szCs w:val="21"/>
          <w:highlight w:val="none"/>
          <w:lang w:val="en-US" w:eastAsia="zh-CN"/>
        </w:rPr>
        <w:t>结算价为</w:t>
      </w:r>
      <w:r>
        <w:rPr>
          <w:rFonts w:hint="eastAsia" w:ascii="宋体" w:hAnsi="宋体" w:cs="宋体"/>
          <w:sz w:val="21"/>
          <w:szCs w:val="21"/>
          <w:highlight w:val="none"/>
          <w:lang w:val="en-US" w:eastAsia="zh-CN"/>
        </w:rPr>
        <w:t>21.25</w:t>
      </w:r>
      <w:r>
        <w:rPr>
          <w:rFonts w:hint="eastAsia" w:ascii="宋体" w:hAnsi="宋体" w:eastAsia="宋体" w:cs="宋体"/>
          <w:sz w:val="21"/>
          <w:szCs w:val="21"/>
          <w:highlight w:val="none"/>
          <w:lang w:val="en-US" w:eastAsia="zh-CN"/>
        </w:rPr>
        <w:t>万元）</w:t>
      </w:r>
      <w:r>
        <w:rPr>
          <w:rFonts w:hint="eastAsia" w:ascii="宋体" w:hAnsi="宋体" w:cs="宋体"/>
          <w:sz w:val="21"/>
          <w:szCs w:val="21"/>
          <w:highlight w:val="none"/>
          <w:lang w:val="en-US" w:eastAsia="zh-CN"/>
        </w:rPr>
        <w:t>；</w:t>
      </w:r>
    </w:p>
    <w:p>
      <w:pPr>
        <w:widowControl/>
        <w:numPr>
          <w:ilvl w:val="0"/>
          <w:numId w:val="0"/>
        </w:numPr>
        <w:snapToGrid w:val="0"/>
        <w:spacing w:line="360" w:lineRule="exact"/>
        <w:ind w:left="0" w:leftChars="0" w:firstLine="420" w:firstLineChars="20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5.2中标人根据采购人要求施工完毕并验收合格，</w:t>
      </w:r>
      <w:r>
        <w:rPr>
          <w:rFonts w:hint="eastAsia" w:ascii="宋体" w:hAnsi="宋体" w:cs="宋体"/>
          <w:b w:val="0"/>
          <w:bCs w:val="0"/>
          <w:kern w:val="0"/>
          <w:sz w:val="21"/>
          <w:szCs w:val="21"/>
          <w:highlight w:val="none"/>
          <w:lang w:val="en-US" w:eastAsia="zh-CN"/>
        </w:rPr>
        <w:t>审计后</w:t>
      </w:r>
      <w:r>
        <w:rPr>
          <w:rFonts w:hint="eastAsia" w:ascii="宋体" w:hAnsi="宋体" w:eastAsia="宋体" w:cs="宋体"/>
          <w:b w:val="0"/>
          <w:bCs w:val="0"/>
          <w:kern w:val="0"/>
          <w:sz w:val="21"/>
          <w:szCs w:val="21"/>
          <w:highlight w:val="none"/>
          <w:lang w:val="en-US" w:eastAsia="zh-CN"/>
        </w:rPr>
        <w:t>支付该批绿化补植费用的</w:t>
      </w:r>
      <w:r>
        <w:rPr>
          <w:rFonts w:hint="eastAsia" w:ascii="宋体" w:hAnsi="宋体" w:cs="宋体"/>
          <w:b w:val="0"/>
          <w:bCs w:val="0"/>
          <w:kern w:val="0"/>
          <w:sz w:val="21"/>
          <w:szCs w:val="21"/>
          <w:highlight w:val="none"/>
          <w:lang w:val="en-US" w:eastAsia="zh-CN"/>
        </w:rPr>
        <w:t>100</w:t>
      </w:r>
      <w:r>
        <w:rPr>
          <w:rFonts w:hint="eastAsia" w:ascii="宋体" w:hAnsi="宋体" w:eastAsia="宋体" w:cs="宋体"/>
          <w:b w:val="0"/>
          <w:bCs w:val="0"/>
          <w:kern w:val="0"/>
          <w:sz w:val="21"/>
          <w:szCs w:val="21"/>
          <w:highlight w:val="none"/>
          <w:lang w:val="en-US" w:eastAsia="zh-CN"/>
        </w:rPr>
        <w:t>%，在养护服务期</w:t>
      </w:r>
      <w:r>
        <w:rPr>
          <w:rFonts w:hint="eastAsia" w:ascii="宋体" w:hAnsi="宋体" w:cs="宋体"/>
          <w:b w:val="0"/>
          <w:bCs w:val="0"/>
          <w:kern w:val="0"/>
          <w:sz w:val="21"/>
          <w:szCs w:val="21"/>
          <w:highlight w:val="none"/>
          <w:lang w:val="en-US" w:eastAsia="zh-CN"/>
        </w:rPr>
        <w:t>内保障</w:t>
      </w:r>
      <w:r>
        <w:rPr>
          <w:rFonts w:hint="eastAsia" w:ascii="宋体" w:hAnsi="宋体" w:eastAsia="宋体" w:cs="宋体"/>
          <w:b w:val="0"/>
          <w:bCs w:val="0"/>
          <w:kern w:val="0"/>
          <w:sz w:val="21"/>
          <w:szCs w:val="21"/>
          <w:highlight w:val="none"/>
          <w:lang w:val="en-US" w:eastAsia="zh-CN"/>
        </w:rPr>
        <w:t>补植苗木的存活率</w:t>
      </w:r>
      <w:r>
        <w:rPr>
          <w:rFonts w:hint="eastAsia" w:ascii="宋体" w:hAnsi="宋体" w:cs="宋体"/>
          <w:b w:val="0"/>
          <w:bCs w:val="0"/>
          <w:kern w:val="0"/>
          <w:sz w:val="21"/>
          <w:szCs w:val="21"/>
          <w:highlight w:val="none"/>
          <w:lang w:val="en-US" w:eastAsia="zh-CN"/>
        </w:rPr>
        <w:t>（服务期结束前存活率达95%以上）</w:t>
      </w:r>
      <w:r>
        <w:rPr>
          <w:rFonts w:hint="eastAsia" w:ascii="宋体" w:hAnsi="宋体" w:eastAsia="宋体" w:cs="宋体"/>
          <w:sz w:val="21"/>
          <w:szCs w:val="21"/>
          <w:highlight w:val="none"/>
          <w:lang w:val="en-US" w:eastAsia="zh-CN"/>
        </w:rPr>
        <w:t>。</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九、履约保证金</w:t>
      </w:r>
    </w:p>
    <w:p>
      <w:pPr>
        <w:widowControl/>
        <w:spacing w:line="400" w:lineRule="exact"/>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不收取。</w:t>
      </w:r>
    </w:p>
    <w:p>
      <w:pPr>
        <w:pStyle w:val="4"/>
        <w:keepNext w:val="0"/>
        <w:keepLines w:val="0"/>
        <w:spacing w:before="0" w:after="0"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十、其他</w:t>
      </w:r>
    </w:p>
    <w:p>
      <w:pPr>
        <w:widowControl/>
        <w:spacing w:line="400" w:lineRule="exact"/>
        <w:ind w:firstLine="420" w:firstLineChars="200"/>
        <w:jc w:val="left"/>
        <w:rPr>
          <w:rFonts w:hint="eastAsia"/>
          <w:highlight w:val="none"/>
        </w:rPr>
      </w:pPr>
      <w:r>
        <w:rPr>
          <w:rFonts w:hint="eastAsia" w:ascii="宋体" w:hAnsi="宋体" w:eastAsia="宋体" w:cs="宋体"/>
          <w:kern w:val="0"/>
          <w:sz w:val="21"/>
          <w:szCs w:val="21"/>
          <w:highlight w:val="none"/>
          <w:lang w:val="en-US" w:eastAsia="zh-CN"/>
        </w:rPr>
        <w:t>图纸</w:t>
      </w:r>
      <w:r>
        <w:rPr>
          <w:rFonts w:hint="eastAsia" w:ascii="宋体" w:hAnsi="宋体" w:eastAsia="宋体" w:cs="宋体"/>
          <w:color w:val="auto"/>
          <w:kern w:val="0"/>
          <w:sz w:val="21"/>
          <w:szCs w:val="21"/>
          <w:highlight w:val="none"/>
        </w:rPr>
        <w:t>详见</w:t>
      </w:r>
      <w:r>
        <w:rPr>
          <w:rFonts w:hint="eastAsia" w:ascii="宋体" w:hAnsi="宋体" w:eastAsia="宋体" w:cs="宋体"/>
          <w:kern w:val="0"/>
          <w:sz w:val="21"/>
          <w:szCs w:val="21"/>
          <w:highlight w:val="none"/>
          <w:lang w:val="en-US" w:eastAsia="zh-CN"/>
        </w:rPr>
        <w:t>附件</w:t>
      </w:r>
      <w:r>
        <w:rPr>
          <w:rFonts w:hint="eastAsia" w:ascii="宋体" w:hAnsi="宋体" w:eastAsia="宋体" w:cs="宋体"/>
          <w:kern w:val="0"/>
          <w:sz w:val="21"/>
          <w:szCs w:val="21"/>
          <w:highlight w:val="none"/>
          <w:lang w:eastAsia="zh-CN"/>
        </w:rPr>
        <w:t>。</w:t>
      </w:r>
    </w:p>
    <w:bookmarkEnd w:id="49"/>
    <w:bookmarkEnd w:id="50"/>
    <w:bookmarkEnd w:id="51"/>
    <w:p>
      <w:pPr>
        <w:ind w:firstLine="422" w:firstLineChars="200"/>
        <w:rPr>
          <w:rFonts w:hint="eastAsia"/>
          <w:b/>
          <w:bCs/>
          <w:color w:val="auto"/>
          <w:highlight w:val="none"/>
        </w:rPr>
        <w:sectPr>
          <w:pgSz w:w="16838" w:h="11906" w:orient="landscape"/>
          <w:pgMar w:top="1531" w:right="1558" w:bottom="1531" w:left="1402" w:header="851" w:footer="851" w:gutter="0"/>
          <w:pgNumType w:fmt="decimal"/>
          <w:cols w:space="720" w:num="1"/>
          <w:docGrid w:linePitch="312" w:charSpace="0"/>
        </w:sectPr>
      </w:pPr>
      <w:r>
        <w:rPr>
          <w:rFonts w:hint="eastAsia"/>
          <w:b/>
          <w:bCs/>
          <w:color w:val="auto"/>
          <w:highlight w:val="none"/>
        </w:rPr>
        <w:t>本招标文件中带 “▲”的有关技术和商务条款为实质性条款，投标人必须在投标文件中作出实质性响应，否则投标无效。</w:t>
      </w:r>
    </w:p>
    <w:p>
      <w:pPr>
        <w:pStyle w:val="25"/>
        <w:spacing w:line="480" w:lineRule="auto"/>
      </w:pPr>
      <w:r>
        <w:rPr>
          <w:rFonts w:hint="eastAsia"/>
        </w:rPr>
        <w:t>第四章</w:t>
      </w:r>
      <w:r>
        <w:t xml:space="preserve">   </w:t>
      </w:r>
      <w:r>
        <w:rPr>
          <w:rFonts w:hint="eastAsia"/>
        </w:rPr>
        <w:t>评分办法及评分标准</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lang w:val="en-US" w:eastAsia="zh-CN"/>
        </w:rPr>
        <w:t>1、</w:t>
      </w: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w:t>
      </w:r>
      <w:r>
        <w:rPr>
          <w:rFonts w:hint="eastAsia" w:ascii="宋体" w:hAnsi="宋体" w:cs="Arial"/>
          <w:b/>
          <w:snapToGrid w:val="0"/>
          <w:szCs w:val="21"/>
          <w:lang w:val="en-US" w:eastAsia="zh-CN"/>
        </w:rPr>
        <w:t>10</w:t>
      </w:r>
      <w:r>
        <w:rPr>
          <w:rFonts w:hint="eastAsia" w:ascii="宋体" w:hAnsi="宋体" w:cs="Arial"/>
          <w:b/>
          <w:snapToGrid w:val="0"/>
          <w:szCs w:val="21"/>
        </w:rPr>
        <w:t>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w:t>
      </w:r>
      <w:r>
        <w:rPr>
          <w:rFonts w:hint="eastAsia" w:ascii="宋体" w:hAnsi="宋体" w:cs="Arial"/>
          <w:snapToGrid w:val="0"/>
          <w:szCs w:val="21"/>
          <w:lang w:val="en-US" w:eastAsia="zh-CN"/>
        </w:rPr>
        <w:t>10%</w:t>
      </w:r>
      <w:r>
        <w:rPr>
          <w:rFonts w:hint="eastAsia" w:ascii="宋体" w:hAnsi="宋体" w:cs="Arial"/>
          <w:snapToGrid w:val="0"/>
          <w:szCs w:val="21"/>
        </w:rPr>
        <w:t>*100］的计算公式计算；</w:t>
      </w:r>
    </w:p>
    <w:p>
      <w:pPr>
        <w:numPr>
          <w:ilvl w:val="0"/>
          <w:numId w:val="0"/>
        </w:numPr>
        <w:spacing w:beforeLines="50" w:afterLines="50"/>
        <w:ind w:left="420" w:leftChars="0"/>
        <w:rPr>
          <w:rFonts w:hint="eastAsia" w:ascii="宋体" w:hAnsi="宋体" w:cs="Arial"/>
          <w:b/>
          <w:snapToGrid w:val="0"/>
          <w:szCs w:val="21"/>
        </w:rPr>
      </w:pPr>
      <w:r>
        <w:rPr>
          <w:rFonts w:hint="eastAsia" w:ascii="宋体" w:hAnsi="宋体" w:cs="Arial"/>
          <w:b/>
          <w:snapToGrid w:val="0"/>
          <w:szCs w:val="21"/>
          <w:lang w:eastAsia="zh-CN"/>
        </w:rPr>
        <w:t>（</w:t>
      </w:r>
      <w:r>
        <w:rPr>
          <w:rFonts w:hint="eastAsia" w:ascii="宋体" w:hAnsi="宋体" w:cs="Arial"/>
          <w:b/>
          <w:snapToGrid w:val="0"/>
          <w:szCs w:val="21"/>
          <w:lang w:val="en-US" w:eastAsia="zh-CN"/>
        </w:rPr>
        <w:t>二</w:t>
      </w:r>
      <w:r>
        <w:rPr>
          <w:rFonts w:hint="eastAsia" w:ascii="宋体" w:hAnsi="宋体" w:cs="Arial"/>
          <w:b/>
          <w:snapToGrid w:val="0"/>
          <w:szCs w:val="21"/>
          <w:lang w:eastAsia="zh-CN"/>
        </w:rPr>
        <w:t>）</w:t>
      </w:r>
      <w:r>
        <w:rPr>
          <w:rFonts w:hint="eastAsia" w:ascii="宋体" w:hAnsi="宋体" w:cs="Arial"/>
          <w:b/>
          <w:snapToGrid w:val="0"/>
          <w:szCs w:val="21"/>
        </w:rPr>
        <w:t>技术、商务、资信及其他分（</w:t>
      </w:r>
      <w:r>
        <w:rPr>
          <w:rFonts w:hint="eastAsia" w:ascii="宋体" w:hAnsi="宋体" w:cs="Arial"/>
          <w:b/>
          <w:snapToGrid w:val="0"/>
          <w:szCs w:val="21"/>
          <w:lang w:val="en-US" w:eastAsia="zh-CN"/>
        </w:rPr>
        <w:t>90</w:t>
      </w:r>
      <w:r>
        <w:rPr>
          <w:rFonts w:hint="eastAsia" w:ascii="宋体" w:hAnsi="宋体" w:cs="Arial"/>
          <w:b/>
          <w:snapToGrid w:val="0"/>
          <w:szCs w:val="21"/>
        </w:rPr>
        <w:t>分）</w:t>
      </w:r>
    </w:p>
    <w:tbl>
      <w:tblPr>
        <w:tblStyle w:val="27"/>
        <w:tblW w:w="13862"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671"/>
        <w:gridCol w:w="1348"/>
        <w:gridCol w:w="728"/>
        <w:gridCol w:w="111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54" w:hRule="atLeast"/>
        </w:trPr>
        <w:tc>
          <w:tcPr>
            <w:tcW w:w="2019" w:type="dxa"/>
            <w:gridSpan w:val="2"/>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rPr>
            </w:pPr>
            <w:r>
              <w:rPr>
                <w:rFonts w:hint="eastAsia" w:ascii="宋体" w:hAnsi="宋体" w:eastAsia="宋体" w:cs="宋体"/>
                <w:b/>
                <w:bCs/>
                <w:szCs w:val="21"/>
                <w:highlight w:val="none"/>
                <w:u w:val="none" w:color="000000"/>
                <w:lang w:val="zh-TW" w:eastAsia="zh-TW"/>
              </w:rPr>
              <w:t>评分内容</w:t>
            </w:r>
          </w:p>
        </w:tc>
        <w:tc>
          <w:tcPr>
            <w:tcW w:w="728"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rPr>
            </w:pPr>
            <w:r>
              <w:rPr>
                <w:rFonts w:hint="eastAsia" w:ascii="宋体" w:hAnsi="宋体" w:eastAsia="宋体" w:cs="宋体"/>
                <w:b/>
                <w:bCs/>
                <w:szCs w:val="21"/>
                <w:highlight w:val="none"/>
                <w:u w:val="none" w:color="000000"/>
                <w:lang w:val="zh-TW" w:eastAsia="zh-TW"/>
              </w:rPr>
              <w:t>分值</w:t>
            </w:r>
          </w:p>
        </w:tc>
        <w:tc>
          <w:tcPr>
            <w:tcW w:w="11115"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rPr>
            </w:pPr>
            <w:r>
              <w:rPr>
                <w:rFonts w:hint="eastAsia" w:ascii="宋体" w:hAnsi="宋体" w:eastAsia="宋体" w:cs="宋体"/>
                <w:b/>
                <w:bCs/>
                <w:szCs w:val="21"/>
                <w:highlight w:val="none"/>
                <w:u w:val="none" w:color="000000"/>
                <w:lang w:val="zh-TW" w:eastAsia="zh-TW"/>
              </w:rPr>
              <w:t>评标细则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54" w:hRule="atLeast"/>
        </w:trPr>
        <w:tc>
          <w:tcPr>
            <w:tcW w:w="2019" w:type="dxa"/>
            <w:gridSpan w:val="2"/>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b/>
                <w:bCs/>
                <w:szCs w:val="21"/>
                <w:highlight w:val="none"/>
                <w:u w:val="none" w:color="000000"/>
                <w:lang w:val="en-US" w:eastAsia="zh-CN"/>
              </w:rPr>
            </w:pPr>
            <w:r>
              <w:rPr>
                <w:rFonts w:hint="eastAsia" w:ascii="宋体" w:hAnsi="宋体" w:cs="宋体"/>
                <w:b/>
                <w:bCs/>
                <w:szCs w:val="21"/>
                <w:highlight w:val="none"/>
                <w:u w:val="none" w:color="000000"/>
                <w:lang w:val="en-US" w:eastAsia="zh-CN"/>
              </w:rPr>
              <w:t>价格分</w:t>
            </w:r>
          </w:p>
        </w:tc>
        <w:tc>
          <w:tcPr>
            <w:tcW w:w="728"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b/>
                <w:bCs/>
                <w:szCs w:val="21"/>
                <w:highlight w:val="none"/>
                <w:u w:val="none" w:color="000000"/>
                <w:lang w:val="en-US" w:eastAsia="zh-CN"/>
              </w:rPr>
            </w:pPr>
            <w:r>
              <w:rPr>
                <w:rFonts w:hint="eastAsia" w:ascii="宋体" w:hAnsi="宋体" w:cs="宋体"/>
                <w:b/>
                <w:bCs/>
                <w:szCs w:val="21"/>
                <w:highlight w:val="none"/>
                <w:u w:val="none" w:color="000000"/>
                <w:lang w:val="en-US" w:eastAsia="zh-CN"/>
              </w:rPr>
              <w:t>10分</w:t>
            </w:r>
          </w:p>
        </w:tc>
        <w:tc>
          <w:tcPr>
            <w:tcW w:w="11115"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340" w:lineRule="exact"/>
              <w:ind w:firstLine="21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价格分分为绿化养护服务报价分和绿化补植报价分二部分，其中绿化养护服务分为8分、绿化补植报价分为2分，投标人的价格分为上述两部分得分的总和。</w:t>
            </w:r>
          </w:p>
          <w:p>
            <w:pPr>
              <w:spacing w:line="340" w:lineRule="exact"/>
              <w:ind w:firstLine="420" w:firstLineChars="200"/>
              <w:rPr>
                <w:rFonts w:hint="eastAsia" w:ascii="宋体" w:hAnsi="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绿化养护服务</w:t>
            </w:r>
            <w:r>
              <w:rPr>
                <w:rFonts w:hint="eastAsia" w:ascii="宋体" w:hAnsi="宋体"/>
                <w:szCs w:val="21"/>
                <w:highlight w:val="none"/>
              </w:rPr>
              <w:t>价格分采用低价优先法计算，即满足</w:t>
            </w:r>
            <w:r>
              <w:rPr>
                <w:rFonts w:hint="eastAsia" w:ascii="宋体" w:hAnsi="宋体"/>
                <w:szCs w:val="21"/>
                <w:highlight w:val="none"/>
                <w:lang w:eastAsia="zh-CN"/>
              </w:rPr>
              <w:t>采购文件</w:t>
            </w:r>
            <w:r>
              <w:rPr>
                <w:rFonts w:hint="eastAsia" w:ascii="宋体" w:hAnsi="宋体"/>
                <w:szCs w:val="21"/>
                <w:highlight w:val="none"/>
              </w:rPr>
              <w:t>要求且价格最低的为评标基准价，其价格分为</w:t>
            </w:r>
            <w:r>
              <w:rPr>
                <w:rFonts w:hint="eastAsia" w:ascii="宋体" w:hAnsi="宋体" w:eastAsia="宋体"/>
                <w:szCs w:val="21"/>
                <w:highlight w:val="none"/>
                <w:lang w:val="en-US" w:eastAsia="zh-CN"/>
              </w:rPr>
              <w:t>8</w:t>
            </w:r>
            <w:r>
              <w:rPr>
                <w:rFonts w:hint="eastAsia" w:ascii="宋体" w:hAnsi="宋体"/>
                <w:szCs w:val="21"/>
                <w:highlight w:val="none"/>
              </w:rPr>
              <w:t>分，其他</w:t>
            </w:r>
            <w:r>
              <w:rPr>
                <w:rFonts w:hint="eastAsia" w:ascii="宋体" w:hAnsi="宋体"/>
                <w:szCs w:val="21"/>
                <w:highlight w:val="none"/>
                <w:lang w:eastAsia="zh-CN"/>
              </w:rPr>
              <w:t>投标人</w:t>
            </w:r>
            <w:r>
              <w:rPr>
                <w:rFonts w:hint="eastAsia" w:ascii="宋体" w:hAnsi="宋体"/>
                <w:szCs w:val="21"/>
                <w:highlight w:val="none"/>
              </w:rPr>
              <w:t>的价格分按照下列公式计算：</w:t>
            </w:r>
          </w:p>
          <w:p>
            <w:pPr>
              <w:adjustRightInd/>
              <w:snapToGrid/>
              <w:spacing w:line="340" w:lineRule="exact"/>
              <w:ind w:firstLine="630" w:firstLineChars="300"/>
              <w:rPr>
                <w:rFonts w:hint="eastAsia" w:ascii="宋体" w:hAnsi="宋体" w:cs="宋体"/>
                <w:szCs w:val="21"/>
                <w:highlight w:val="none"/>
              </w:rPr>
            </w:pPr>
            <w:r>
              <w:rPr>
                <w:rFonts w:hint="eastAsia" w:ascii="宋体" w:hAnsi="宋体" w:cs="宋体"/>
                <w:szCs w:val="21"/>
                <w:highlight w:val="none"/>
              </w:rPr>
              <w:t>价格分=（评标基准价/投标报价）×</w:t>
            </w:r>
            <w:r>
              <w:rPr>
                <w:rFonts w:hint="eastAsia" w:ascii="宋体" w:hAnsi="宋体" w:cs="宋体"/>
                <w:szCs w:val="21"/>
                <w:highlight w:val="none"/>
                <w:lang w:val="en-US" w:eastAsia="zh-CN"/>
              </w:rPr>
              <w:t>8</w:t>
            </w:r>
            <w:r>
              <w:rPr>
                <w:rFonts w:hint="eastAsia" w:ascii="宋体" w:hAnsi="宋体" w:cs="宋体"/>
                <w:szCs w:val="21"/>
                <w:highlight w:val="none"/>
              </w:rPr>
              <w:t>%×100（保留两位小数）</w:t>
            </w:r>
          </w:p>
          <w:p>
            <w:pPr>
              <w:spacing w:line="340" w:lineRule="exact"/>
              <w:ind w:firstLine="420" w:firstLineChars="200"/>
              <w:rPr>
                <w:rFonts w:hint="eastAsia" w:ascii="宋体" w:hAnsi="宋体"/>
                <w:szCs w:val="21"/>
                <w:highlight w:val="none"/>
              </w:rPr>
            </w:pPr>
            <w:r>
              <w:rPr>
                <w:rFonts w:hint="eastAsia" w:ascii="宋体" w:hAnsi="宋体" w:cs="宋体"/>
                <w:szCs w:val="21"/>
                <w:highlight w:val="none"/>
                <w:lang w:val="en-US" w:eastAsia="zh-CN"/>
              </w:rPr>
              <w:t>（2）绿化补植</w:t>
            </w:r>
            <w:r>
              <w:rPr>
                <w:rFonts w:hint="eastAsia" w:ascii="宋体" w:hAnsi="宋体" w:eastAsia="宋体" w:cs="宋体"/>
                <w:sz w:val="21"/>
                <w:szCs w:val="21"/>
                <w:highlight w:val="none"/>
                <w:lang w:eastAsia="zh-CN"/>
              </w:rPr>
              <w:t>价格分</w:t>
            </w:r>
            <w:r>
              <w:rPr>
                <w:rFonts w:hint="eastAsia" w:ascii="宋体" w:hAnsi="宋体"/>
                <w:szCs w:val="21"/>
                <w:highlight w:val="none"/>
              </w:rPr>
              <w:t>采用低价优先法计算，即满足</w:t>
            </w:r>
            <w:r>
              <w:rPr>
                <w:rFonts w:hint="eastAsia" w:ascii="宋体" w:hAnsi="宋体"/>
                <w:szCs w:val="21"/>
                <w:highlight w:val="none"/>
                <w:lang w:eastAsia="zh-CN"/>
              </w:rPr>
              <w:t>采购文件</w:t>
            </w:r>
            <w:r>
              <w:rPr>
                <w:rFonts w:hint="eastAsia" w:ascii="宋体" w:hAnsi="宋体"/>
                <w:szCs w:val="21"/>
                <w:highlight w:val="none"/>
              </w:rPr>
              <w:t>要求且</w:t>
            </w:r>
            <w:r>
              <w:rPr>
                <w:rFonts w:hint="eastAsia" w:ascii="宋体" w:hAnsi="宋体"/>
                <w:szCs w:val="21"/>
                <w:highlight w:val="none"/>
                <w:lang w:val="en-US" w:eastAsia="zh-CN"/>
              </w:rPr>
              <w:t>折扣率</w:t>
            </w:r>
            <w:r>
              <w:rPr>
                <w:rFonts w:hint="eastAsia" w:ascii="宋体" w:hAnsi="宋体"/>
                <w:szCs w:val="21"/>
                <w:highlight w:val="none"/>
              </w:rPr>
              <w:t>最低的为评标基准价，其价格分为</w:t>
            </w:r>
            <w:r>
              <w:rPr>
                <w:rFonts w:hint="eastAsia" w:ascii="宋体" w:hAnsi="宋体" w:eastAsia="宋体"/>
                <w:szCs w:val="21"/>
                <w:highlight w:val="none"/>
                <w:lang w:val="en-US" w:eastAsia="zh-CN"/>
              </w:rPr>
              <w:t>2</w:t>
            </w:r>
            <w:r>
              <w:rPr>
                <w:rFonts w:hint="eastAsia" w:ascii="宋体" w:hAnsi="宋体"/>
                <w:szCs w:val="21"/>
                <w:highlight w:val="none"/>
              </w:rPr>
              <w:t>分，其他</w:t>
            </w:r>
            <w:r>
              <w:rPr>
                <w:rFonts w:hint="eastAsia" w:ascii="宋体" w:hAnsi="宋体"/>
                <w:szCs w:val="21"/>
                <w:highlight w:val="none"/>
                <w:lang w:eastAsia="zh-CN"/>
              </w:rPr>
              <w:t>投标人</w:t>
            </w:r>
            <w:r>
              <w:rPr>
                <w:rFonts w:hint="eastAsia" w:ascii="宋体" w:hAnsi="宋体"/>
                <w:szCs w:val="21"/>
                <w:highlight w:val="none"/>
              </w:rPr>
              <w:t>的价格分按照下列公式计算：</w:t>
            </w:r>
          </w:p>
          <w:p>
            <w:pPr>
              <w:spacing w:line="340" w:lineRule="exact"/>
              <w:ind w:firstLine="630" w:firstLineChars="300"/>
              <w:rPr>
                <w:rFonts w:hint="eastAsia" w:ascii="宋体" w:hAnsi="宋体" w:cs="宋体"/>
                <w:szCs w:val="21"/>
                <w:highlight w:val="none"/>
              </w:rPr>
            </w:pPr>
            <w:r>
              <w:rPr>
                <w:rFonts w:hint="eastAsia" w:ascii="宋体" w:hAnsi="宋体" w:eastAsia="宋体" w:cs="宋体"/>
                <w:sz w:val="21"/>
                <w:szCs w:val="21"/>
                <w:highlight w:val="none"/>
              </w:rPr>
              <w:t>价格分=</w:t>
            </w:r>
            <w:r>
              <w:rPr>
                <w:rFonts w:hint="eastAsia" w:ascii="宋体" w:hAnsi="宋体" w:cs="宋体"/>
                <w:szCs w:val="21"/>
                <w:highlight w:val="none"/>
              </w:rPr>
              <w:t>（评标基准价/投标报价）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%×100</w:t>
            </w:r>
            <w:r>
              <w:rPr>
                <w:rFonts w:hint="eastAsia" w:ascii="宋体" w:hAnsi="宋体" w:cs="宋体"/>
                <w:szCs w:val="21"/>
                <w:highlight w:val="none"/>
              </w:rPr>
              <w:t>（保留两位小数）</w:t>
            </w:r>
          </w:p>
          <w:p>
            <w:pPr>
              <w:spacing w:line="340" w:lineRule="exact"/>
              <w:ind w:firstLine="632" w:firstLineChars="300"/>
              <w:jc w:val="left"/>
              <w:rPr>
                <w:rFonts w:hint="eastAsia" w:ascii="宋体" w:hAnsi="宋体" w:eastAsia="宋体" w:cs="宋体"/>
                <w:b/>
                <w:bCs/>
                <w:szCs w:val="21"/>
                <w:highlight w:val="none"/>
                <w:u w:val="none" w:color="000000"/>
                <w:lang w:val="zh-TW" w:eastAsia="zh-TW"/>
              </w:rPr>
            </w:pPr>
            <w:r>
              <w:rPr>
                <w:rFonts w:hint="eastAsia"/>
                <w:b/>
                <w:bCs/>
                <w:highlight w:val="none"/>
              </w:rPr>
              <w:t>投标人的价格分为以上两部分报价分的总和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207" w:hRule="atLeast"/>
        </w:trPr>
        <w:tc>
          <w:tcPr>
            <w:tcW w:w="671" w:type="dxa"/>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rPr>
            </w:pPr>
            <w:r>
              <w:rPr>
                <w:rFonts w:hint="eastAsia" w:ascii="宋体" w:hAnsi="宋体" w:eastAsia="宋体" w:cs="宋体"/>
                <w:szCs w:val="21"/>
                <w:highlight w:val="none"/>
                <w:u w:val="none" w:color="000000"/>
                <w:lang w:val="zh-TW" w:eastAsia="zh-TW"/>
              </w:rPr>
              <w:t>技术</w:t>
            </w:r>
            <w:r>
              <w:rPr>
                <w:rFonts w:hint="eastAsia" w:ascii="宋体" w:hAnsi="宋体" w:eastAsia="宋体" w:cs="宋体"/>
                <w:szCs w:val="21"/>
                <w:highlight w:val="none"/>
                <w:u w:val="none" w:color="000000"/>
                <w:lang w:val="zh-TW"/>
              </w:rPr>
              <w:t>资信</w:t>
            </w:r>
            <w:r>
              <w:rPr>
                <w:rFonts w:hint="eastAsia" w:ascii="宋体" w:hAnsi="宋体" w:eastAsia="宋体" w:cs="宋体"/>
                <w:szCs w:val="21"/>
                <w:highlight w:val="none"/>
                <w:u w:val="none" w:color="000000"/>
                <w:lang w:val="en-US" w:eastAsia="zh-CN"/>
              </w:rPr>
              <w:t>90</w:t>
            </w:r>
            <w:r>
              <w:rPr>
                <w:rFonts w:hint="eastAsia" w:ascii="宋体" w:hAnsi="宋体" w:eastAsia="宋体" w:cs="宋体"/>
                <w:szCs w:val="21"/>
                <w:highlight w:val="none"/>
                <w:u w:val="none" w:color="000000"/>
              </w:rPr>
              <w:t>分</w:t>
            </w: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val="zh-TW"/>
              </w:rPr>
            </w:pPr>
            <w:r>
              <w:rPr>
                <w:rFonts w:hint="eastAsia" w:ascii="宋体" w:hAnsi="宋体" w:eastAsia="宋体" w:cs="宋体"/>
                <w:b/>
                <w:snapToGrid w:val="0"/>
                <w:szCs w:val="21"/>
                <w:highlight w:val="none"/>
              </w:rPr>
              <w:t>绿化养护质量保证体系</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eastAsia="宋体" w:cs="宋体"/>
                <w:snapToGrid w:val="0"/>
                <w:szCs w:val="21"/>
                <w:highlight w:val="none"/>
                <w:lang w:val="en-US" w:eastAsia="zh-CN"/>
              </w:rPr>
              <w:t>20</w:t>
            </w:r>
          </w:p>
        </w:tc>
        <w:tc>
          <w:tcPr>
            <w:tcW w:w="11115" w:type="dxa"/>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rPr>
                <w:rFonts w:hint="default"/>
                <w:highlight w:val="none"/>
              </w:rPr>
            </w:pPr>
            <w:r>
              <w:rPr>
                <w:rFonts w:hint="eastAsia"/>
                <w:highlight w:val="none"/>
              </w:rPr>
              <w:t>（1）</w:t>
            </w:r>
            <w:r>
              <w:rPr>
                <w:rFonts w:hint="eastAsia"/>
                <w:highlight w:val="none"/>
                <w:lang w:eastAsia="zh-CN"/>
              </w:rPr>
              <w:t>提供</w:t>
            </w:r>
            <w:r>
              <w:rPr>
                <w:rFonts w:hint="eastAsia"/>
                <w:highlight w:val="none"/>
              </w:rPr>
              <w:t>每月的养护方案，根据投标人的此项方案</w:t>
            </w:r>
            <w:r>
              <w:rPr>
                <w:rFonts w:hint="eastAsia"/>
                <w:highlight w:val="none"/>
                <w:lang w:eastAsia="zh-CN"/>
              </w:rPr>
              <w:t>的合理性、可行性、完整性</w:t>
            </w:r>
            <w:r>
              <w:rPr>
                <w:rFonts w:hint="eastAsia"/>
                <w:highlight w:val="none"/>
              </w:rPr>
              <w:t>进行评分</w:t>
            </w:r>
            <w:r>
              <w:rPr>
                <w:rFonts w:hint="eastAsia"/>
                <w:highlight w:val="none"/>
                <w:lang w:eastAsia="zh-CN"/>
              </w:rPr>
              <w:t>，给予</w:t>
            </w:r>
            <w:r>
              <w:rPr>
                <w:rFonts w:hint="eastAsia"/>
                <w:highlight w:val="none"/>
                <w:lang w:val="en-US" w:eastAsia="zh-CN"/>
              </w:rPr>
              <w:t>0-4分。</w:t>
            </w:r>
          </w:p>
          <w:p>
            <w:pPr>
              <w:snapToGrid w:val="0"/>
              <w:spacing w:line="300" w:lineRule="exact"/>
              <w:rPr>
                <w:rFonts w:hint="eastAsia"/>
                <w:highlight w:val="none"/>
              </w:rPr>
            </w:pPr>
            <w:r>
              <w:rPr>
                <w:rFonts w:hint="eastAsia"/>
                <w:highlight w:val="none"/>
              </w:rPr>
              <w:t>（2）</w:t>
            </w:r>
            <w:r>
              <w:rPr>
                <w:rFonts w:hint="eastAsia"/>
                <w:highlight w:val="none"/>
                <w:lang w:eastAsia="zh-CN"/>
              </w:rPr>
              <w:t>提供</w:t>
            </w:r>
            <w:r>
              <w:rPr>
                <w:rFonts w:hint="eastAsia"/>
                <w:highlight w:val="none"/>
              </w:rPr>
              <w:t>苗木养护期内成活率的措施，根据</w:t>
            </w:r>
            <w:r>
              <w:rPr>
                <w:rFonts w:hint="eastAsia"/>
                <w:highlight w:val="none"/>
                <w:lang w:eastAsia="zh-CN"/>
              </w:rPr>
              <w:t>措施的可靠性、科学性</w:t>
            </w:r>
            <w:r>
              <w:rPr>
                <w:rFonts w:hint="eastAsia"/>
                <w:highlight w:val="none"/>
              </w:rPr>
              <w:t>进行评分</w:t>
            </w:r>
            <w:r>
              <w:rPr>
                <w:rFonts w:hint="eastAsia"/>
                <w:highlight w:val="none"/>
                <w:lang w:eastAsia="zh-CN"/>
              </w:rPr>
              <w:t>，给予</w:t>
            </w:r>
            <w:r>
              <w:rPr>
                <w:rFonts w:hint="eastAsia"/>
                <w:highlight w:val="none"/>
                <w:lang w:val="en-US" w:eastAsia="zh-CN"/>
              </w:rPr>
              <w:t>0-4分</w:t>
            </w:r>
            <w:r>
              <w:rPr>
                <w:rFonts w:hint="eastAsia"/>
                <w:highlight w:val="none"/>
              </w:rPr>
              <w:t>。</w:t>
            </w:r>
          </w:p>
          <w:p>
            <w:pPr>
              <w:snapToGrid w:val="0"/>
              <w:spacing w:line="300" w:lineRule="exact"/>
              <w:rPr>
                <w:rFonts w:hint="eastAsia"/>
                <w:highlight w:val="none"/>
              </w:rPr>
            </w:pPr>
            <w:r>
              <w:rPr>
                <w:rFonts w:hint="eastAsia"/>
                <w:highlight w:val="none"/>
              </w:rPr>
              <w:t>（3）</w:t>
            </w:r>
            <w:r>
              <w:rPr>
                <w:rFonts w:hint="eastAsia"/>
                <w:highlight w:val="none"/>
                <w:lang w:eastAsia="zh-CN"/>
              </w:rPr>
              <w:t>提供</w:t>
            </w:r>
            <w:r>
              <w:rPr>
                <w:rFonts w:hint="eastAsia"/>
                <w:highlight w:val="none"/>
              </w:rPr>
              <w:t>有针对性、突出点的养护内容，根据投标人的此项方案进行评分</w:t>
            </w:r>
            <w:r>
              <w:rPr>
                <w:rFonts w:hint="eastAsia"/>
                <w:highlight w:val="none"/>
                <w:lang w:eastAsia="zh-CN"/>
              </w:rPr>
              <w:t>，给予</w:t>
            </w:r>
            <w:r>
              <w:rPr>
                <w:rFonts w:hint="eastAsia"/>
                <w:highlight w:val="none"/>
                <w:lang w:val="en-US" w:eastAsia="zh-CN"/>
              </w:rPr>
              <w:t>0-4分</w:t>
            </w:r>
            <w:r>
              <w:rPr>
                <w:rFonts w:hint="eastAsia"/>
                <w:highlight w:val="none"/>
              </w:rPr>
              <w:t>。</w:t>
            </w:r>
          </w:p>
          <w:p>
            <w:pPr>
              <w:snapToGrid w:val="0"/>
              <w:spacing w:line="300" w:lineRule="exact"/>
              <w:rPr>
                <w:rFonts w:hint="eastAsia" w:ascii="Times New Roman" w:hAnsi="Times New Roman" w:eastAsia="宋体" w:cs="Times New Roman"/>
                <w:highlight w:val="none"/>
              </w:rPr>
            </w:pPr>
            <w:r>
              <w:rPr>
                <w:rFonts w:hint="eastAsia"/>
                <w:highlight w:val="none"/>
              </w:rPr>
              <w:t>（</w:t>
            </w:r>
            <w:r>
              <w:rPr>
                <w:rFonts w:hint="eastAsia" w:ascii="Times New Roman" w:hAnsi="Times New Roman" w:eastAsia="宋体" w:cs="Times New Roman"/>
                <w:highlight w:val="none"/>
              </w:rPr>
              <w:t>4）对养护质量有必要的承诺，根据投标人的</w:t>
            </w:r>
            <w:r>
              <w:rPr>
                <w:rFonts w:hint="eastAsia" w:ascii="Times New Roman" w:hAnsi="Times New Roman" w:eastAsia="宋体" w:cs="Times New Roman"/>
                <w:highlight w:val="none"/>
                <w:lang w:eastAsia="zh-CN"/>
              </w:rPr>
              <w:t>承诺比较</w:t>
            </w:r>
            <w:r>
              <w:rPr>
                <w:rFonts w:hint="eastAsia" w:ascii="Times New Roman" w:hAnsi="Times New Roman" w:eastAsia="宋体" w:cs="Times New Roman"/>
                <w:highlight w:val="none"/>
              </w:rPr>
              <w:t>评分</w:t>
            </w:r>
            <w:r>
              <w:rPr>
                <w:rFonts w:hint="eastAsia" w:ascii="Times New Roman" w:hAnsi="Times New Roman" w:eastAsia="宋体" w:cs="Times New Roman"/>
                <w:highlight w:val="none"/>
                <w:lang w:eastAsia="zh-CN"/>
              </w:rPr>
              <w:t>，给予</w:t>
            </w:r>
            <w:r>
              <w:rPr>
                <w:rFonts w:hint="eastAsia" w:ascii="Times New Roman" w:hAnsi="Times New Roman" w:eastAsia="宋体" w:cs="Times New Roman"/>
                <w:highlight w:val="none"/>
                <w:lang w:val="en-US" w:eastAsia="zh-CN"/>
              </w:rPr>
              <w:t>0-4分</w:t>
            </w:r>
            <w:r>
              <w:rPr>
                <w:rFonts w:hint="eastAsia" w:ascii="Times New Roman" w:hAnsi="Times New Roman" w:eastAsia="宋体" w:cs="Times New Roman"/>
                <w:highlight w:val="none"/>
              </w:rPr>
              <w:t>。</w:t>
            </w:r>
          </w:p>
          <w:p>
            <w:pPr>
              <w:snapToGrid w:val="0"/>
              <w:spacing w:line="300" w:lineRule="exact"/>
              <w:rPr>
                <w:rFonts w:hint="default" w:eastAsia="宋体"/>
                <w:highlight w:val="none"/>
                <w:lang w:val="en-US" w:eastAsia="zh-CN"/>
              </w:rPr>
            </w:pPr>
            <w:bookmarkStart w:id="54" w:name="_Toc6057"/>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5</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极端恶劣天气（极寒或干旱天气）情况下，保证绿化养护质量的养护措施综合评价0-4分。</w:t>
            </w:r>
            <w:bookmarkEnd w:id="54"/>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7" w:hRule="atLeast"/>
        </w:trPr>
        <w:tc>
          <w:tcPr>
            <w:tcW w:w="671" w:type="dxa"/>
            <w:vMerge w:val="continue"/>
            <w:tcBorders>
              <w:left w:val="single" w:color="auto" w:sz="4" w:space="0"/>
              <w:right w:val="single" w:color="auto" w:sz="4" w:space="0"/>
            </w:tcBorders>
            <w:noWrap w:val="0"/>
            <w:tcMar>
              <w:top w:w="80" w:type="dxa"/>
              <w:left w:w="80" w:type="dxa"/>
              <w:bottom w:w="80" w:type="dxa"/>
              <w:right w:w="80"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val="zh-TW"/>
              </w:rPr>
            </w:pPr>
            <w:r>
              <w:rPr>
                <w:rFonts w:hint="eastAsia" w:ascii="宋体" w:hAnsi="宋体" w:eastAsia="宋体" w:cs="宋体"/>
                <w:b/>
                <w:szCs w:val="21"/>
                <w:highlight w:val="none"/>
              </w:rPr>
              <w:t>养护管理措施及内部考核制度</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eastAsia="宋体" w:cs="宋体"/>
                <w:szCs w:val="21"/>
                <w:highlight w:val="none"/>
                <w:u w:val="none" w:color="000000"/>
                <w:lang w:val="en-US" w:eastAsia="zh-CN"/>
              </w:rPr>
              <w:t>10</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szCs w:val="22"/>
                <w:highlight w:val="none"/>
              </w:rPr>
            </w:pPr>
            <w:r>
              <w:rPr>
                <w:rFonts w:hint="eastAsia" w:ascii="宋体" w:hAnsi="宋体" w:eastAsia="宋体" w:cs="宋体"/>
                <w:szCs w:val="22"/>
                <w:highlight w:val="none"/>
              </w:rPr>
              <w:t>（1）</w:t>
            </w:r>
            <w:r>
              <w:rPr>
                <w:rFonts w:hint="eastAsia" w:ascii="宋体" w:hAnsi="宋体" w:eastAsia="宋体" w:cs="宋体"/>
                <w:szCs w:val="22"/>
                <w:highlight w:val="none"/>
                <w:lang w:eastAsia="zh-CN"/>
              </w:rPr>
              <w:t>根据提供的</w:t>
            </w:r>
            <w:r>
              <w:rPr>
                <w:rFonts w:hint="eastAsia" w:ascii="宋体" w:hAnsi="宋体" w:eastAsia="宋体" w:cs="宋体"/>
                <w:szCs w:val="22"/>
                <w:highlight w:val="none"/>
              </w:rPr>
              <w:t>养护管理体系</w:t>
            </w:r>
            <w:r>
              <w:rPr>
                <w:rFonts w:hint="eastAsia" w:ascii="宋体" w:hAnsi="宋体" w:eastAsia="宋体" w:cs="宋体"/>
                <w:szCs w:val="22"/>
                <w:highlight w:val="none"/>
                <w:lang w:eastAsia="zh-CN"/>
              </w:rPr>
              <w:t>是否</w:t>
            </w:r>
            <w:r>
              <w:rPr>
                <w:rFonts w:hint="eastAsia" w:ascii="宋体" w:hAnsi="宋体" w:eastAsia="宋体" w:cs="宋体"/>
                <w:szCs w:val="22"/>
                <w:highlight w:val="none"/>
              </w:rPr>
              <w:t>完善</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rPr>
              <w:t>、保障</w:t>
            </w:r>
            <w:r>
              <w:rPr>
                <w:rFonts w:hint="eastAsia" w:ascii="宋体" w:hAnsi="宋体" w:eastAsia="宋体" w:cs="宋体"/>
                <w:szCs w:val="22"/>
                <w:highlight w:val="none"/>
                <w:lang w:eastAsia="zh-CN"/>
              </w:rPr>
              <w:t>情况</w:t>
            </w:r>
            <w:r>
              <w:rPr>
                <w:rFonts w:hint="eastAsia" w:ascii="宋体" w:hAnsi="宋体" w:cs="宋体"/>
                <w:szCs w:val="22"/>
                <w:highlight w:val="none"/>
                <w:lang w:eastAsia="zh-CN"/>
              </w:rPr>
              <w:t>（</w:t>
            </w:r>
            <w:r>
              <w:rPr>
                <w:rFonts w:hint="eastAsia" w:ascii="宋体" w:hAnsi="宋体" w:cs="宋体"/>
                <w:szCs w:val="22"/>
                <w:highlight w:val="none"/>
                <w:lang w:val="en-US" w:eastAsia="zh-CN"/>
              </w:rPr>
              <w:t>0-1分）</w:t>
            </w:r>
            <w:r>
              <w:rPr>
                <w:rFonts w:hint="eastAsia" w:ascii="宋体" w:hAnsi="宋体" w:eastAsia="宋体" w:cs="宋体"/>
                <w:szCs w:val="22"/>
                <w:highlight w:val="none"/>
              </w:rPr>
              <w:t>，养护管理制度</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rPr>
              <w:t>、规程</w:t>
            </w:r>
            <w:r>
              <w:rPr>
                <w:rFonts w:hint="eastAsia" w:ascii="宋体" w:hAnsi="宋体" w:eastAsia="宋体" w:cs="宋体"/>
                <w:szCs w:val="22"/>
                <w:highlight w:val="none"/>
                <w:lang w:eastAsia="zh-CN"/>
              </w:rPr>
              <w:t>是否</w:t>
            </w:r>
            <w:r>
              <w:rPr>
                <w:rFonts w:hint="eastAsia" w:ascii="宋体" w:hAnsi="宋体" w:eastAsia="宋体" w:cs="宋体"/>
                <w:szCs w:val="22"/>
                <w:highlight w:val="none"/>
              </w:rPr>
              <w:t>齐全</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rPr>
              <w:t>，评委进行</w:t>
            </w:r>
            <w:r>
              <w:rPr>
                <w:rFonts w:hint="eastAsia" w:ascii="宋体" w:hAnsi="宋体" w:cs="宋体"/>
                <w:szCs w:val="22"/>
                <w:highlight w:val="none"/>
                <w:lang w:val="en-US" w:eastAsia="zh-CN"/>
              </w:rPr>
              <w:t>综合</w:t>
            </w:r>
            <w:r>
              <w:rPr>
                <w:rFonts w:hint="eastAsia" w:ascii="宋体" w:hAnsi="宋体" w:eastAsia="宋体" w:cs="宋体"/>
                <w:szCs w:val="22"/>
                <w:highlight w:val="none"/>
              </w:rPr>
              <w:t>评分。</w:t>
            </w:r>
          </w:p>
          <w:p>
            <w:pPr>
              <w:snapToGrid w:val="0"/>
              <w:spacing w:line="300" w:lineRule="exact"/>
              <w:rPr>
                <w:rFonts w:hint="eastAsia" w:ascii="宋体" w:hAnsi="宋体" w:eastAsia="宋体" w:cs="宋体"/>
                <w:szCs w:val="21"/>
                <w:highlight w:val="none"/>
              </w:rPr>
            </w:pPr>
            <w:r>
              <w:rPr>
                <w:rFonts w:hint="eastAsia" w:ascii="宋体" w:hAnsi="宋体" w:eastAsia="宋体" w:cs="宋体"/>
                <w:szCs w:val="22"/>
                <w:highlight w:val="none"/>
              </w:rPr>
              <w:t>（2）</w:t>
            </w:r>
            <w:r>
              <w:rPr>
                <w:rFonts w:hint="eastAsia" w:ascii="宋体" w:hAnsi="宋体" w:eastAsia="宋体" w:cs="宋体"/>
                <w:szCs w:val="22"/>
                <w:highlight w:val="none"/>
                <w:lang w:eastAsia="zh-CN"/>
              </w:rPr>
              <w:t>根据提供</w:t>
            </w:r>
            <w:r>
              <w:rPr>
                <w:rFonts w:hint="eastAsia" w:ascii="宋体" w:hAnsi="宋体" w:eastAsia="宋体" w:cs="宋体"/>
                <w:szCs w:val="22"/>
                <w:highlight w:val="none"/>
              </w:rPr>
              <w:t>的各项内部</w:t>
            </w:r>
            <w:r>
              <w:rPr>
                <w:rFonts w:hint="eastAsia" w:ascii="宋体" w:hAnsi="宋体" w:eastAsia="宋体" w:cs="宋体"/>
                <w:szCs w:val="22"/>
                <w:highlight w:val="none"/>
                <w:lang w:eastAsia="zh-CN"/>
              </w:rPr>
              <w:t>考核</w:t>
            </w:r>
            <w:r>
              <w:rPr>
                <w:rFonts w:hint="eastAsia" w:ascii="宋体" w:hAnsi="宋体" w:eastAsia="宋体" w:cs="宋体"/>
                <w:szCs w:val="22"/>
                <w:highlight w:val="none"/>
              </w:rPr>
              <w:t>制度进行</w:t>
            </w:r>
            <w:r>
              <w:rPr>
                <w:rFonts w:hint="eastAsia" w:ascii="宋体" w:hAnsi="宋体" w:eastAsia="宋体" w:cs="宋体"/>
                <w:szCs w:val="22"/>
                <w:highlight w:val="none"/>
                <w:lang w:eastAsia="zh-CN"/>
              </w:rPr>
              <w:t>评</w:t>
            </w:r>
            <w:r>
              <w:rPr>
                <w:rFonts w:hint="eastAsia" w:ascii="宋体" w:hAnsi="宋体" w:eastAsia="宋体" w:cs="宋体"/>
                <w:szCs w:val="22"/>
                <w:highlight w:val="none"/>
              </w:rPr>
              <w:t>分</w:t>
            </w:r>
            <w:r>
              <w:rPr>
                <w:rFonts w:hint="eastAsia" w:ascii="宋体" w:hAnsi="宋体" w:eastAsia="宋体" w:cs="宋体"/>
                <w:szCs w:val="22"/>
                <w:highlight w:val="none"/>
                <w:lang w:eastAsia="zh-CN"/>
              </w:rPr>
              <w:t>，给予</w:t>
            </w:r>
            <w:r>
              <w:rPr>
                <w:rFonts w:hint="eastAsia" w:ascii="宋体" w:hAnsi="宋体" w:eastAsia="宋体" w:cs="宋体"/>
                <w:szCs w:val="22"/>
                <w:highlight w:val="none"/>
                <w:lang w:val="en-US" w:eastAsia="zh-CN"/>
              </w:rPr>
              <w:t>0-</w:t>
            </w:r>
            <w:r>
              <w:rPr>
                <w:rFonts w:hint="eastAsia" w:ascii="宋体" w:hAnsi="宋体" w:cs="宋体"/>
                <w:szCs w:val="22"/>
                <w:highlight w:val="none"/>
                <w:lang w:val="en-US" w:eastAsia="zh-CN"/>
              </w:rPr>
              <w:t>3</w:t>
            </w:r>
            <w:r>
              <w:rPr>
                <w:rFonts w:hint="eastAsia" w:ascii="宋体" w:hAnsi="宋体" w:eastAsia="宋体" w:cs="宋体"/>
                <w:szCs w:val="22"/>
                <w:highlight w:val="none"/>
                <w:lang w:val="en-US" w:eastAsia="zh-CN"/>
              </w:rPr>
              <w:t>分</w:t>
            </w:r>
            <w:r>
              <w:rPr>
                <w:rFonts w:hint="eastAsia" w:ascii="宋体" w:hAnsi="宋体" w:eastAsia="宋体" w:cs="宋体"/>
                <w:szCs w:val="22"/>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trPr>
        <w:tc>
          <w:tcPr>
            <w:tcW w:w="671" w:type="dxa"/>
            <w:vMerge w:val="continue"/>
            <w:tcBorders>
              <w:left w:val="single" w:color="auto" w:sz="4" w:space="0"/>
              <w:right w:val="single" w:color="auto" w:sz="4" w:space="0"/>
            </w:tcBorders>
            <w:noWrap w:val="0"/>
            <w:tcMar>
              <w:top w:w="80" w:type="dxa"/>
              <w:left w:w="80" w:type="dxa"/>
              <w:bottom w:w="80" w:type="dxa"/>
              <w:right w:w="80"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安全、文明施工、环保措施</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cs="宋体"/>
                <w:szCs w:val="21"/>
                <w:highlight w:val="none"/>
                <w:u w:val="none" w:color="000000"/>
                <w:lang w:val="en-US" w:eastAsia="zh-CN"/>
              </w:rPr>
              <w:t>8</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numPr>
                <w:ilvl w:val="0"/>
                <w:numId w:val="0"/>
              </w:numPr>
              <w:spacing w:line="300" w:lineRule="exact"/>
              <w:rPr>
                <w:rFonts w:hint="eastAsia"/>
                <w:highlight w:val="none"/>
              </w:rPr>
            </w:pPr>
            <w:r>
              <w:rPr>
                <w:rFonts w:hint="eastAsia" w:ascii="宋体" w:hAnsi="宋体" w:eastAsia="宋体" w:cs="宋体"/>
                <w:szCs w:val="22"/>
                <w:highlight w:val="none"/>
              </w:rPr>
              <w:t>根据安全保证体系和安全管理制度是否健全</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lang w:eastAsia="zh-CN"/>
              </w:rPr>
              <w:t>，</w:t>
            </w:r>
            <w:r>
              <w:rPr>
                <w:rFonts w:hint="eastAsia" w:ascii="宋体" w:hAnsi="宋体" w:eastAsia="宋体" w:cs="宋体"/>
                <w:szCs w:val="22"/>
                <w:highlight w:val="none"/>
              </w:rPr>
              <w:t>文明养护管理措施是否到位</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lang w:eastAsia="zh-CN"/>
              </w:rPr>
              <w:t>，</w:t>
            </w:r>
            <w:r>
              <w:rPr>
                <w:rFonts w:hint="eastAsia" w:ascii="宋体" w:hAnsi="宋体" w:eastAsia="宋体" w:cs="宋体"/>
                <w:szCs w:val="22"/>
                <w:highlight w:val="none"/>
              </w:rPr>
              <w:t>环境保护措施是否到位</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安全责任承担是否承诺由中标人全责</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lang w:val="en-US" w:eastAsia="zh-CN"/>
              </w:rPr>
              <w:t>综合评</w:t>
            </w:r>
            <w:r>
              <w:rPr>
                <w:rFonts w:hint="eastAsia" w:ascii="宋体" w:hAnsi="宋体" w:cs="宋体"/>
                <w:szCs w:val="22"/>
                <w:highlight w:val="none"/>
                <w:lang w:val="en-US" w:eastAsia="zh-CN"/>
              </w:rPr>
              <w:t>分</w:t>
            </w:r>
            <w:r>
              <w:rPr>
                <w:rFonts w:hint="eastAsia" w:ascii="宋体" w:hAnsi="宋体" w:eastAsia="宋体" w:cs="宋体"/>
                <w:szCs w:val="22"/>
                <w:highlight w:val="none"/>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7" w:hRule="atLeast"/>
        </w:trPr>
        <w:tc>
          <w:tcPr>
            <w:tcW w:w="671" w:type="dxa"/>
            <w:vMerge w:val="continue"/>
            <w:tcBorders>
              <w:left w:val="single" w:color="auto" w:sz="4" w:space="0"/>
              <w:right w:val="single" w:color="auto" w:sz="4" w:space="0"/>
            </w:tcBorders>
            <w:noWrap w:val="0"/>
            <w:tcMar>
              <w:top w:w="80" w:type="dxa"/>
              <w:left w:w="80" w:type="dxa"/>
              <w:bottom w:w="80" w:type="dxa"/>
              <w:right w:w="80"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服务响应时间</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eastAsia="zh-CN"/>
              </w:rPr>
            </w:pPr>
            <w:r>
              <w:rPr>
                <w:rFonts w:hint="eastAsia" w:ascii="宋体" w:hAnsi="宋体" w:cs="宋体"/>
                <w:szCs w:val="21"/>
                <w:highlight w:val="none"/>
                <w:u w:val="none" w:color="000000"/>
                <w:lang w:val="en-US" w:eastAsia="zh-CN"/>
              </w:rPr>
              <w:t>4</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rPr>
                <w:rFonts w:hint="eastAsia" w:ascii="宋体" w:hAnsi="宋体" w:eastAsia="宋体" w:cs="宋体"/>
                <w:szCs w:val="22"/>
                <w:highlight w:val="none"/>
              </w:rPr>
            </w:pPr>
            <w:r>
              <w:rPr>
                <w:rFonts w:hint="eastAsia" w:ascii="宋体" w:hAnsi="宋体" w:eastAsia="宋体" w:cs="宋体"/>
                <w:szCs w:val="22"/>
                <w:highlight w:val="none"/>
              </w:rPr>
              <w:t>根据投标人</w:t>
            </w:r>
            <w:r>
              <w:rPr>
                <w:rFonts w:hint="eastAsia" w:ascii="宋体" w:hAnsi="宋体" w:eastAsia="宋体" w:cs="宋体"/>
                <w:szCs w:val="22"/>
                <w:highlight w:val="none"/>
                <w:lang w:eastAsia="zh-CN"/>
              </w:rPr>
              <w:t>提供的</w:t>
            </w:r>
            <w:r>
              <w:rPr>
                <w:rFonts w:hint="eastAsia" w:ascii="宋体" w:hAnsi="宋体" w:eastAsia="宋体" w:cs="宋体"/>
                <w:szCs w:val="22"/>
                <w:highlight w:val="none"/>
              </w:rPr>
              <w:t>承诺突发事件、恶劣天气的现场响应时间：3小时内响应的得1分，每减少半个小时的加1分，最多加</w:t>
            </w:r>
            <w:r>
              <w:rPr>
                <w:rFonts w:hint="eastAsia" w:ascii="宋体" w:hAnsi="宋体" w:cs="宋体"/>
                <w:szCs w:val="22"/>
                <w:highlight w:val="none"/>
                <w:lang w:val="en-US" w:eastAsia="zh-CN"/>
              </w:rPr>
              <w:t>4</w:t>
            </w:r>
            <w:r>
              <w:rPr>
                <w:rFonts w:hint="eastAsia" w:ascii="宋体" w:hAnsi="宋体" w:eastAsia="宋体" w:cs="宋体"/>
                <w:szCs w:val="22"/>
                <w:highlight w:val="none"/>
              </w:rPr>
              <w:t>分；每增加半小时的扣1分，扣完该项得分为止。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82" w:hRule="atLeast"/>
        </w:trPr>
        <w:tc>
          <w:tcPr>
            <w:tcW w:w="671" w:type="dxa"/>
            <w:vMerge w:val="continue"/>
            <w:tcBorders>
              <w:left w:val="single" w:color="auto" w:sz="4" w:space="0"/>
              <w:right w:val="single" w:color="auto" w:sz="4" w:space="0"/>
            </w:tcBorders>
            <w:noWrap w:val="0"/>
            <w:tcMar>
              <w:top w:w="80" w:type="dxa"/>
              <w:left w:w="80" w:type="dxa"/>
              <w:bottom w:w="80" w:type="dxa"/>
              <w:right w:w="80"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val="zh-TW"/>
              </w:rPr>
            </w:pPr>
            <w:r>
              <w:rPr>
                <w:rFonts w:hint="eastAsia" w:ascii="宋体" w:hAnsi="宋体" w:eastAsia="宋体" w:cs="宋体"/>
                <w:b/>
                <w:szCs w:val="21"/>
                <w:highlight w:val="none"/>
              </w:rPr>
              <w:t>合理化建议</w:t>
            </w:r>
            <w:r>
              <w:rPr>
                <w:rFonts w:hint="eastAsia" w:ascii="宋体" w:hAnsi="宋体" w:eastAsia="宋体" w:cs="宋体"/>
                <w:b/>
                <w:szCs w:val="21"/>
                <w:highlight w:val="none"/>
                <w:lang w:eastAsia="zh-CN"/>
              </w:rPr>
              <w:t>及</w:t>
            </w:r>
            <w:r>
              <w:rPr>
                <w:rFonts w:hint="eastAsia" w:ascii="宋体" w:hAnsi="宋体" w:eastAsia="宋体" w:cs="宋体"/>
                <w:b/>
                <w:szCs w:val="21"/>
                <w:highlight w:val="none"/>
              </w:rPr>
              <w:t>承诺</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eastAsia="zh-CN"/>
              </w:rPr>
            </w:pPr>
            <w:r>
              <w:rPr>
                <w:rFonts w:hint="eastAsia" w:ascii="宋体" w:hAnsi="宋体" w:cs="宋体"/>
                <w:szCs w:val="21"/>
                <w:highlight w:val="none"/>
                <w:u w:val="none" w:color="000000"/>
                <w:lang w:val="en-US" w:eastAsia="zh-CN"/>
              </w:rPr>
              <w:t>3</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highlight w:val="none"/>
              </w:rPr>
            </w:pPr>
            <w:r>
              <w:rPr>
                <w:rFonts w:hint="eastAsia" w:ascii="宋体" w:hAnsi="宋体" w:eastAsia="宋体" w:cs="宋体"/>
                <w:szCs w:val="22"/>
                <w:highlight w:val="none"/>
              </w:rPr>
              <w:t>根据投标人提出的针对本项目的合理化建议</w:t>
            </w:r>
            <w:r>
              <w:rPr>
                <w:rFonts w:hint="eastAsia" w:ascii="宋体" w:hAnsi="宋体" w:cs="宋体"/>
                <w:szCs w:val="22"/>
                <w:highlight w:val="none"/>
                <w:lang w:eastAsia="zh-CN"/>
              </w:rPr>
              <w:t>（</w:t>
            </w:r>
            <w:r>
              <w:rPr>
                <w:rFonts w:hint="eastAsia" w:ascii="宋体" w:hAnsi="宋体" w:cs="宋体"/>
                <w:szCs w:val="22"/>
                <w:highlight w:val="none"/>
                <w:lang w:val="en-US" w:eastAsia="zh-CN"/>
              </w:rPr>
              <w:t>0-2分）</w:t>
            </w:r>
            <w:r>
              <w:rPr>
                <w:rFonts w:hint="eastAsia" w:ascii="宋体" w:hAnsi="宋体" w:eastAsia="宋体" w:cs="宋体"/>
                <w:szCs w:val="22"/>
                <w:highlight w:val="none"/>
              </w:rPr>
              <w:t>以及其他实质性优惠承诺</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0-</w:t>
            </w:r>
            <w:r>
              <w:rPr>
                <w:rFonts w:hint="eastAsia" w:ascii="宋体" w:hAnsi="宋体" w:cs="宋体"/>
                <w:szCs w:val="22"/>
                <w:highlight w:val="none"/>
                <w:lang w:val="en-US" w:eastAsia="zh-CN"/>
              </w:rPr>
              <w:t>1</w:t>
            </w:r>
            <w:r>
              <w:rPr>
                <w:rFonts w:hint="eastAsia" w:ascii="宋体" w:hAnsi="宋体" w:eastAsia="宋体" w:cs="宋体"/>
                <w:szCs w:val="22"/>
                <w:highlight w:val="none"/>
                <w:lang w:val="en-US" w:eastAsia="zh-CN"/>
              </w:rPr>
              <w:t>分</w:t>
            </w:r>
            <w:r>
              <w:rPr>
                <w:rFonts w:hint="eastAsia" w:ascii="宋体" w:hAnsi="宋体" w:eastAsia="宋体" w:cs="宋体"/>
                <w:szCs w:val="22"/>
                <w:highlight w:val="none"/>
                <w:lang w:eastAsia="zh-CN"/>
              </w:rPr>
              <w:t>）</w:t>
            </w:r>
            <w:r>
              <w:rPr>
                <w:rFonts w:hint="eastAsia" w:ascii="宋体" w:hAnsi="宋体" w:eastAsia="宋体" w:cs="宋体"/>
                <w:szCs w:val="22"/>
                <w:highlight w:val="none"/>
              </w:rPr>
              <w:t>进行</w:t>
            </w:r>
            <w:r>
              <w:rPr>
                <w:rFonts w:hint="eastAsia" w:ascii="宋体" w:hAnsi="宋体" w:eastAsia="宋体" w:cs="宋体"/>
                <w:szCs w:val="22"/>
                <w:highlight w:val="none"/>
                <w:lang w:eastAsia="zh-CN"/>
              </w:rPr>
              <w:t>综合</w:t>
            </w:r>
            <w:r>
              <w:rPr>
                <w:rFonts w:hint="eastAsia" w:ascii="宋体" w:hAnsi="宋体" w:eastAsia="宋体" w:cs="宋体"/>
                <w:szCs w:val="22"/>
                <w:highlight w:val="none"/>
              </w:rPr>
              <w:t>评</w:t>
            </w:r>
            <w:r>
              <w:rPr>
                <w:rFonts w:hint="eastAsia" w:ascii="宋体" w:hAnsi="宋体" w:eastAsia="宋体" w:cs="宋体"/>
                <w:szCs w:val="22"/>
                <w:highlight w:val="none"/>
                <w:lang w:eastAsia="zh-CN"/>
              </w:rPr>
              <w:t>分</w:t>
            </w:r>
            <w:r>
              <w:rPr>
                <w:rFonts w:hint="eastAsia" w:ascii="宋体" w:hAnsi="宋体" w:eastAsia="宋体" w:cs="宋体"/>
                <w:szCs w:val="22"/>
                <w:highlight w:val="none"/>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5" w:hRule="atLeast"/>
        </w:trPr>
        <w:tc>
          <w:tcPr>
            <w:tcW w:w="671" w:type="dxa"/>
            <w:vMerge w:val="continue"/>
            <w:tcBorders>
              <w:left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szCs w:val="21"/>
                <w:highlight w:val="none"/>
                <w:u w:val="none" w:color="000000"/>
                <w:lang w:val="zh-TW"/>
              </w:rPr>
            </w:pPr>
            <w:r>
              <w:rPr>
                <w:rFonts w:hint="eastAsia" w:ascii="宋体" w:hAnsi="宋体" w:eastAsia="宋体" w:cs="宋体"/>
                <w:b/>
                <w:szCs w:val="21"/>
                <w:highlight w:val="none"/>
                <w:lang w:val="zh-TW"/>
              </w:rPr>
              <w:t>投入本项目的人力</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eastAsia="宋体" w:cs="宋体"/>
                <w:szCs w:val="21"/>
                <w:highlight w:val="none"/>
                <w:u w:val="none" w:color="000000"/>
                <w:lang w:val="en-US" w:eastAsia="zh-CN"/>
              </w:rPr>
              <w:t>17</w:t>
            </w:r>
          </w:p>
        </w:tc>
        <w:tc>
          <w:tcPr>
            <w:tcW w:w="11115" w:type="dxa"/>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numPr>
                <w:ilvl w:val="0"/>
                <w:numId w:val="0"/>
              </w:numPr>
              <w:snapToGrid w:val="0"/>
              <w:spacing w:line="300" w:lineRule="exact"/>
              <w:ind w:firstLine="210" w:firstLineChars="1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项目的成员数量情况：</w:t>
            </w:r>
            <w:r>
              <w:rPr>
                <w:rFonts w:hint="eastAsia"/>
                <w:highlight w:val="none"/>
                <w:lang w:val="en-US" w:eastAsia="zh-CN"/>
              </w:rPr>
              <w:t>5分</w:t>
            </w:r>
          </w:p>
          <w:p>
            <w:pPr>
              <w:numPr>
                <w:ilvl w:val="0"/>
                <w:numId w:val="0"/>
              </w:numPr>
              <w:snapToGrid w:val="0"/>
              <w:spacing w:line="300" w:lineRule="exact"/>
              <w:ind w:firstLine="210" w:firstLineChars="100"/>
              <w:rPr>
                <w:rFonts w:hint="eastAsia"/>
                <w:highlight w:val="none"/>
              </w:rPr>
            </w:pPr>
            <w:r>
              <w:rPr>
                <w:rFonts w:hint="default" w:ascii="Times New Roman" w:hAnsi="Times New Roman" w:eastAsia="宋体" w:cs="Times New Roman"/>
                <w:highlight w:val="none"/>
              </w:rPr>
              <w:t>承诺配备的</w:t>
            </w:r>
            <w:r>
              <w:rPr>
                <w:rFonts w:hint="eastAsia"/>
                <w:highlight w:val="none"/>
                <w:lang w:val="en-US" w:eastAsia="zh-CN"/>
              </w:rPr>
              <w:t>服务</w:t>
            </w:r>
            <w:r>
              <w:rPr>
                <w:rFonts w:hint="default" w:ascii="Times New Roman" w:hAnsi="Times New Roman" w:eastAsia="宋体" w:cs="Times New Roman"/>
                <w:highlight w:val="none"/>
              </w:rPr>
              <w:t>工人数量满足招标文件要求</w:t>
            </w:r>
            <w:r>
              <w:rPr>
                <w:rFonts w:hint="eastAsia"/>
                <w:highlight w:val="none"/>
                <w:lang w:eastAsia="zh-CN"/>
              </w:rPr>
              <w:t>（</w:t>
            </w:r>
            <w:r>
              <w:rPr>
                <w:rFonts w:hint="eastAsia"/>
                <w:highlight w:val="none"/>
                <w:lang w:val="en-US" w:eastAsia="zh-CN"/>
              </w:rPr>
              <w:t>按各标段绿地，每一万平方米配置一名服务工人计</w:t>
            </w:r>
            <w:r>
              <w:rPr>
                <w:rFonts w:hint="eastAsia"/>
                <w:highlight w:val="none"/>
                <w:lang w:eastAsia="zh-CN"/>
              </w:rPr>
              <w:t>）</w:t>
            </w:r>
            <w:r>
              <w:rPr>
                <w:rFonts w:hint="default" w:ascii="Times New Roman" w:hAnsi="Times New Roman" w:eastAsia="宋体" w:cs="Times New Roman"/>
                <w:highlight w:val="none"/>
              </w:rPr>
              <w:t>的，不得分，超过招标文件要求每增加1人得</w:t>
            </w:r>
            <w:r>
              <w:rPr>
                <w:rFonts w:hint="eastAsia"/>
                <w:highlight w:val="none"/>
                <w:lang w:val="en-US" w:eastAsia="zh-CN"/>
              </w:rPr>
              <w:t>1</w:t>
            </w:r>
            <w:r>
              <w:rPr>
                <w:rFonts w:hint="default" w:ascii="Times New Roman" w:hAnsi="Times New Roman" w:eastAsia="宋体" w:cs="Times New Roman"/>
                <w:highlight w:val="none"/>
              </w:rPr>
              <w:t>分，最高得</w:t>
            </w:r>
            <w:r>
              <w:rPr>
                <w:rFonts w:hint="eastAsia" w:cs="Times New Roman"/>
                <w:highlight w:val="none"/>
                <w:lang w:val="en-US" w:eastAsia="zh-CN"/>
              </w:rPr>
              <w:t>5</w:t>
            </w:r>
            <w:r>
              <w:rPr>
                <w:rFonts w:hint="default" w:ascii="Times New Roman" w:hAnsi="Times New Roman" w:eastAsia="宋体" w:cs="Times New Roman"/>
                <w:highlight w:val="none"/>
              </w:rPr>
              <w:t>分。</w:t>
            </w:r>
          </w:p>
          <w:p>
            <w:pPr>
              <w:numPr>
                <w:ilvl w:val="0"/>
                <w:numId w:val="0"/>
              </w:numPr>
              <w:snapToGrid w:val="0"/>
              <w:spacing w:line="300" w:lineRule="exact"/>
              <w:ind w:firstLine="210" w:firstLineChars="100"/>
              <w:rPr>
                <w:rFonts w:hint="eastAsia"/>
                <w:highlight w:val="none"/>
              </w:rPr>
            </w:pPr>
            <w:r>
              <w:rPr>
                <w:rFonts w:hint="eastAsia"/>
                <w:highlight w:val="none"/>
                <w:lang w:val="en-US" w:eastAsia="zh-CN"/>
              </w:rPr>
              <w:t>（2）现场管理人员（主要技术人员）：4分</w:t>
            </w:r>
          </w:p>
          <w:p>
            <w:pPr>
              <w:numPr>
                <w:ilvl w:val="0"/>
                <w:numId w:val="0"/>
              </w:numPr>
              <w:snapToGrid w:val="0"/>
              <w:spacing w:line="300" w:lineRule="exact"/>
              <w:ind w:firstLine="210" w:firstLineChars="100"/>
              <w:rPr>
                <w:rFonts w:hint="eastAsia"/>
                <w:highlight w:val="none"/>
                <w:lang w:eastAsia="zh-CN"/>
              </w:rPr>
            </w:pPr>
            <w:r>
              <w:rPr>
                <w:rFonts w:hint="default" w:ascii="Times New Roman" w:hAnsi="Times New Roman" w:eastAsia="宋体" w:cs="Times New Roman"/>
                <w:highlight w:val="none"/>
                <w:lang w:val="en-US" w:eastAsia="zh-CN"/>
              </w:rPr>
              <w:t>投入本项目的</w:t>
            </w:r>
            <w:r>
              <w:rPr>
                <w:rFonts w:hint="eastAsia"/>
                <w:highlight w:val="none"/>
                <w:lang w:val="en-US" w:eastAsia="zh-CN"/>
              </w:rPr>
              <w:t>现场管理人员（主要</w:t>
            </w:r>
            <w:r>
              <w:rPr>
                <w:rFonts w:hint="default" w:ascii="Times New Roman" w:hAnsi="Times New Roman" w:eastAsia="宋体" w:cs="Times New Roman"/>
                <w:highlight w:val="none"/>
                <w:lang w:val="en-US" w:eastAsia="zh-CN"/>
              </w:rPr>
              <w:t>技术人员</w:t>
            </w:r>
            <w:r>
              <w:rPr>
                <w:rFonts w:hint="eastAsia"/>
                <w:highlight w:val="none"/>
                <w:lang w:val="en-US" w:eastAsia="zh-CN"/>
              </w:rPr>
              <w:t>）</w:t>
            </w:r>
            <w:r>
              <w:rPr>
                <w:rFonts w:hint="default" w:ascii="Times New Roman" w:hAnsi="Times New Roman" w:eastAsia="宋体" w:cs="Times New Roman"/>
                <w:highlight w:val="none"/>
              </w:rPr>
              <w:t>具备园林</w:t>
            </w:r>
            <w:r>
              <w:rPr>
                <w:rFonts w:hint="default" w:ascii="Times New Roman" w:hAnsi="Times New Roman" w:eastAsia="宋体" w:cs="Times New Roman"/>
                <w:highlight w:val="none"/>
                <w:lang w:val="en-US" w:eastAsia="zh-CN"/>
              </w:rPr>
              <w:t>绿化相关</w:t>
            </w:r>
            <w:r>
              <w:rPr>
                <w:rFonts w:hint="default" w:ascii="Times New Roman" w:hAnsi="Times New Roman" w:eastAsia="宋体" w:cs="Times New Roman"/>
                <w:highlight w:val="none"/>
              </w:rPr>
              <w:t>专业</w:t>
            </w:r>
            <w:r>
              <w:rPr>
                <w:rFonts w:hint="default" w:ascii="Times New Roman" w:hAnsi="Times New Roman" w:eastAsia="宋体" w:cs="Times New Roman"/>
                <w:highlight w:val="none"/>
                <w:lang w:val="en-US" w:eastAsia="zh-CN"/>
              </w:rPr>
              <w:t>高级职称或高级技工的，每人得</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分；具备</w:t>
            </w:r>
            <w:r>
              <w:rPr>
                <w:rFonts w:hint="default" w:ascii="Times New Roman" w:hAnsi="Times New Roman" w:eastAsia="宋体" w:cs="Times New Roman"/>
                <w:highlight w:val="none"/>
              </w:rPr>
              <w:t>园林</w:t>
            </w:r>
            <w:r>
              <w:rPr>
                <w:rFonts w:hint="default" w:ascii="Times New Roman" w:hAnsi="Times New Roman" w:eastAsia="宋体" w:cs="Times New Roman"/>
                <w:highlight w:val="none"/>
                <w:lang w:val="en-US" w:eastAsia="zh-CN"/>
              </w:rPr>
              <w:t>绿化相关</w:t>
            </w:r>
            <w:r>
              <w:rPr>
                <w:rFonts w:hint="default" w:ascii="Times New Roman" w:hAnsi="Times New Roman" w:eastAsia="宋体" w:cs="Times New Roman"/>
                <w:highlight w:val="none"/>
              </w:rPr>
              <w:t>专业</w:t>
            </w:r>
            <w:r>
              <w:rPr>
                <w:rFonts w:hint="default" w:ascii="Times New Roman" w:hAnsi="Times New Roman" w:eastAsia="宋体" w:cs="Times New Roman"/>
                <w:highlight w:val="none"/>
                <w:lang w:val="en-US" w:eastAsia="zh-CN"/>
              </w:rPr>
              <w:t>中级职称或中级技工证的，每人得1分；本项最多</w:t>
            </w:r>
            <w:r>
              <w:rPr>
                <w:rFonts w:hint="default" w:ascii="Times New Roman" w:hAnsi="Times New Roman" w:eastAsia="宋体" w:cs="Times New Roman"/>
                <w:highlight w:val="none"/>
              </w:rPr>
              <w:t>得</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eastAsia="zh-CN"/>
              </w:rPr>
              <w:t>。</w:t>
            </w:r>
            <w:r>
              <w:rPr>
                <w:rFonts w:hint="default"/>
                <w:highlight w:val="none"/>
              </w:rPr>
              <w:t>提供人员近三个月</w:t>
            </w:r>
            <w:r>
              <w:rPr>
                <w:rFonts w:hint="eastAsia"/>
                <w:highlight w:val="none"/>
                <w:lang w:val="en-US" w:eastAsia="zh-CN"/>
              </w:rPr>
              <w:t>任意一个月</w:t>
            </w:r>
            <w:r>
              <w:rPr>
                <w:rFonts w:hint="default"/>
                <w:highlight w:val="none"/>
              </w:rPr>
              <w:t>社保缴纳证明及证书复印件。</w:t>
            </w:r>
          </w:p>
          <w:p>
            <w:pPr>
              <w:numPr>
                <w:ilvl w:val="0"/>
                <w:numId w:val="0"/>
              </w:numPr>
              <w:snapToGrid w:val="0"/>
              <w:spacing w:line="300" w:lineRule="exact"/>
              <w:ind w:firstLine="210" w:firstLineChars="100"/>
              <w:rPr>
                <w:rFonts w:hint="eastAsia"/>
                <w:highlight w:val="none"/>
                <w:lang w:val="en-US" w:eastAsia="zh-CN"/>
              </w:rPr>
            </w:pPr>
            <w:r>
              <w:rPr>
                <w:rFonts w:hint="eastAsia"/>
                <w:highlight w:val="none"/>
                <w:lang w:val="en-US" w:eastAsia="zh-CN"/>
              </w:rPr>
              <w:t>（3）安全员：2分</w:t>
            </w:r>
          </w:p>
          <w:p>
            <w:pPr>
              <w:numPr>
                <w:ilvl w:val="0"/>
                <w:numId w:val="0"/>
              </w:numPr>
              <w:snapToGrid w:val="0"/>
              <w:spacing w:line="300" w:lineRule="exact"/>
              <w:ind w:firstLine="210" w:firstLineChars="100"/>
              <w:rPr>
                <w:rFonts w:hint="default"/>
                <w:highlight w:val="none"/>
                <w:lang w:val="en-US" w:eastAsia="zh-CN"/>
              </w:rPr>
            </w:pPr>
            <w:r>
              <w:rPr>
                <w:rFonts w:hint="eastAsia"/>
                <w:highlight w:val="none"/>
                <w:lang w:val="en-US" w:eastAsia="zh-CN"/>
              </w:rPr>
              <w:t xml:space="preserve"> 投入本项目的安全员具有安全员证书或具有经安全培训合格的证书的，每人得1分，最多得2分。</w:t>
            </w:r>
          </w:p>
          <w:p>
            <w:pPr>
              <w:numPr>
                <w:ilvl w:val="0"/>
                <w:numId w:val="0"/>
              </w:numPr>
              <w:snapToGrid w:val="0"/>
              <w:spacing w:line="300" w:lineRule="exact"/>
              <w:ind w:firstLine="210" w:firstLineChars="100"/>
              <w:rPr>
                <w:rFonts w:hint="eastAsia"/>
                <w:highlight w:val="none"/>
                <w:lang w:val="en-US" w:eastAsia="zh-CN"/>
              </w:rPr>
            </w:pPr>
            <w:r>
              <w:rPr>
                <w:rFonts w:hint="eastAsia"/>
                <w:highlight w:val="none"/>
                <w:lang w:val="en-US" w:eastAsia="zh-CN"/>
              </w:rPr>
              <w:t>（4）人员组织：3分</w:t>
            </w:r>
          </w:p>
          <w:p>
            <w:pPr>
              <w:numPr>
                <w:ilvl w:val="0"/>
                <w:numId w:val="0"/>
              </w:numPr>
              <w:snapToGrid w:val="0"/>
              <w:spacing w:line="300" w:lineRule="exact"/>
              <w:ind w:firstLine="210" w:firstLineChars="100"/>
              <w:rPr>
                <w:rFonts w:hint="default"/>
                <w:highlight w:val="none"/>
                <w:lang w:val="en-US" w:eastAsia="zh-CN"/>
              </w:rPr>
            </w:pPr>
            <w:r>
              <w:rPr>
                <w:rFonts w:hint="eastAsia"/>
                <w:highlight w:val="none"/>
              </w:rPr>
              <w:t>人员</w:t>
            </w:r>
            <w:r>
              <w:rPr>
                <w:rFonts w:hint="eastAsia"/>
                <w:highlight w:val="none"/>
                <w:lang w:val="en-US" w:eastAsia="zh-CN"/>
              </w:rPr>
              <w:t>组织渠道是否稳定可控，</w:t>
            </w:r>
            <w:r>
              <w:rPr>
                <w:rFonts w:hint="eastAsia"/>
                <w:highlight w:val="none"/>
              </w:rPr>
              <w:t>配置结构是否能满足绿化养护项目质量的要求，</w:t>
            </w:r>
            <w:r>
              <w:rPr>
                <w:rFonts w:hint="eastAsia"/>
                <w:highlight w:val="none"/>
                <w:lang w:val="en-US" w:eastAsia="zh-CN"/>
              </w:rPr>
              <w:t>特定作业时间的养护服务</w:t>
            </w:r>
            <w:r>
              <w:rPr>
                <w:rFonts w:hint="eastAsia"/>
                <w:highlight w:val="none"/>
              </w:rPr>
              <w:t>有无合理的劳动力投入计划：</w:t>
            </w:r>
            <w:r>
              <w:rPr>
                <w:rFonts w:hint="eastAsia"/>
                <w:highlight w:val="none"/>
                <w:lang w:eastAsia="zh-CN"/>
              </w:rPr>
              <w:t>给予</w:t>
            </w:r>
            <w:r>
              <w:rPr>
                <w:rFonts w:hint="eastAsia"/>
                <w:highlight w:val="none"/>
                <w:lang w:val="en-US" w:eastAsia="zh-CN"/>
              </w:rPr>
              <w:t>0-3分。</w:t>
            </w:r>
          </w:p>
          <w:p>
            <w:pPr>
              <w:numPr>
                <w:ilvl w:val="0"/>
                <w:numId w:val="0"/>
              </w:numPr>
              <w:snapToGrid w:val="0"/>
              <w:spacing w:line="300" w:lineRule="exact"/>
              <w:ind w:firstLine="210" w:firstLineChars="100"/>
              <w:rPr>
                <w:rFonts w:hint="eastAsia"/>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投标单位员工的养老保险、意外保险办理等情况</w:t>
            </w:r>
            <w:r>
              <w:rPr>
                <w:rFonts w:hint="eastAsia"/>
                <w:highlight w:val="none"/>
                <w:lang w:val="en-US" w:eastAsia="zh-CN"/>
              </w:rPr>
              <w:t>: 3分</w:t>
            </w:r>
          </w:p>
          <w:p>
            <w:pPr>
              <w:numPr>
                <w:ilvl w:val="0"/>
                <w:numId w:val="0"/>
              </w:numPr>
              <w:snapToGrid w:val="0"/>
              <w:spacing w:line="300" w:lineRule="exact"/>
              <w:ind w:firstLine="210" w:firstLineChars="100"/>
              <w:rPr>
                <w:rFonts w:hint="default"/>
                <w:highlight w:val="none"/>
                <w:lang w:val="en-US"/>
              </w:rPr>
            </w:pPr>
            <w:r>
              <w:rPr>
                <w:rFonts w:hint="eastAsia"/>
                <w:highlight w:val="none"/>
                <w:lang w:val="en-US" w:eastAsia="zh-CN"/>
              </w:rPr>
              <w:t>投标单位员工管理、工资薪金、福利待遇、培训、社保和商业保险等是否符合劳动法等相关法律规定，综合评价0-3分。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0" w:hRule="atLeast"/>
        </w:trPr>
        <w:tc>
          <w:tcPr>
            <w:tcW w:w="671" w:type="dxa"/>
            <w:tcBorders>
              <w:left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napToGrid w:val="0"/>
              <w:spacing w:line="300" w:lineRule="exact"/>
              <w:jc w:val="center"/>
              <w:rPr>
                <w:rFonts w:hint="eastAsia" w:ascii="宋体" w:hAnsi="宋体" w:eastAsia="宋体" w:cs="宋体"/>
                <w:b/>
                <w:szCs w:val="21"/>
                <w:highlight w:val="none"/>
                <w:lang w:val="zh-TW"/>
              </w:rPr>
            </w:pPr>
            <w:r>
              <w:rPr>
                <w:rFonts w:hint="eastAsia" w:ascii="宋体" w:hAnsi="宋体" w:eastAsia="宋体" w:cs="宋体"/>
                <w:b/>
                <w:szCs w:val="21"/>
                <w:highlight w:val="none"/>
                <w:lang w:val="zh-TW"/>
              </w:rPr>
              <w:t>投入本项目的主要机械</w:t>
            </w:r>
          </w:p>
          <w:p>
            <w:pPr>
              <w:snapToGrid w:val="0"/>
              <w:spacing w:line="300" w:lineRule="exact"/>
              <w:jc w:val="center"/>
              <w:rPr>
                <w:rFonts w:hint="eastAsia" w:ascii="宋体" w:hAnsi="宋体" w:eastAsia="宋体" w:cs="宋体"/>
                <w:b/>
                <w:szCs w:val="21"/>
                <w:highlight w:val="none"/>
                <w:lang w:val="zh-TW"/>
              </w:rPr>
            </w:pPr>
            <w:r>
              <w:rPr>
                <w:rFonts w:hint="eastAsia" w:ascii="宋体" w:hAnsi="宋体" w:eastAsia="宋体" w:cs="宋体"/>
                <w:b/>
                <w:szCs w:val="21"/>
                <w:highlight w:val="none"/>
                <w:lang w:val="zh-TW"/>
              </w:rPr>
              <w:t>设备</w:t>
            </w:r>
          </w:p>
        </w:tc>
        <w:tc>
          <w:tcPr>
            <w:tcW w:w="728"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eastAsia="宋体" w:cs="宋体"/>
                <w:szCs w:val="21"/>
                <w:highlight w:val="none"/>
                <w:u w:val="none" w:color="000000"/>
                <w:lang w:val="en-US" w:eastAsia="zh-CN"/>
              </w:rPr>
              <w:t>1</w:t>
            </w:r>
            <w:r>
              <w:rPr>
                <w:rFonts w:hint="eastAsia" w:ascii="宋体" w:hAnsi="宋体" w:cs="宋体"/>
                <w:szCs w:val="21"/>
                <w:highlight w:val="none"/>
                <w:u w:val="none" w:color="000000"/>
                <w:lang w:val="en-US" w:eastAsia="zh-CN"/>
              </w:rPr>
              <w:t>7</w:t>
            </w:r>
          </w:p>
        </w:tc>
        <w:tc>
          <w:tcPr>
            <w:tcW w:w="11115" w:type="dxa"/>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rPr>
                <w:rFonts w:hint="eastAsia"/>
                <w:highlight w:val="none"/>
              </w:rPr>
            </w:pPr>
            <w:r>
              <w:rPr>
                <w:rFonts w:hint="eastAsia"/>
                <w:highlight w:val="none"/>
              </w:rPr>
              <w:t>（1）</w:t>
            </w:r>
            <w:r>
              <w:rPr>
                <w:rFonts w:hint="eastAsia"/>
                <w:highlight w:val="none"/>
                <w:lang w:eastAsia="zh-CN"/>
              </w:rPr>
              <w:t>根据</w:t>
            </w:r>
            <w:r>
              <w:rPr>
                <w:rFonts w:hint="eastAsia"/>
                <w:highlight w:val="none"/>
              </w:rPr>
              <w:t>拟投入使用的机械设备</w:t>
            </w:r>
            <w:r>
              <w:rPr>
                <w:rFonts w:hint="eastAsia"/>
                <w:highlight w:val="none"/>
                <w:lang w:eastAsia="zh-CN"/>
              </w:rPr>
              <w:t>是否</w:t>
            </w:r>
            <w:r>
              <w:rPr>
                <w:rFonts w:hint="eastAsia"/>
                <w:highlight w:val="none"/>
              </w:rPr>
              <w:t>满足养护项目实际规模，各类养护机械设备数量、比例</w:t>
            </w:r>
            <w:r>
              <w:rPr>
                <w:rFonts w:hint="eastAsia"/>
                <w:highlight w:val="none"/>
                <w:lang w:eastAsia="zh-CN"/>
              </w:rPr>
              <w:t>是否</w:t>
            </w:r>
            <w:r>
              <w:rPr>
                <w:rFonts w:hint="eastAsia"/>
                <w:highlight w:val="none"/>
              </w:rPr>
              <w:t>适当，评委根据投标人的此项进行</w:t>
            </w:r>
            <w:r>
              <w:rPr>
                <w:rFonts w:hint="eastAsia"/>
                <w:highlight w:val="none"/>
                <w:lang w:val="en-US" w:eastAsia="zh-CN"/>
              </w:rPr>
              <w:t>综合评价</w:t>
            </w:r>
            <w:r>
              <w:rPr>
                <w:rFonts w:hint="eastAsia"/>
                <w:highlight w:val="none"/>
              </w:rPr>
              <w:t>：</w:t>
            </w:r>
            <w:r>
              <w:rPr>
                <w:rFonts w:hint="eastAsia"/>
                <w:highlight w:val="none"/>
                <w:lang w:eastAsia="zh-CN"/>
              </w:rPr>
              <w:t>给予</w:t>
            </w:r>
            <w:r>
              <w:rPr>
                <w:rFonts w:hint="eastAsia"/>
                <w:highlight w:val="none"/>
                <w:lang w:val="en-US" w:eastAsia="zh-CN"/>
              </w:rPr>
              <w:t>0-3分</w:t>
            </w:r>
            <w:r>
              <w:rPr>
                <w:rFonts w:hint="eastAsia"/>
                <w:highlight w:val="none"/>
              </w:rPr>
              <w:t>。</w:t>
            </w:r>
          </w:p>
          <w:p>
            <w:pPr>
              <w:snapToGrid w:val="0"/>
              <w:spacing w:line="300" w:lineRule="exact"/>
              <w:rPr>
                <w:rFonts w:hint="eastAsia"/>
                <w:highlight w:val="none"/>
              </w:rPr>
            </w:pPr>
            <w:r>
              <w:rPr>
                <w:rFonts w:hint="eastAsia"/>
                <w:highlight w:val="none"/>
              </w:rPr>
              <w:t>（2）机械设备的维修有保障，实行专人化和定期维护，评委根据投标人的此项要求进行评分</w:t>
            </w:r>
            <w:r>
              <w:rPr>
                <w:rFonts w:hint="eastAsia"/>
                <w:highlight w:val="none"/>
                <w:lang w:eastAsia="zh-CN"/>
              </w:rPr>
              <w:t>，给予</w:t>
            </w:r>
            <w:r>
              <w:rPr>
                <w:rFonts w:hint="eastAsia"/>
                <w:highlight w:val="none"/>
                <w:lang w:val="en-US" w:eastAsia="zh-CN"/>
              </w:rPr>
              <w:t>0-</w:t>
            </w:r>
            <w:r>
              <w:rPr>
                <w:rFonts w:hint="default"/>
                <w:highlight w:val="none"/>
                <w:lang w:val="en-US" w:eastAsia="zh-CN"/>
              </w:rPr>
              <w:t>3</w:t>
            </w:r>
            <w:r>
              <w:rPr>
                <w:rFonts w:hint="eastAsia"/>
                <w:highlight w:val="none"/>
                <w:lang w:val="en-US" w:eastAsia="zh-CN"/>
              </w:rPr>
              <w:t>分</w:t>
            </w:r>
            <w:r>
              <w:rPr>
                <w:rFonts w:hint="eastAsia"/>
                <w:highlight w:val="none"/>
              </w:rPr>
              <w:t>。</w:t>
            </w:r>
          </w:p>
          <w:p>
            <w:pPr>
              <w:snapToGrid w:val="0"/>
              <w:spacing w:line="300" w:lineRule="exact"/>
              <w:rPr>
                <w:rFonts w:hint="eastAsia"/>
                <w:highlight w:val="none"/>
                <w:lang w:val="en-US" w:eastAsia="zh-CN"/>
              </w:rPr>
            </w:pPr>
            <w:r>
              <w:rPr>
                <w:rFonts w:hint="default" w:ascii="Times New Roman" w:hAnsi="Times New Roman" w:eastAsia="宋体" w:cs="Times New Roman"/>
                <w:szCs w:val="24"/>
                <w:highlight w:val="none"/>
              </w:rPr>
              <w:t>（3）投标人自有</w:t>
            </w:r>
            <w:r>
              <w:rPr>
                <w:rFonts w:hint="default" w:ascii="Times New Roman" w:hAnsi="Times New Roman" w:eastAsia="宋体" w:cs="Times New Roman"/>
                <w:szCs w:val="24"/>
                <w:highlight w:val="none"/>
                <w:lang w:val="en-US" w:eastAsia="zh-CN"/>
              </w:rPr>
              <w:t>洒水车</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lang w:val="en-US" w:eastAsia="zh-CN"/>
              </w:rPr>
              <w:t>载重</w:t>
            </w:r>
            <w:r>
              <w:rPr>
                <w:rFonts w:hint="eastAsia" w:cs="Times New Roman"/>
                <w:szCs w:val="24"/>
                <w:highlight w:val="none"/>
                <w:lang w:val="en-US" w:eastAsia="zh-CN"/>
              </w:rPr>
              <w:t>8</w:t>
            </w:r>
            <w:r>
              <w:rPr>
                <w:rFonts w:hint="default" w:ascii="Times New Roman" w:hAnsi="Times New Roman" w:eastAsia="宋体" w:cs="Times New Roman"/>
                <w:szCs w:val="24"/>
                <w:highlight w:val="none"/>
                <w:lang w:val="en-US" w:eastAsia="zh-CN"/>
              </w:rPr>
              <w:t>吨及以上</w:t>
            </w:r>
            <w:r>
              <w:rPr>
                <w:rFonts w:hint="default" w:ascii="Times New Roman" w:hAnsi="Times New Roman" w:eastAsia="宋体" w:cs="Times New Roman"/>
                <w:szCs w:val="24"/>
                <w:highlight w:val="none"/>
                <w:lang w:eastAsia="zh-CN"/>
              </w:rPr>
              <w:t>）</w:t>
            </w:r>
            <w:r>
              <w:rPr>
                <w:rFonts w:hint="eastAsia" w:cs="Times New Roman"/>
                <w:szCs w:val="24"/>
                <w:highlight w:val="none"/>
                <w:lang w:val="en-US" w:eastAsia="zh-CN"/>
              </w:rPr>
              <w:t>1</w:t>
            </w:r>
            <w:r>
              <w:rPr>
                <w:rFonts w:hint="default" w:ascii="Times New Roman" w:hAnsi="Times New Roman" w:eastAsia="宋体" w:cs="Times New Roman"/>
                <w:szCs w:val="24"/>
                <w:highlight w:val="none"/>
                <w:lang w:val="en-US" w:eastAsia="zh-CN"/>
              </w:rPr>
              <w:t>辆的得2分，最高</w:t>
            </w:r>
            <w:r>
              <w:rPr>
                <w:rFonts w:hint="eastAsia" w:cs="Times New Roman"/>
                <w:szCs w:val="24"/>
                <w:highlight w:val="none"/>
                <w:lang w:val="en-US" w:eastAsia="zh-CN"/>
              </w:rPr>
              <w:t>6</w:t>
            </w:r>
            <w:r>
              <w:rPr>
                <w:rFonts w:hint="default" w:ascii="Times New Roman" w:hAnsi="Times New Roman" w:eastAsia="宋体" w:cs="Times New Roman"/>
                <w:szCs w:val="24"/>
                <w:highlight w:val="none"/>
                <w:lang w:val="en-US" w:eastAsia="zh-CN"/>
              </w:rPr>
              <w:t>分</w:t>
            </w:r>
            <w:r>
              <w:rPr>
                <w:rFonts w:hint="eastAsia"/>
                <w:highlight w:val="none"/>
                <w:lang w:val="en-US" w:eastAsia="zh-CN"/>
              </w:rPr>
              <w:t>。</w:t>
            </w:r>
          </w:p>
          <w:p>
            <w:pPr>
              <w:snapToGrid w:val="0"/>
              <w:spacing w:line="300" w:lineRule="exact"/>
              <w:rPr>
                <w:rFonts w:hint="eastAsia"/>
                <w:highlight w:val="none"/>
                <w:lang w:val="en-US" w:eastAsia="zh-CN"/>
              </w:rPr>
            </w:pPr>
            <w:r>
              <w:rPr>
                <w:rFonts w:hint="eastAsia"/>
                <w:highlight w:val="none"/>
                <w:lang w:val="en-US" w:eastAsia="zh-CN"/>
              </w:rPr>
              <w:t>（4）</w:t>
            </w:r>
            <w:r>
              <w:rPr>
                <w:rFonts w:hint="eastAsia"/>
                <w:highlight w:val="none"/>
              </w:rPr>
              <w:t>投标人自有高空作业车</w:t>
            </w:r>
            <w:r>
              <w:rPr>
                <w:rFonts w:hint="eastAsia"/>
                <w:highlight w:val="none"/>
                <w:lang w:val="en-US" w:eastAsia="zh-CN"/>
              </w:rPr>
              <w:t>1辆的得2分，最高2分。</w:t>
            </w:r>
          </w:p>
          <w:p>
            <w:pPr>
              <w:snapToGrid w:val="0"/>
              <w:spacing w:line="300" w:lineRule="exact"/>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（5）投标人自有轻型自卸货车每辆得1分，最高1分。</w:t>
            </w:r>
          </w:p>
          <w:p>
            <w:pPr>
              <w:rPr>
                <w:rFonts w:hint="default"/>
                <w:highlight w:val="none"/>
                <w:lang w:val="en-US" w:eastAsia="zh-CN"/>
              </w:rPr>
            </w:pPr>
            <w:r>
              <w:rPr>
                <w:rFonts w:hint="eastAsia"/>
                <w:highlight w:val="none"/>
                <w:lang w:val="en-US" w:eastAsia="zh-CN"/>
              </w:rPr>
              <w:t>（6）投标人自有巡查车辆每辆得1分，最高2分。</w:t>
            </w:r>
          </w:p>
          <w:p>
            <w:pPr>
              <w:snapToGrid w:val="0"/>
              <w:spacing w:line="300" w:lineRule="exact"/>
              <w:rPr>
                <w:rFonts w:hint="default" w:eastAsia="宋体"/>
                <w:highlight w:val="none"/>
                <w:lang w:val="en-US" w:eastAsia="zh-CN"/>
              </w:rPr>
            </w:pPr>
            <w:r>
              <w:rPr>
                <w:rFonts w:hint="eastAsia"/>
                <w:b/>
                <w:bCs/>
                <w:highlight w:val="none"/>
              </w:rPr>
              <w:t>提供</w:t>
            </w:r>
            <w:r>
              <w:rPr>
                <w:rFonts w:hint="eastAsia"/>
                <w:b/>
                <w:bCs/>
                <w:highlight w:val="none"/>
                <w:lang w:val="en-US" w:eastAsia="zh-CN"/>
              </w:rPr>
              <w:t>设备设施配置清单、购置发票复印件、</w:t>
            </w:r>
            <w:r>
              <w:rPr>
                <w:rFonts w:hint="eastAsia"/>
                <w:b/>
                <w:bCs/>
                <w:highlight w:val="none"/>
                <w:lang w:eastAsia="zh-CN"/>
              </w:rPr>
              <w:t>实物照片彩图（网站下载图片不予采纳）、</w:t>
            </w:r>
            <w:r>
              <w:rPr>
                <w:rFonts w:hint="eastAsia"/>
                <w:b/>
                <w:bCs/>
                <w:highlight w:val="none"/>
                <w:lang w:val="en-US" w:eastAsia="zh-CN"/>
              </w:rPr>
              <w:t>维修维护的方案和措施，车辆需另提供</w:t>
            </w:r>
            <w:r>
              <w:rPr>
                <w:rFonts w:hint="eastAsia"/>
                <w:b/>
                <w:bCs/>
                <w:highlight w:val="none"/>
              </w:rPr>
              <w:t>行驶证复印件</w:t>
            </w:r>
            <w:r>
              <w:rPr>
                <w:rFonts w:hint="eastAsia"/>
                <w:b/>
                <w:bCs/>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54" w:hRule="atLeast"/>
        </w:trPr>
        <w:tc>
          <w:tcPr>
            <w:tcW w:w="671" w:type="dxa"/>
            <w:vMerge w:val="restart"/>
            <w:tcBorders>
              <w:top w:val="single" w:color="auto" w:sz="4" w:space="0"/>
              <w:left w:val="single" w:color="auto" w:sz="4" w:space="0"/>
              <w:right w:val="single" w:color="000000" w:sz="4" w:space="0"/>
            </w:tcBorders>
            <w:noWrap w:val="0"/>
            <w:vAlign w:val="top"/>
          </w:tcPr>
          <w:p>
            <w:pPr>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000000" w:sz="4" w:space="0"/>
              <w:bottom w:val="single" w:color="auto" w:sz="4" w:space="0"/>
              <w:right w:val="single" w:color="auto"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服务场地</w:t>
            </w:r>
          </w:p>
        </w:tc>
        <w:tc>
          <w:tcPr>
            <w:tcW w:w="728" w:type="dxa"/>
            <w:tcBorders>
              <w:top w:val="single" w:color="000000" w:sz="4" w:space="0"/>
              <w:left w:val="single" w:color="auto" w:sz="4" w:space="0"/>
              <w:bottom w:val="single" w:color="auto" w:sz="4" w:space="0"/>
              <w:right w:val="single" w:color="000000"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szCs w:val="22"/>
                <w:highlight w:val="none"/>
                <w:lang w:eastAsia="zh-CN"/>
              </w:rPr>
            </w:pPr>
            <w:r>
              <w:rPr>
                <w:rFonts w:hint="eastAsia" w:ascii="宋体" w:hAnsi="宋体" w:eastAsia="宋体" w:cs="宋体"/>
                <w:szCs w:val="22"/>
                <w:highlight w:val="none"/>
                <w:lang w:val="en-US" w:eastAsia="zh-CN"/>
              </w:rPr>
              <w:t>3</w:t>
            </w:r>
          </w:p>
        </w:tc>
        <w:tc>
          <w:tcPr>
            <w:tcW w:w="11115"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szCs w:val="22"/>
                <w:highlight w:val="none"/>
              </w:rPr>
            </w:pPr>
            <w:r>
              <w:rPr>
                <w:rFonts w:hint="eastAsia" w:ascii="宋体" w:hAnsi="宋体" w:eastAsia="宋体" w:cs="宋体"/>
                <w:szCs w:val="22"/>
                <w:highlight w:val="none"/>
              </w:rPr>
              <w:t>对投标人提供有固定的养护管理房及停车场地（可租赁），根据场地与养护服务区域距离进行</w:t>
            </w:r>
            <w:r>
              <w:rPr>
                <w:rFonts w:hint="eastAsia" w:ascii="宋体" w:hAnsi="宋体" w:eastAsia="宋体" w:cs="宋体"/>
                <w:szCs w:val="22"/>
                <w:highlight w:val="none"/>
                <w:lang w:val="en-US" w:eastAsia="zh-CN"/>
              </w:rPr>
              <w:t>综合</w:t>
            </w:r>
            <w:r>
              <w:rPr>
                <w:rFonts w:hint="eastAsia" w:ascii="宋体" w:hAnsi="宋体" w:eastAsia="宋体" w:cs="宋体"/>
                <w:szCs w:val="22"/>
                <w:highlight w:val="none"/>
              </w:rPr>
              <w:t>评</w:t>
            </w:r>
            <w:r>
              <w:rPr>
                <w:rFonts w:hint="eastAsia" w:ascii="宋体" w:hAnsi="宋体" w:eastAsia="宋体" w:cs="宋体"/>
                <w:szCs w:val="22"/>
                <w:highlight w:val="none"/>
                <w:lang w:eastAsia="zh-CN"/>
              </w:rPr>
              <w:t>分，给予</w:t>
            </w:r>
            <w:r>
              <w:rPr>
                <w:rFonts w:hint="eastAsia" w:ascii="宋体" w:hAnsi="宋体" w:eastAsia="宋体" w:cs="宋体"/>
                <w:szCs w:val="22"/>
                <w:highlight w:val="none"/>
                <w:lang w:val="en-US" w:eastAsia="zh-CN"/>
              </w:rPr>
              <w:t>0-3分</w:t>
            </w:r>
            <w:r>
              <w:rPr>
                <w:rFonts w:hint="eastAsia" w:ascii="宋体" w:hAnsi="宋体" w:eastAsia="宋体" w:cs="宋体"/>
                <w:szCs w:val="22"/>
                <w:highlight w:val="none"/>
              </w:rPr>
              <w:t>，</w:t>
            </w:r>
            <w:r>
              <w:rPr>
                <w:rFonts w:hint="eastAsia" w:ascii="宋体" w:hAnsi="宋体" w:eastAsia="宋体" w:cs="宋体"/>
                <w:szCs w:val="22"/>
                <w:highlight w:val="none"/>
                <w:lang w:eastAsia="zh-CN"/>
              </w:rPr>
              <w:t>没有提供</w:t>
            </w:r>
            <w:r>
              <w:rPr>
                <w:rFonts w:hint="eastAsia" w:ascii="宋体" w:hAnsi="宋体" w:eastAsia="宋体" w:cs="宋体"/>
                <w:szCs w:val="22"/>
                <w:highlight w:val="none"/>
              </w:rPr>
              <w:t>不得分。（需提供实景图片、房产证或租赁协议复印件）</w:t>
            </w:r>
            <w:r>
              <w:rPr>
                <w:rFonts w:hint="eastAsia" w:ascii="宋体" w:hAnsi="宋体" w:eastAsia="宋体" w:cs="宋体"/>
                <w:szCs w:val="22"/>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09" w:hRule="atLeast"/>
        </w:trPr>
        <w:tc>
          <w:tcPr>
            <w:tcW w:w="671" w:type="dxa"/>
            <w:vMerge w:val="continue"/>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rPr>
                <w:rFonts w:hint="eastAsia" w:ascii="宋体" w:hAnsi="宋体" w:eastAsia="宋体" w:cs="宋体"/>
                <w:szCs w:val="21"/>
                <w:highlight w:val="none"/>
              </w:rPr>
            </w:pPr>
          </w:p>
        </w:tc>
        <w:tc>
          <w:tcPr>
            <w:tcW w:w="1348" w:type="dxa"/>
            <w:vMerge w:val="restart"/>
            <w:tcBorders>
              <w:top w:val="single" w:color="auto" w:sz="4" w:space="0"/>
              <w:left w:val="single" w:color="000000" w:sz="4" w:space="0"/>
              <w:right w:val="single" w:color="auto"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b/>
                <w:szCs w:val="21"/>
                <w:highlight w:val="none"/>
                <w:lang w:val="zh-TW"/>
              </w:rPr>
            </w:pPr>
            <w:r>
              <w:rPr>
                <w:rFonts w:hint="eastAsia" w:ascii="宋体" w:hAnsi="宋体" w:eastAsia="宋体" w:cs="宋体"/>
                <w:b/>
                <w:szCs w:val="21"/>
                <w:highlight w:val="none"/>
                <w:lang w:val="zh-TW"/>
              </w:rPr>
              <w:t>业绩</w:t>
            </w:r>
          </w:p>
        </w:tc>
        <w:tc>
          <w:tcPr>
            <w:tcW w:w="728" w:type="dxa"/>
            <w:vMerge w:val="restart"/>
            <w:tcBorders>
              <w:top w:val="single" w:color="auto" w:sz="4" w:space="0"/>
              <w:left w:val="single" w:color="auto" w:sz="4" w:space="0"/>
              <w:right w:val="single" w:color="000000" w:sz="4" w:space="0"/>
            </w:tcBorders>
            <w:noWrap w:val="0"/>
            <w:tcMar>
              <w:top w:w="80" w:type="dxa"/>
              <w:left w:w="143" w:type="dxa"/>
              <w:bottom w:w="80" w:type="dxa"/>
              <w:right w:w="143" w:type="dxa"/>
            </w:tcMar>
            <w:vAlign w:val="center"/>
          </w:tcPr>
          <w:p>
            <w:pPr>
              <w:snapToGrid w:val="0"/>
              <w:spacing w:line="300" w:lineRule="exact"/>
              <w:jc w:val="center"/>
              <w:rPr>
                <w:rFonts w:hint="default" w:ascii="宋体" w:hAnsi="宋体" w:eastAsia="宋体" w:cs="宋体"/>
                <w:szCs w:val="21"/>
                <w:highlight w:val="none"/>
                <w:u w:val="none" w:color="000000"/>
                <w:lang w:eastAsia="zh-CN"/>
              </w:rPr>
            </w:pPr>
            <w:r>
              <w:rPr>
                <w:rFonts w:hint="eastAsia" w:ascii="宋体" w:hAnsi="宋体" w:eastAsia="宋体" w:cs="宋体"/>
                <w:szCs w:val="21"/>
                <w:highlight w:val="none"/>
                <w:u w:val="none" w:color="000000"/>
                <w:lang w:val="en-US" w:eastAsia="zh-CN"/>
              </w:rPr>
              <w:t>1</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napToGrid w:val="0"/>
              <w:spacing w:line="300" w:lineRule="exact"/>
              <w:rPr>
                <w:rFonts w:hint="eastAsia" w:ascii="宋体" w:hAnsi="宋体" w:eastAsia="宋体" w:cs="宋体"/>
                <w:highlight w:val="none"/>
              </w:rPr>
            </w:pPr>
            <w:r>
              <w:rPr>
                <w:rFonts w:hint="eastAsia" w:ascii="宋体" w:hAnsi="宋体" w:eastAsia="宋体" w:cs="宋体"/>
                <w:kern w:val="0"/>
                <w:szCs w:val="21"/>
                <w:highlight w:val="none"/>
              </w:rPr>
              <w:t>投标人</w:t>
            </w:r>
            <w:r>
              <w:rPr>
                <w:rFonts w:hint="eastAsia" w:ascii="宋体" w:hAnsi="宋体" w:eastAsia="宋体" w:cs="宋体"/>
                <w:kern w:val="0"/>
                <w:szCs w:val="21"/>
                <w:highlight w:val="none"/>
                <w:lang w:eastAsia="zh-CN"/>
              </w:rPr>
              <w:t>自</w:t>
            </w:r>
            <w:r>
              <w:rPr>
                <w:rFonts w:hint="eastAsia" w:ascii="宋体" w:hAnsi="宋体" w:eastAsia="宋体" w:cs="宋体"/>
                <w:kern w:val="0"/>
                <w:szCs w:val="21"/>
                <w:highlight w:val="none"/>
              </w:rPr>
              <w:t>20</w:t>
            </w:r>
            <w:r>
              <w:rPr>
                <w:rFonts w:hint="eastAsia" w:ascii="宋体" w:hAnsi="宋体" w:cs="宋体"/>
                <w:kern w:val="0"/>
                <w:szCs w:val="21"/>
                <w:highlight w:val="none"/>
                <w:lang w:val="en-US" w:eastAsia="zh-CN"/>
              </w:rPr>
              <w:t>20</w:t>
            </w:r>
            <w:r>
              <w:rPr>
                <w:rFonts w:hint="eastAsia" w:ascii="宋体" w:hAnsi="宋体" w:eastAsia="宋体" w:cs="宋体"/>
                <w:kern w:val="0"/>
                <w:szCs w:val="21"/>
                <w:highlight w:val="none"/>
              </w:rPr>
              <w:t>年1月1日至今完成同类项目业绩，</w:t>
            </w:r>
            <w:r>
              <w:rPr>
                <w:rFonts w:hint="eastAsia" w:ascii="宋体" w:hAnsi="宋体" w:cs="宋体"/>
                <w:kern w:val="0"/>
                <w:szCs w:val="21"/>
                <w:highlight w:val="none"/>
                <w:lang w:val="en-US" w:eastAsia="zh-CN"/>
              </w:rPr>
              <w:t>每提供1</w:t>
            </w:r>
            <w:r>
              <w:rPr>
                <w:rFonts w:hint="eastAsia" w:ascii="宋体" w:hAnsi="宋体" w:eastAsia="宋体" w:cs="宋体"/>
                <w:kern w:val="0"/>
                <w:szCs w:val="21"/>
                <w:highlight w:val="none"/>
              </w:rPr>
              <w:t>个同类</w:t>
            </w:r>
            <w:r>
              <w:rPr>
                <w:rFonts w:hint="eastAsia" w:ascii="宋体" w:hAnsi="宋体" w:cs="宋体"/>
                <w:kern w:val="0"/>
                <w:szCs w:val="21"/>
                <w:highlight w:val="none"/>
                <w:lang w:val="en-US" w:eastAsia="zh-CN"/>
              </w:rPr>
              <w:t>项目</w:t>
            </w:r>
            <w:r>
              <w:rPr>
                <w:rFonts w:hint="eastAsia" w:ascii="宋体" w:hAnsi="宋体" w:eastAsia="宋体" w:cs="宋体"/>
                <w:kern w:val="0"/>
                <w:szCs w:val="21"/>
                <w:highlight w:val="none"/>
              </w:rPr>
              <w:t>业绩</w:t>
            </w:r>
            <w:r>
              <w:rPr>
                <w:rFonts w:hint="eastAsia" w:ascii="宋体" w:hAnsi="宋体" w:cs="宋体"/>
                <w:kern w:val="0"/>
                <w:szCs w:val="21"/>
                <w:highlight w:val="none"/>
                <w:lang w:val="en-US" w:eastAsia="zh-CN"/>
              </w:rPr>
              <w:t>得0.4分，满分1分</w:t>
            </w:r>
            <w:r>
              <w:rPr>
                <w:rFonts w:hint="eastAsia" w:ascii="宋体" w:hAnsi="宋体" w:eastAsia="宋体" w:cs="宋体"/>
                <w:kern w:val="0"/>
                <w:szCs w:val="21"/>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54" w:hRule="atLeast"/>
        </w:trPr>
        <w:tc>
          <w:tcPr>
            <w:tcW w:w="671" w:type="dxa"/>
            <w:vMerge w:val="continue"/>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rPr>
                <w:rFonts w:hint="eastAsia" w:ascii="宋体" w:hAnsi="宋体" w:eastAsia="宋体" w:cs="宋体"/>
                <w:szCs w:val="21"/>
                <w:highlight w:val="none"/>
              </w:rPr>
            </w:pPr>
          </w:p>
        </w:tc>
        <w:tc>
          <w:tcPr>
            <w:tcW w:w="1348" w:type="dxa"/>
            <w:vMerge w:val="continue"/>
            <w:tcBorders>
              <w:left w:val="single" w:color="000000" w:sz="4" w:space="0"/>
              <w:bottom w:val="single" w:color="auto" w:sz="4" w:space="0"/>
              <w:right w:val="single" w:color="auto"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b/>
                <w:szCs w:val="21"/>
                <w:highlight w:val="none"/>
                <w:lang w:val="zh-TW"/>
              </w:rPr>
            </w:pPr>
          </w:p>
        </w:tc>
        <w:tc>
          <w:tcPr>
            <w:tcW w:w="728" w:type="dxa"/>
            <w:vMerge w:val="continue"/>
            <w:tcBorders>
              <w:left w:val="single" w:color="auto" w:sz="4" w:space="0"/>
              <w:bottom w:val="single" w:color="auto" w:sz="4" w:space="0"/>
              <w:right w:val="single" w:color="000000"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szCs w:val="21"/>
                <w:highlight w:val="none"/>
                <w:u w:val="none" w:color="000000"/>
              </w:rPr>
            </w:pP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tabs>
                <w:tab w:val="left" w:pos="1080"/>
              </w:tabs>
              <w:snapToGri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注：1.同类项目业绩指</w:t>
            </w:r>
            <w:r>
              <w:rPr>
                <w:rFonts w:hint="eastAsia" w:ascii="宋体" w:hAnsi="宋体" w:eastAsia="宋体" w:cs="宋体"/>
                <w:szCs w:val="21"/>
                <w:highlight w:val="none"/>
                <w:lang w:val="en-US" w:eastAsia="zh-CN"/>
              </w:rPr>
              <w:t>市政道路或公路沿线或城市绿地</w:t>
            </w:r>
            <w:r>
              <w:rPr>
                <w:rFonts w:hint="eastAsia" w:ascii="宋体" w:hAnsi="宋体" w:eastAsia="宋体" w:cs="宋体"/>
                <w:szCs w:val="21"/>
                <w:highlight w:val="none"/>
              </w:rPr>
              <w:t>绿化养护服务项目</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不含绿化工程施工责任期的养护，不含小区绿化养护</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pStyle w:val="10"/>
              <w:snapToGrid w:val="0"/>
              <w:spacing w:line="300" w:lineRule="exact"/>
              <w:ind w:left="420" w:leftChars="200"/>
              <w:rPr>
                <w:rFonts w:hint="eastAsia" w:ascii="宋体" w:hAnsi="宋体" w:eastAsia="宋体" w:cs="宋体"/>
                <w:szCs w:val="21"/>
                <w:highlight w:val="none"/>
                <w:u w:val="none" w:color="000000"/>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.投标文件中必须有合同复印件、中标通知书</w:t>
            </w:r>
            <w:r>
              <w:rPr>
                <w:rFonts w:hint="eastAsia" w:ascii="宋体" w:hAnsi="宋体" w:eastAsia="宋体" w:cs="宋体"/>
                <w:szCs w:val="21"/>
                <w:highlight w:val="none"/>
                <w:lang w:eastAsia="zh-CN"/>
              </w:rPr>
              <w:t>复印件</w:t>
            </w:r>
            <w:r>
              <w:rPr>
                <w:rFonts w:hint="eastAsia" w:ascii="宋体" w:hAnsi="宋体" w:eastAsia="宋体" w:cs="宋体"/>
                <w:szCs w:val="21"/>
                <w:highlight w:val="none"/>
              </w:rPr>
              <w:t>、竣工验收</w:t>
            </w:r>
            <w:r>
              <w:rPr>
                <w:rFonts w:hint="eastAsia" w:ascii="宋体" w:hAnsi="宋体" w:eastAsia="宋体" w:cs="宋体"/>
                <w:szCs w:val="21"/>
                <w:highlight w:val="none"/>
                <w:lang w:eastAsia="zh-CN"/>
              </w:rPr>
              <w:t>报告（或业主单位证明）复印件</w:t>
            </w:r>
            <w:r>
              <w:rPr>
                <w:rFonts w:hint="eastAsia" w:ascii="宋体" w:hAnsi="宋体" w:eastAsia="宋体" w:cs="宋体"/>
                <w:szCs w:val="21"/>
                <w:highlight w:val="none"/>
              </w:rPr>
              <w:t>，时间以合同签订日为准。</w:t>
            </w:r>
            <w:r>
              <w:rPr>
                <w:rFonts w:hint="eastAsia" w:ascii="宋体" w:hAnsi="宋体" w:eastAsia="宋体" w:cs="宋体"/>
                <w:szCs w:val="21"/>
                <w:highlight w:val="none"/>
                <w:lang w:eastAsia="zh-CN"/>
              </w:rPr>
              <w:t>项目尚在履约期内，提供</w:t>
            </w:r>
            <w:r>
              <w:rPr>
                <w:rFonts w:hint="eastAsia" w:ascii="宋体" w:hAnsi="宋体" w:eastAsia="宋体" w:cs="宋体"/>
                <w:szCs w:val="21"/>
                <w:highlight w:val="none"/>
              </w:rPr>
              <w:t>合同复印件、中标通知书</w:t>
            </w:r>
            <w:r>
              <w:rPr>
                <w:rFonts w:hint="eastAsia" w:ascii="宋体" w:hAnsi="宋体" w:eastAsia="宋体" w:cs="宋体"/>
                <w:szCs w:val="21"/>
                <w:highlight w:val="none"/>
                <w:lang w:eastAsia="zh-CN"/>
              </w:rPr>
              <w:t>复印件即可。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trPr>
        <w:tc>
          <w:tcPr>
            <w:tcW w:w="671" w:type="dxa"/>
            <w:vMerge w:val="continue"/>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000000" w:sz="4" w:space="0"/>
              <w:bottom w:val="single" w:color="auto" w:sz="4" w:space="0"/>
              <w:right w:val="single" w:color="auto"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b/>
                <w:szCs w:val="21"/>
                <w:highlight w:val="none"/>
                <w:lang w:val="zh-TW" w:eastAsia="zh-CN"/>
              </w:rPr>
            </w:pPr>
            <w:r>
              <w:rPr>
                <w:rFonts w:hint="eastAsia" w:ascii="宋体" w:hAnsi="宋体" w:eastAsia="宋体" w:cs="宋体"/>
                <w:b/>
                <w:szCs w:val="21"/>
                <w:highlight w:val="none"/>
                <w:lang w:val="zh-TW" w:eastAsia="zh-CN"/>
              </w:rPr>
              <w:t>业绩好评</w:t>
            </w:r>
          </w:p>
        </w:tc>
        <w:tc>
          <w:tcPr>
            <w:tcW w:w="728" w:type="dxa"/>
            <w:tcBorders>
              <w:top w:val="single" w:color="auto" w:sz="4" w:space="0"/>
              <w:left w:val="single" w:color="auto" w:sz="4" w:space="0"/>
              <w:bottom w:val="single" w:color="000000" w:sz="4" w:space="0"/>
              <w:right w:val="single" w:color="000000" w:sz="4" w:space="0"/>
            </w:tcBorders>
            <w:noWrap w:val="0"/>
            <w:tcMar>
              <w:top w:w="80" w:type="dxa"/>
              <w:left w:w="143" w:type="dxa"/>
              <w:bottom w:w="80" w:type="dxa"/>
              <w:right w:w="143" w:type="dxa"/>
            </w:tcMar>
            <w:vAlign w:val="center"/>
          </w:tcPr>
          <w:p>
            <w:pPr>
              <w:snapToGrid w:val="0"/>
              <w:spacing w:line="300" w:lineRule="exact"/>
              <w:jc w:val="center"/>
              <w:rPr>
                <w:rFonts w:hint="default" w:ascii="宋体" w:hAnsi="宋体" w:eastAsia="宋体" w:cs="宋体"/>
                <w:szCs w:val="21"/>
                <w:highlight w:val="none"/>
                <w:u w:val="none" w:color="000000"/>
                <w:lang w:val="en-US" w:eastAsia="zh-CN"/>
              </w:rPr>
            </w:pPr>
            <w:r>
              <w:rPr>
                <w:rFonts w:hint="eastAsia" w:ascii="宋体" w:hAnsi="宋体" w:eastAsia="宋体" w:cs="宋体"/>
                <w:szCs w:val="21"/>
                <w:highlight w:val="none"/>
                <w:u w:val="none" w:color="000000"/>
                <w:lang w:val="en-US" w:eastAsia="zh-CN"/>
              </w:rPr>
              <w:t>3</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tabs>
                <w:tab w:val="left" w:pos="1080"/>
              </w:tabs>
              <w:snapToGrid w:val="0"/>
              <w:spacing w:line="300" w:lineRule="exact"/>
              <w:rPr>
                <w:rFonts w:hint="default" w:ascii="宋体" w:hAnsi="宋体" w:eastAsia="宋体" w:cs="宋体"/>
                <w:b/>
                <w:bCs/>
                <w:color w:val="000000"/>
                <w:szCs w:val="21"/>
                <w:highlight w:val="none"/>
                <w:lang w:val="en-US" w:eastAsia="zh-CN"/>
              </w:rPr>
            </w:pPr>
            <w:r>
              <w:rPr>
                <w:rFonts w:hint="eastAsia" w:ascii="宋体" w:hAnsi="宋体" w:eastAsia="宋体" w:cs="宋体"/>
                <w:b w:val="0"/>
                <w:bCs w:val="0"/>
                <w:szCs w:val="21"/>
                <w:highlight w:val="none"/>
                <w:lang w:eastAsia="zh-CN"/>
              </w:rPr>
              <w:t>投标人提供的上述同类项目业绩中，具有业主好评的每个合同得</w:t>
            </w:r>
            <w:r>
              <w:rPr>
                <w:rFonts w:hint="eastAsia" w:ascii="宋体" w:hAnsi="宋体" w:eastAsia="宋体" w:cs="宋体"/>
                <w:b w:val="0"/>
                <w:bCs w:val="0"/>
                <w:szCs w:val="21"/>
                <w:highlight w:val="none"/>
                <w:lang w:val="en-US" w:eastAsia="zh-CN"/>
              </w:rPr>
              <w:t>1分，最高得3分，提供业主盖章的证明材料。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trPr>
        <w:tc>
          <w:tcPr>
            <w:tcW w:w="671" w:type="dxa"/>
            <w:vMerge w:val="continue"/>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rPr>
                <w:rFonts w:hint="eastAsia" w:ascii="宋体" w:hAnsi="宋体" w:eastAsia="宋体" w:cs="宋体"/>
                <w:szCs w:val="21"/>
                <w:highlight w:val="none"/>
              </w:rPr>
            </w:pPr>
          </w:p>
        </w:tc>
        <w:tc>
          <w:tcPr>
            <w:tcW w:w="1348" w:type="dxa"/>
            <w:tcBorders>
              <w:top w:val="single" w:color="auto" w:sz="4" w:space="0"/>
              <w:left w:val="single" w:color="000000" w:sz="4" w:space="0"/>
              <w:bottom w:val="single" w:color="auto" w:sz="4" w:space="0"/>
              <w:right w:val="single" w:color="auto"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b/>
                <w:szCs w:val="21"/>
                <w:highlight w:val="none"/>
                <w:lang w:val="zh-TW"/>
              </w:rPr>
            </w:pPr>
            <w:r>
              <w:rPr>
                <w:rFonts w:hint="eastAsia" w:ascii="宋体" w:hAnsi="宋体" w:eastAsia="宋体" w:cs="宋体"/>
                <w:b/>
                <w:szCs w:val="21"/>
                <w:highlight w:val="none"/>
                <w:lang w:val="zh-TW"/>
              </w:rPr>
              <w:t>体系认证</w:t>
            </w:r>
          </w:p>
        </w:tc>
        <w:tc>
          <w:tcPr>
            <w:tcW w:w="728" w:type="dxa"/>
            <w:tcBorders>
              <w:top w:val="single" w:color="auto" w:sz="4" w:space="0"/>
              <w:left w:val="single" w:color="auto" w:sz="4" w:space="0"/>
              <w:bottom w:val="single" w:color="000000" w:sz="4" w:space="0"/>
              <w:right w:val="single" w:color="000000" w:sz="4" w:space="0"/>
            </w:tcBorders>
            <w:noWrap w:val="0"/>
            <w:tcMar>
              <w:top w:w="80" w:type="dxa"/>
              <w:left w:w="143" w:type="dxa"/>
              <w:bottom w:w="80" w:type="dxa"/>
              <w:right w:w="143" w:type="dxa"/>
            </w:tcMar>
            <w:vAlign w:val="center"/>
          </w:tcPr>
          <w:p>
            <w:pPr>
              <w:snapToGrid w:val="0"/>
              <w:spacing w:line="300" w:lineRule="exact"/>
              <w:jc w:val="center"/>
              <w:rPr>
                <w:rFonts w:hint="eastAsia" w:ascii="宋体" w:hAnsi="宋体" w:eastAsia="宋体" w:cs="宋体"/>
                <w:szCs w:val="21"/>
                <w:highlight w:val="none"/>
                <w:u w:val="none" w:color="000000"/>
                <w:lang w:eastAsia="zh-CN"/>
              </w:rPr>
            </w:pPr>
            <w:r>
              <w:rPr>
                <w:rFonts w:hint="eastAsia" w:ascii="宋体" w:hAnsi="宋体" w:eastAsia="宋体" w:cs="宋体"/>
                <w:szCs w:val="21"/>
                <w:highlight w:val="none"/>
                <w:u w:val="none" w:color="000000"/>
                <w:lang w:val="en-US" w:eastAsia="zh-CN"/>
              </w:rPr>
              <w:t>4</w:t>
            </w:r>
          </w:p>
        </w:tc>
        <w:tc>
          <w:tcPr>
            <w:tcW w:w="1111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tabs>
                <w:tab w:val="left" w:pos="1080"/>
              </w:tabs>
              <w:snapToGrid w:val="0"/>
              <w:spacing w:line="300" w:lineRule="exact"/>
              <w:rPr>
                <w:rFonts w:hint="eastAsia" w:ascii="宋体" w:hAnsi="宋体" w:eastAsia="宋体" w:cs="宋体"/>
                <w:b/>
                <w:bCs/>
                <w:color w:val="000000"/>
                <w:szCs w:val="21"/>
                <w:highlight w:val="none"/>
                <w:lang w:eastAsia="zh-CN"/>
              </w:rPr>
            </w:pPr>
            <w:r>
              <w:rPr>
                <w:rFonts w:hint="eastAsia" w:ascii="宋体" w:hAnsi="宋体" w:eastAsia="宋体" w:cs="宋体"/>
                <w:bCs/>
                <w:color w:val="000000"/>
                <w:szCs w:val="21"/>
                <w:highlight w:val="none"/>
              </w:rPr>
              <w:t>投标人通过国际标准化组织（ISO）系列质量管理体系认证、环境管理体系认证、职业健康与安全管理体系认证</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通过国标GB/T31950企业诚信管理体系认证的</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认证范围</w:t>
            </w:r>
            <w:r>
              <w:rPr>
                <w:rFonts w:hint="eastAsia" w:ascii="宋体" w:hAnsi="宋体" w:eastAsia="宋体" w:cs="宋体"/>
                <w:bCs/>
                <w:color w:val="000000"/>
                <w:szCs w:val="21"/>
                <w:highlight w:val="none"/>
              </w:rPr>
              <w:t>须包含绿化养护或施工等类似内容</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每项得1分，最高4分。</w:t>
            </w:r>
          </w:p>
          <w:p>
            <w:pPr>
              <w:tabs>
                <w:tab w:val="left" w:pos="1080"/>
              </w:tabs>
              <w:snapToGrid w:val="0"/>
              <w:spacing w:line="300" w:lineRule="exact"/>
              <w:rPr>
                <w:rFonts w:hint="eastAsia" w:ascii="宋体" w:hAnsi="宋体" w:eastAsia="宋体" w:cs="宋体"/>
                <w:szCs w:val="21"/>
                <w:highlight w:val="none"/>
              </w:rPr>
            </w:pPr>
            <w:r>
              <w:rPr>
                <w:rFonts w:hint="eastAsia" w:ascii="宋体" w:hAnsi="宋体" w:eastAsia="宋体" w:cs="宋体"/>
                <w:b/>
                <w:bCs/>
                <w:color w:val="000000"/>
                <w:szCs w:val="21"/>
                <w:highlight w:val="none"/>
              </w:rPr>
              <w:t>提供</w:t>
            </w:r>
            <w:r>
              <w:rPr>
                <w:rFonts w:hint="eastAsia" w:ascii="宋体" w:hAnsi="宋体" w:cs="宋体"/>
                <w:b/>
                <w:bCs/>
                <w:color w:val="000000"/>
                <w:szCs w:val="21"/>
                <w:highlight w:val="none"/>
                <w:lang w:val="en-US" w:eastAsia="zh-CN"/>
              </w:rPr>
              <w:t>有效期内</w:t>
            </w:r>
            <w:r>
              <w:rPr>
                <w:rFonts w:hint="eastAsia" w:ascii="宋体" w:hAnsi="宋体" w:eastAsia="宋体" w:cs="宋体"/>
                <w:b/>
                <w:bCs/>
                <w:color w:val="000000"/>
                <w:szCs w:val="21"/>
                <w:highlight w:val="none"/>
              </w:rPr>
              <w:t>证书复印件</w:t>
            </w:r>
            <w:r>
              <w:rPr>
                <w:rFonts w:hint="eastAsia" w:ascii="宋体" w:hAnsi="宋体" w:eastAsia="宋体" w:cs="宋体"/>
                <w:b/>
                <w:bCs/>
                <w:color w:val="000000"/>
                <w:szCs w:val="21"/>
                <w:highlight w:val="none"/>
                <w:lang w:val="en-US" w:eastAsia="zh-CN"/>
              </w:rPr>
              <w:t>。</w:t>
            </w:r>
          </w:p>
        </w:tc>
      </w:tr>
    </w:tbl>
    <w:p>
      <w:pPr>
        <w:pStyle w:val="2"/>
        <w:rPr>
          <w:rFonts w:hint="eastAsia"/>
        </w:rPr>
        <w:sectPr>
          <w:pgSz w:w="16838" w:h="11906" w:orient="landscape"/>
          <w:pgMar w:top="1531" w:right="1558" w:bottom="1531" w:left="1402" w:header="851" w:footer="851" w:gutter="0"/>
          <w:pgNumType w:fmt="decimal"/>
          <w:cols w:space="720" w:num="1"/>
          <w:docGrid w:linePitch="312" w:charSpace="0"/>
        </w:sectPr>
      </w:pPr>
    </w:p>
    <w:p>
      <w:pPr>
        <w:pStyle w:val="3"/>
        <w:numPr>
          <w:ilvl w:val="0"/>
          <w:numId w:val="9"/>
        </w:numPr>
        <w:tabs>
          <w:tab w:val="left" w:pos="360"/>
        </w:tabs>
        <w:spacing w:line="240" w:lineRule="auto"/>
        <w:jc w:val="center"/>
        <w:rPr>
          <w:rFonts w:hint="eastAsia" w:ascii="宋体" w:hAnsi="宋体" w:cs="宋体"/>
          <w:sz w:val="36"/>
          <w:szCs w:val="36"/>
        </w:rPr>
      </w:pPr>
      <w:bookmarkStart w:id="55" w:name="_Toc9440"/>
      <w:bookmarkStart w:id="56" w:name="_Toc327751117"/>
      <w:r>
        <w:rPr>
          <w:rFonts w:hint="eastAsia" w:ascii="宋体" w:hAnsi="宋体" w:cs="宋体"/>
          <w:sz w:val="36"/>
          <w:szCs w:val="36"/>
        </w:rPr>
        <w:t>合同主要条款</w:t>
      </w:r>
      <w:bookmarkEnd w:id="55"/>
      <w:bookmarkEnd w:id="56"/>
      <w:r>
        <w:rPr>
          <w:rFonts w:hint="eastAsia" w:ascii="宋体" w:hAnsi="宋体" w:cs="宋体"/>
          <w:sz w:val="30"/>
          <w:szCs w:val="30"/>
        </w:rPr>
        <w:t>（仅供参考）</w:t>
      </w:r>
    </w:p>
    <w:p>
      <w:pPr>
        <w:spacing w:line="300" w:lineRule="auto"/>
        <w:rPr>
          <w:rFonts w:hint="eastAsia" w:ascii="宋体" w:hAnsi="宋体" w:cs="宋体"/>
          <w:b/>
          <w:szCs w:val="21"/>
        </w:rPr>
      </w:pPr>
    </w:p>
    <w:p>
      <w:pPr>
        <w:ind w:firstLine="420" w:firstLineChars="200"/>
        <w:jc w:val="center"/>
        <w:rPr>
          <w:rFonts w:hint="eastAsia" w:ascii="宋体" w:hAnsi="宋体" w:cs="宋体"/>
          <w:szCs w:val="21"/>
        </w:rPr>
      </w:pPr>
    </w:p>
    <w:p>
      <w:pPr>
        <w:spacing w:line="400" w:lineRule="exact"/>
        <w:ind w:firstLine="420" w:firstLineChars="200"/>
        <w:rPr>
          <w:rFonts w:hint="eastAsia" w:ascii="宋体" w:hAnsi="宋体" w:cs="宋体"/>
          <w:szCs w:val="21"/>
        </w:rPr>
      </w:pPr>
      <w:r>
        <w:rPr>
          <w:rFonts w:hint="eastAsia" w:ascii="宋体" w:hAnsi="宋体" w:cs="宋体"/>
          <w:szCs w:val="21"/>
        </w:rPr>
        <w:t>发包方：（甲方）</w:t>
      </w:r>
    </w:p>
    <w:p>
      <w:pPr>
        <w:pStyle w:val="2"/>
        <w:tabs>
          <w:tab w:val="left" w:pos="360"/>
        </w:tabs>
        <w:snapToGrid w:val="0"/>
        <w:spacing w:before="120" w:after="120"/>
        <w:ind w:right="400" w:firstLine="420" w:firstLineChars="200"/>
        <w:rPr>
          <w:rFonts w:hint="eastAsia" w:hAnsi="宋体" w:cs="宋体"/>
          <w:sz w:val="21"/>
          <w:szCs w:val="21"/>
        </w:rPr>
      </w:pPr>
      <w:r>
        <w:rPr>
          <w:rFonts w:hint="eastAsia" w:hAnsi="宋体" w:cs="宋体"/>
          <w:sz w:val="21"/>
          <w:szCs w:val="21"/>
        </w:rPr>
        <w:t>承包方： （乙方）                   项目编号:</w:t>
      </w:r>
    </w:p>
    <w:p>
      <w:pPr>
        <w:pStyle w:val="14"/>
        <w:spacing w:after="0" w:line="400" w:lineRule="exact"/>
        <w:ind w:left="0" w:leftChars="0" w:firstLine="420" w:firstLineChars="200"/>
        <w:rPr>
          <w:rFonts w:hint="eastAsia" w:ascii="宋体" w:hAnsi="宋体" w:cs="宋体"/>
          <w:szCs w:val="21"/>
        </w:rPr>
      </w:pPr>
      <w:r>
        <w:rPr>
          <w:rFonts w:hint="eastAsia" w:ascii="宋体" w:hAnsi="宋体" w:cs="宋体"/>
          <w:szCs w:val="21"/>
        </w:rPr>
        <w:t>为切实搞好</w:t>
      </w:r>
      <w:r>
        <w:rPr>
          <w:rFonts w:hint="eastAsia" w:ascii="宋体" w:hAnsi="宋体" w:cs="宋体"/>
          <w:szCs w:val="21"/>
          <w:lang w:val="en-US" w:eastAsia="zh-CN"/>
        </w:rPr>
        <w:t>园区</w:t>
      </w:r>
      <w:r>
        <w:rPr>
          <w:rFonts w:hint="eastAsia" w:ascii="宋体" w:hAnsi="宋体" w:cs="宋体"/>
          <w:szCs w:val="21"/>
        </w:rPr>
        <w:t>保洁工作，规范作业要求，经上级部门批准决定对</w:t>
      </w:r>
      <w:r>
        <w:rPr>
          <w:rFonts w:hint="eastAsia" w:ascii="宋体" w:hAnsi="宋体" w:cs="宋体"/>
          <w:szCs w:val="21"/>
          <w:lang w:val="en-US" w:eastAsia="zh-CN"/>
        </w:rPr>
        <w:t>园</w:t>
      </w:r>
      <w:r>
        <w:rPr>
          <w:rFonts w:hint="eastAsia" w:ascii="宋体" w:hAnsi="宋体" w:cs="宋体"/>
          <w:szCs w:val="21"/>
        </w:rPr>
        <w:t>区道路清扫保洁工作实行整体承揽作业（以下简称“承包”）。甲、乙双方根据</w:t>
      </w:r>
      <w:r>
        <w:rPr>
          <w:rFonts w:hint="eastAsia" w:ascii="宋体" w:hAnsi="宋体" w:cs="宋体"/>
          <w:szCs w:val="21"/>
          <w:lang w:eastAsia="zh-CN"/>
        </w:rPr>
        <w:t>安吉县公共资源交易中心（安吉县政府采购中心）</w:t>
      </w:r>
      <w:r>
        <w:rPr>
          <w:rFonts w:hint="eastAsia" w:ascii="宋体" w:hAnsi="宋体" w:cs="宋体"/>
          <w:szCs w:val="21"/>
        </w:rPr>
        <w:t>关于**********政府采购项目公开招标的结果，，由乙方中标承包，现为明确甲、乙双方相互间的权利与义务，特订协议如下，以资信守。</w:t>
      </w:r>
    </w:p>
    <w:p>
      <w:pPr>
        <w:spacing w:line="400" w:lineRule="exact"/>
        <w:ind w:firstLine="420" w:firstLineChars="200"/>
        <w:rPr>
          <w:rFonts w:hint="eastAsia" w:ascii="宋体" w:hAnsi="宋体" w:cs="宋体"/>
          <w:szCs w:val="21"/>
        </w:rPr>
      </w:pPr>
      <w:r>
        <w:rPr>
          <w:rFonts w:hint="eastAsia" w:ascii="宋体" w:hAnsi="宋体" w:cs="宋体"/>
          <w:szCs w:val="21"/>
        </w:rPr>
        <w:t>一、承包区域及期限：</w:t>
      </w:r>
    </w:p>
    <w:p>
      <w:pPr>
        <w:spacing w:line="400" w:lineRule="exact"/>
        <w:ind w:firstLine="420" w:firstLineChars="200"/>
        <w:rPr>
          <w:rFonts w:hint="eastAsia" w:ascii="宋体" w:hAnsi="宋体" w:cs="宋体"/>
          <w:color w:val="FF0000"/>
          <w:szCs w:val="21"/>
        </w:rPr>
      </w:pPr>
      <w:r>
        <w:rPr>
          <w:rFonts w:hint="eastAsia" w:ascii="宋体" w:hAnsi="宋体" w:cs="宋体"/>
          <w:szCs w:val="21"/>
        </w:rPr>
        <w:t>1、承包区域：</w:t>
      </w:r>
    </w:p>
    <w:p>
      <w:pPr>
        <w:spacing w:line="400" w:lineRule="exact"/>
        <w:ind w:firstLine="396" w:firstLineChars="200"/>
        <w:rPr>
          <w:rFonts w:hint="eastAsia" w:ascii="宋体" w:hAnsi="宋体" w:cs="宋体"/>
          <w:szCs w:val="21"/>
        </w:rPr>
      </w:pPr>
      <w:r>
        <w:rPr>
          <w:rFonts w:hint="eastAsia" w:ascii="宋体" w:hAnsi="宋体" w:cs="宋体"/>
          <w:spacing w:val="-6"/>
          <w:szCs w:val="21"/>
        </w:rPr>
        <w:t>2、承包期限：壹年，即从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日始至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日止。</w:t>
      </w:r>
    </w:p>
    <w:p>
      <w:pPr>
        <w:spacing w:line="400" w:lineRule="exact"/>
        <w:ind w:firstLine="420" w:firstLineChars="200"/>
        <w:rPr>
          <w:rFonts w:hint="eastAsia" w:ascii="宋体" w:hAnsi="宋体" w:cs="宋体"/>
          <w:szCs w:val="21"/>
        </w:rPr>
      </w:pPr>
      <w:r>
        <w:rPr>
          <w:rFonts w:hint="eastAsia" w:ascii="宋体" w:hAnsi="宋体" w:cs="宋体"/>
          <w:szCs w:val="21"/>
        </w:rPr>
        <w:t>二、承包内容。</w:t>
      </w:r>
    </w:p>
    <w:p>
      <w:pPr>
        <w:spacing w:line="400" w:lineRule="exact"/>
        <w:ind w:firstLine="420" w:firstLineChars="200"/>
        <w:rPr>
          <w:rFonts w:hint="eastAsia" w:ascii="宋体" w:hAnsi="宋体" w:cs="宋体"/>
          <w:szCs w:val="21"/>
        </w:rPr>
      </w:pPr>
      <w:r>
        <w:rPr>
          <w:rFonts w:hint="eastAsia" w:ascii="宋体" w:hAnsi="宋体" w:cs="宋体"/>
          <w:szCs w:val="21"/>
        </w:rPr>
        <w:t>详见招标文件</w:t>
      </w:r>
    </w:p>
    <w:p>
      <w:pPr>
        <w:spacing w:line="400" w:lineRule="exact"/>
        <w:ind w:firstLine="420" w:firstLineChars="200"/>
        <w:rPr>
          <w:rFonts w:hint="eastAsia" w:ascii="宋体" w:hAnsi="宋体" w:cs="宋体"/>
          <w:szCs w:val="21"/>
        </w:rPr>
      </w:pPr>
      <w:r>
        <w:rPr>
          <w:rFonts w:hint="eastAsia" w:ascii="宋体" w:hAnsi="宋体" w:cs="宋体"/>
          <w:szCs w:val="21"/>
        </w:rPr>
        <w:t>三、承揽报酬（以下简称“服务费”）：</w:t>
      </w:r>
    </w:p>
    <w:p>
      <w:pPr>
        <w:spacing w:line="400" w:lineRule="exact"/>
        <w:ind w:firstLine="420" w:firstLineChars="200"/>
        <w:rPr>
          <w:rFonts w:hint="eastAsia" w:ascii="宋体" w:hAnsi="宋体" w:cs="宋体"/>
          <w:szCs w:val="21"/>
        </w:rPr>
      </w:pPr>
      <w:r>
        <w:rPr>
          <w:rFonts w:hint="eastAsia" w:ascii="宋体" w:hAnsi="宋体" w:cs="宋体"/>
          <w:szCs w:val="21"/>
        </w:rPr>
        <w:t>共计人民币</w:t>
      </w:r>
      <w:r>
        <w:rPr>
          <w:rFonts w:hint="eastAsia" w:ascii="宋体" w:hAnsi="宋体" w:cs="宋体"/>
          <w:szCs w:val="21"/>
          <w:u w:val="single"/>
        </w:rPr>
        <w:t xml:space="preserve">                    </w:t>
      </w:r>
      <w:r>
        <w:rPr>
          <w:rFonts w:hint="eastAsia" w:ascii="宋体" w:hAnsi="宋体" w:cs="宋体"/>
          <w:szCs w:val="21"/>
        </w:rPr>
        <w:t>元。</w:t>
      </w:r>
    </w:p>
    <w:p>
      <w:pPr>
        <w:spacing w:line="400" w:lineRule="exact"/>
        <w:ind w:firstLine="420" w:firstLineChars="200"/>
        <w:rPr>
          <w:rFonts w:hint="eastAsia" w:ascii="宋体" w:hAnsi="宋体" w:cs="宋体"/>
          <w:szCs w:val="21"/>
        </w:rPr>
      </w:pPr>
      <w:r>
        <w:rPr>
          <w:rFonts w:hint="eastAsia" w:ascii="宋体" w:hAnsi="宋体" w:cs="宋体"/>
          <w:szCs w:val="21"/>
        </w:rPr>
        <w:t>四、服务费支付方式与期限</w:t>
      </w:r>
    </w:p>
    <w:p>
      <w:pPr>
        <w:spacing w:line="400" w:lineRule="exact"/>
        <w:ind w:firstLine="420" w:firstLineChars="200"/>
        <w:rPr>
          <w:rFonts w:hint="eastAsia" w:ascii="宋体" w:hAnsi="宋体" w:cs="宋体"/>
          <w:szCs w:val="21"/>
        </w:rPr>
      </w:pPr>
      <w:r>
        <w:rPr>
          <w:rFonts w:hint="eastAsia" w:ascii="宋体" w:hAnsi="宋体" w:cs="宋体"/>
          <w:szCs w:val="21"/>
        </w:rPr>
        <w:t>1、支付方式：按乙方保洁成果并经甲方考核后按月支付，即每月初支付上月报酬；</w:t>
      </w:r>
    </w:p>
    <w:p>
      <w:pPr>
        <w:spacing w:line="400" w:lineRule="exact"/>
        <w:ind w:firstLine="420" w:firstLineChars="200"/>
        <w:rPr>
          <w:rFonts w:hint="eastAsia" w:ascii="宋体" w:hAnsi="宋体" w:cs="宋体"/>
          <w:szCs w:val="21"/>
        </w:rPr>
      </w:pPr>
      <w:r>
        <w:rPr>
          <w:rFonts w:hint="eastAsia" w:ascii="宋体" w:hAnsi="宋体" w:cs="宋体"/>
          <w:szCs w:val="21"/>
        </w:rPr>
        <w:t>2、支付期限：在上级专款到位后三天内支付（如遇双休日、节假日顺延）。</w:t>
      </w:r>
    </w:p>
    <w:p>
      <w:pPr>
        <w:spacing w:line="400" w:lineRule="exact"/>
        <w:ind w:firstLine="420" w:firstLineChars="200"/>
        <w:rPr>
          <w:rFonts w:hint="eastAsia" w:ascii="宋体" w:hAnsi="宋体" w:cs="宋体"/>
          <w:szCs w:val="21"/>
        </w:rPr>
      </w:pPr>
      <w:r>
        <w:rPr>
          <w:rFonts w:hint="eastAsia" w:ascii="宋体" w:hAnsi="宋体" w:cs="宋体"/>
          <w:szCs w:val="21"/>
        </w:rPr>
        <w:t>五、双方的权利与义务</w:t>
      </w:r>
    </w:p>
    <w:p>
      <w:pPr>
        <w:spacing w:line="400" w:lineRule="exact"/>
        <w:ind w:firstLine="420" w:firstLineChars="200"/>
        <w:rPr>
          <w:rFonts w:hint="eastAsia" w:ascii="宋体" w:hAnsi="宋体" w:cs="宋体"/>
          <w:szCs w:val="21"/>
        </w:rPr>
      </w:pPr>
      <w:r>
        <w:rPr>
          <w:rFonts w:hint="eastAsia" w:ascii="宋体" w:hAnsi="宋体" w:cs="宋体"/>
          <w:szCs w:val="21"/>
        </w:rPr>
        <w:t>（一）甲方的权利义务</w:t>
      </w:r>
    </w:p>
    <w:p>
      <w:pPr>
        <w:spacing w:line="400" w:lineRule="exact"/>
        <w:ind w:firstLine="420" w:firstLineChars="200"/>
        <w:rPr>
          <w:rFonts w:hint="eastAsia" w:ascii="宋体" w:hAnsi="宋体" w:cs="宋体"/>
          <w:szCs w:val="21"/>
        </w:rPr>
      </w:pPr>
      <w:r>
        <w:rPr>
          <w:rFonts w:hint="eastAsia" w:ascii="宋体" w:hAnsi="宋体" w:cs="宋体"/>
          <w:szCs w:val="21"/>
        </w:rPr>
        <w:t>1、甲方落实乙方垃圾收运的倾倒点。</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2、甲方（含上级主管部门）对乙方工作情况进行每周不少于五次明、暗不定的检查考核，考核按《道路清扫保洁考核细则》执行（见附件一）。</w:t>
      </w:r>
    </w:p>
    <w:p>
      <w:pPr>
        <w:spacing w:line="400" w:lineRule="exact"/>
        <w:ind w:firstLine="420" w:firstLineChars="200"/>
        <w:rPr>
          <w:rFonts w:hint="eastAsia" w:ascii="宋体" w:hAnsi="宋体" w:cs="宋体"/>
          <w:szCs w:val="21"/>
        </w:rPr>
      </w:pPr>
      <w:r>
        <w:rPr>
          <w:rFonts w:hint="eastAsia" w:ascii="宋体" w:hAnsi="宋体" w:cs="宋体"/>
          <w:szCs w:val="21"/>
        </w:rPr>
        <w:t>3、遇上级检查或较大社会活动等情况，甲方应提前通知乙方，并负责做好业务指导工作。</w:t>
      </w:r>
    </w:p>
    <w:p>
      <w:pPr>
        <w:spacing w:line="400" w:lineRule="exact"/>
        <w:ind w:firstLine="420" w:firstLineChars="200"/>
        <w:rPr>
          <w:rFonts w:hint="eastAsia" w:ascii="宋体" w:hAnsi="宋体" w:cs="宋体"/>
          <w:szCs w:val="21"/>
        </w:rPr>
      </w:pPr>
      <w:r>
        <w:rPr>
          <w:rFonts w:hint="eastAsia" w:ascii="宋体" w:hAnsi="宋体" w:cs="宋体"/>
          <w:szCs w:val="21"/>
        </w:rPr>
        <w:t>4、甲方有权对乙方保洁作业进行明、暗等形式的检查与考核。</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5、乙方由于平时管理不力，造成社会不良影响、投诉或新闻媒体曝光，甲方有权对照考核细则加倍扣分和2000元以上5000元以下扣款。</w:t>
      </w:r>
    </w:p>
    <w:p>
      <w:pPr>
        <w:spacing w:line="400" w:lineRule="exact"/>
        <w:ind w:firstLine="396" w:firstLineChars="200"/>
        <w:rPr>
          <w:rFonts w:hint="eastAsia" w:ascii="宋体" w:hAnsi="宋体" w:cs="宋体"/>
          <w:spacing w:val="-6"/>
          <w:szCs w:val="21"/>
        </w:rPr>
      </w:pPr>
      <w:r>
        <w:rPr>
          <w:rFonts w:hint="eastAsia" w:ascii="宋体" w:hAnsi="宋体" w:cs="宋体"/>
          <w:spacing w:val="-6"/>
          <w:szCs w:val="21"/>
        </w:rPr>
        <w:t>6、乙方不能按时完成某项作业要求时，甲方有权自行安排该项工作，所涉一切费用从乙方当月服务费中扣除，同时按考核标准扣分扣款。</w:t>
      </w:r>
    </w:p>
    <w:p>
      <w:pPr>
        <w:spacing w:line="400" w:lineRule="exact"/>
        <w:ind w:firstLine="420" w:firstLineChars="200"/>
        <w:rPr>
          <w:rFonts w:hint="eastAsia" w:ascii="宋体" w:hAnsi="宋体" w:cs="宋体"/>
          <w:szCs w:val="21"/>
        </w:rPr>
      </w:pPr>
      <w:r>
        <w:rPr>
          <w:rFonts w:hint="eastAsia" w:ascii="宋体" w:hAnsi="宋体" w:cs="宋体"/>
          <w:szCs w:val="21"/>
        </w:rPr>
        <w:t>7、乙方承包内容如遇拆建或改作它用等情况，甲方有权按实调整道路面积、作业方式及保洁费用。</w:t>
      </w:r>
    </w:p>
    <w:p>
      <w:pPr>
        <w:spacing w:line="400" w:lineRule="exact"/>
        <w:ind w:firstLine="420" w:firstLineChars="200"/>
        <w:rPr>
          <w:rFonts w:hint="eastAsia" w:ascii="宋体" w:hAnsi="宋体" w:cs="宋体"/>
          <w:szCs w:val="21"/>
        </w:rPr>
      </w:pPr>
      <w:r>
        <w:rPr>
          <w:rFonts w:hint="eastAsia" w:ascii="宋体" w:hAnsi="宋体" w:cs="宋体"/>
          <w:szCs w:val="21"/>
        </w:rPr>
        <w:t>8、甲方有权对生产成本部分资金的使用情况进行监督。</w:t>
      </w:r>
    </w:p>
    <w:p>
      <w:pPr>
        <w:spacing w:line="400" w:lineRule="exact"/>
        <w:ind w:firstLine="420" w:firstLineChars="200"/>
        <w:rPr>
          <w:rFonts w:hint="eastAsia" w:ascii="宋体" w:hAnsi="宋体" w:cs="宋体"/>
          <w:szCs w:val="21"/>
        </w:rPr>
      </w:pPr>
      <w:r>
        <w:rPr>
          <w:rFonts w:hint="eastAsia" w:ascii="宋体" w:hAnsi="宋体" w:cs="宋体"/>
          <w:szCs w:val="21"/>
        </w:rPr>
        <w:t>9、凡遇环卫重大体制改革或上级提示，需中途停止承包的，甲方有权终止协议（甲方应以书面形式通知乙方）。</w:t>
      </w:r>
    </w:p>
    <w:p>
      <w:pPr>
        <w:spacing w:line="400" w:lineRule="exact"/>
        <w:ind w:firstLine="420" w:firstLineChars="200"/>
        <w:rPr>
          <w:rFonts w:hint="eastAsia" w:ascii="宋体" w:hAnsi="宋体" w:cs="宋体"/>
          <w:szCs w:val="21"/>
        </w:rPr>
      </w:pPr>
      <w:r>
        <w:rPr>
          <w:rFonts w:hint="eastAsia" w:ascii="宋体" w:hAnsi="宋体" w:cs="宋体"/>
          <w:szCs w:val="21"/>
        </w:rPr>
        <w:t>（二）乙方的权利义务</w:t>
      </w:r>
    </w:p>
    <w:p>
      <w:pPr>
        <w:spacing w:line="400" w:lineRule="exact"/>
        <w:ind w:firstLine="420" w:firstLineChars="200"/>
        <w:rPr>
          <w:rFonts w:hint="eastAsia" w:ascii="宋体" w:hAnsi="宋体" w:cs="宋体"/>
          <w:szCs w:val="21"/>
        </w:rPr>
      </w:pPr>
      <w:r>
        <w:rPr>
          <w:rFonts w:hint="eastAsia" w:ascii="宋体" w:hAnsi="宋体" w:cs="宋体"/>
          <w:szCs w:val="21"/>
        </w:rPr>
        <w:t>1、乙方须在签订协议之日，向甲方交纳合同总额的5 %（    元）作为履约保证金，每满一年后，经考核全年得分在80分以上（含80分）的，甲方不计息全额返还。</w:t>
      </w:r>
    </w:p>
    <w:p>
      <w:pPr>
        <w:spacing w:line="400" w:lineRule="exact"/>
        <w:ind w:firstLine="420" w:firstLineChars="200"/>
        <w:rPr>
          <w:rFonts w:hint="eastAsia" w:ascii="宋体" w:hAnsi="宋体" w:cs="宋体"/>
          <w:szCs w:val="21"/>
        </w:rPr>
      </w:pPr>
      <w:r>
        <w:rPr>
          <w:rFonts w:hint="eastAsia" w:ascii="宋体" w:hAnsi="宋体" w:cs="宋体"/>
          <w:szCs w:val="21"/>
        </w:rPr>
        <w:t>2、乙方必须按甲方要求自行购齐必需的劳动用具，并聘用好作业人员，作业人员足额到岗位按《任务量及作业安排表》（见附件二）的要求作业。</w:t>
      </w:r>
    </w:p>
    <w:p>
      <w:pPr>
        <w:spacing w:line="400" w:lineRule="exact"/>
        <w:ind w:firstLine="420" w:firstLineChars="200"/>
        <w:rPr>
          <w:rFonts w:hint="eastAsia" w:ascii="宋体" w:hAnsi="宋体" w:cs="宋体"/>
          <w:szCs w:val="21"/>
        </w:rPr>
      </w:pPr>
      <w:r>
        <w:rPr>
          <w:rFonts w:hint="eastAsia" w:ascii="宋体" w:hAnsi="宋体" w:cs="宋体"/>
          <w:szCs w:val="21"/>
        </w:rPr>
        <w:t>3、乙方必须制订切合实际的管理制度和具体操作实施方案并予以实施（报甲方一份）。</w:t>
      </w:r>
    </w:p>
    <w:p>
      <w:pPr>
        <w:spacing w:line="400" w:lineRule="exact"/>
        <w:ind w:firstLine="420" w:firstLineChars="200"/>
        <w:rPr>
          <w:rFonts w:hint="eastAsia" w:ascii="宋体" w:hAnsi="宋体" w:cs="宋体"/>
          <w:szCs w:val="21"/>
        </w:rPr>
      </w:pPr>
      <w:r>
        <w:rPr>
          <w:rFonts w:hint="eastAsia" w:ascii="宋体" w:hAnsi="宋体" w:cs="宋体"/>
          <w:szCs w:val="21"/>
        </w:rPr>
        <w:t>4、乙方要落实好安全防范措施，在承包期限内，乙方聘用的员工如发生各种伤亡安全事故，无论工伤、非工伤一律由乙方自行承担赔偿责任，与甲方无涉。</w:t>
      </w:r>
    </w:p>
    <w:p>
      <w:pPr>
        <w:spacing w:line="400" w:lineRule="exact"/>
        <w:ind w:firstLine="420" w:firstLineChars="200"/>
        <w:rPr>
          <w:rFonts w:hint="eastAsia" w:ascii="宋体" w:hAnsi="宋体" w:cs="宋体"/>
          <w:szCs w:val="21"/>
        </w:rPr>
      </w:pPr>
      <w:r>
        <w:rPr>
          <w:rFonts w:hint="eastAsia" w:ascii="宋体" w:hAnsi="宋体" w:cs="宋体"/>
          <w:szCs w:val="21"/>
        </w:rPr>
        <w:t>5、乙方必须按时支付聘用的作业人员工资，所支付的工资不低于本单位核定的工资标准，如不按时支付工资或所支付的工资低于本单位核定的工资标准，甲方有权从服务费中向乙方聘用的作业人员直接支付工资。每月工资发放完毕后，乙方必须向甲方提交工资发放表复印件一份，以作备案。</w:t>
      </w:r>
    </w:p>
    <w:p>
      <w:pPr>
        <w:spacing w:line="400" w:lineRule="exact"/>
        <w:ind w:firstLine="420" w:firstLineChars="200"/>
        <w:rPr>
          <w:rFonts w:hint="eastAsia" w:ascii="宋体" w:hAnsi="宋体" w:cs="宋体"/>
          <w:szCs w:val="21"/>
        </w:rPr>
      </w:pPr>
      <w:r>
        <w:rPr>
          <w:rFonts w:hint="eastAsia" w:ascii="宋体" w:hAnsi="宋体" w:cs="宋体"/>
          <w:szCs w:val="21"/>
        </w:rPr>
        <w:t>6、乙方必须有固定的办公场所、值班电话和工具停放场所，须落实专职管理人员进行日常管理。</w:t>
      </w:r>
    </w:p>
    <w:p>
      <w:pPr>
        <w:spacing w:line="400" w:lineRule="exact"/>
        <w:ind w:firstLine="380" w:firstLineChars="200"/>
        <w:rPr>
          <w:rFonts w:hint="eastAsia" w:ascii="宋体" w:hAnsi="宋体" w:cs="宋体"/>
          <w:spacing w:val="-10"/>
          <w:szCs w:val="21"/>
        </w:rPr>
      </w:pPr>
      <w:r>
        <w:rPr>
          <w:rFonts w:hint="eastAsia" w:ascii="宋体" w:hAnsi="宋体" w:cs="宋体"/>
          <w:spacing w:val="-10"/>
          <w:szCs w:val="21"/>
        </w:rPr>
        <w:t>7、乙方应自觉接受甲方的监督和指导，服从甲方和上级部门的检查考核，重大活动或上级检查期间服从甲方安排的加班加点和突出任务。</w:t>
      </w:r>
    </w:p>
    <w:p>
      <w:pPr>
        <w:spacing w:line="400" w:lineRule="exact"/>
        <w:ind w:firstLine="420" w:firstLineChars="200"/>
        <w:rPr>
          <w:rFonts w:hint="eastAsia" w:ascii="宋体" w:hAnsi="宋体" w:cs="宋体"/>
          <w:szCs w:val="21"/>
        </w:rPr>
      </w:pPr>
      <w:r>
        <w:rPr>
          <w:rFonts w:hint="eastAsia" w:ascii="宋体" w:hAnsi="宋体" w:cs="宋体"/>
          <w:szCs w:val="21"/>
        </w:rPr>
        <w:t>8、按规定要求文明规范作业，不与路人发生争执。</w:t>
      </w:r>
    </w:p>
    <w:p>
      <w:pPr>
        <w:spacing w:line="400" w:lineRule="exact"/>
        <w:ind w:firstLine="420" w:firstLineChars="200"/>
        <w:rPr>
          <w:rFonts w:hint="eastAsia" w:ascii="宋体" w:hAnsi="宋体" w:cs="宋体"/>
          <w:szCs w:val="21"/>
        </w:rPr>
      </w:pPr>
      <w:r>
        <w:rPr>
          <w:rFonts w:hint="eastAsia" w:ascii="宋体" w:hAnsi="宋体" w:cs="宋体"/>
          <w:szCs w:val="21"/>
        </w:rPr>
        <w:t>五、违约责任：本协议书一经甲、乙双方签字并盖章即生效，各方均不得违约。如违约按以下条款执行：</w:t>
      </w:r>
    </w:p>
    <w:p>
      <w:pPr>
        <w:spacing w:line="400" w:lineRule="exact"/>
        <w:ind w:firstLine="420" w:firstLineChars="200"/>
        <w:rPr>
          <w:rFonts w:hint="eastAsia" w:ascii="宋体" w:hAnsi="宋体" w:cs="宋体"/>
          <w:szCs w:val="21"/>
        </w:rPr>
      </w:pPr>
      <w:r>
        <w:rPr>
          <w:rFonts w:hint="eastAsia" w:ascii="宋体" w:hAnsi="宋体" w:cs="宋体"/>
          <w:szCs w:val="21"/>
        </w:rPr>
        <w:t>1、甲方无故终止承包协议的，双倍返还乙方的风险保证金，并付清应付的承包经费，同时折价补偿乙方所购的工具费。</w:t>
      </w:r>
    </w:p>
    <w:p>
      <w:pPr>
        <w:spacing w:line="400" w:lineRule="exact"/>
        <w:ind w:firstLine="420" w:firstLineChars="200"/>
        <w:rPr>
          <w:rFonts w:hint="eastAsia" w:ascii="宋体" w:hAnsi="宋体" w:cs="宋体"/>
          <w:szCs w:val="21"/>
        </w:rPr>
      </w:pPr>
      <w:r>
        <w:rPr>
          <w:rFonts w:hint="eastAsia" w:ascii="宋体" w:hAnsi="宋体" w:cs="宋体"/>
          <w:szCs w:val="21"/>
        </w:rPr>
        <w:t>2、乙方必须在承包期开始之日起七天内按要求人数到岗。乙方无故不到岗，造成不良社会影响，甲方有权单方终止本协议，乙方无权要求返还风险保证金。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3、乙方未经甲方同意擅自转包，甲方有权终止承包协议，扣除当月服务费。乙方无权要求返还风险保证金。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4、乙方出现下列情况之一，甲方有权终止协议，并罚没风险保证金，由此造成的一切损失由乙方全部承担：①当月考核扣分达10分以上（含10分）的；②年考核扣分累计达50分以上的（不包括50分）；③在县级以上（不含县级）组织检查中因乙方管理不力原因造成扣分的；④在重大节庆活动期间，乙方不服从甲方工作安排的；⑤乙方严重违反协议条款内容，致使协议无法继续履行的。⑥乙方管理不力造成严重不良社会影响的。</w:t>
      </w:r>
    </w:p>
    <w:p>
      <w:pPr>
        <w:spacing w:line="400" w:lineRule="exact"/>
        <w:ind w:firstLine="420" w:firstLineChars="200"/>
        <w:rPr>
          <w:rFonts w:hint="eastAsia" w:ascii="宋体" w:hAnsi="宋体" w:cs="宋体"/>
          <w:szCs w:val="21"/>
        </w:rPr>
      </w:pPr>
      <w:r>
        <w:rPr>
          <w:rFonts w:hint="eastAsia" w:ascii="宋体" w:hAnsi="宋体" w:cs="宋体"/>
          <w:szCs w:val="21"/>
        </w:rPr>
        <w:t>六、承包期限届满后，如乙方要求续包的，经甲方对乙方承包期间的工作业绩进行综合评定，评定结果符合甲方要求的，在同等条件下，享有优先承包权。</w:t>
      </w:r>
    </w:p>
    <w:p>
      <w:pPr>
        <w:spacing w:line="400" w:lineRule="exact"/>
        <w:ind w:firstLine="420" w:firstLineChars="200"/>
        <w:rPr>
          <w:rFonts w:hint="eastAsia" w:ascii="宋体" w:hAnsi="宋体" w:cs="宋体"/>
          <w:szCs w:val="21"/>
        </w:rPr>
      </w:pPr>
      <w:r>
        <w:rPr>
          <w:rFonts w:hint="eastAsia" w:ascii="宋体" w:hAnsi="宋体" w:cs="宋体"/>
          <w:szCs w:val="21"/>
        </w:rPr>
        <w:t>七、本协议书如有未尽事宜，双方协商解决。</w:t>
      </w:r>
    </w:p>
    <w:p>
      <w:pPr>
        <w:spacing w:line="400" w:lineRule="exact"/>
        <w:ind w:firstLine="420" w:firstLineChars="200"/>
        <w:rPr>
          <w:rFonts w:hint="eastAsia" w:ascii="宋体" w:hAnsi="宋体" w:cs="宋体"/>
          <w:szCs w:val="21"/>
        </w:rPr>
      </w:pPr>
      <w:r>
        <w:rPr>
          <w:rFonts w:hint="eastAsia" w:ascii="宋体" w:hAnsi="宋体" w:cs="宋体"/>
          <w:szCs w:val="21"/>
        </w:rPr>
        <w:t>八、如双方在履行本协议过程中发生纠纷的，应首先通过友好协商解决，协商未果的，由甲方所在地人民法院诉讼管辖。</w:t>
      </w:r>
    </w:p>
    <w:p>
      <w:pPr>
        <w:spacing w:line="400" w:lineRule="exact"/>
        <w:ind w:firstLine="420" w:firstLineChars="200"/>
        <w:rPr>
          <w:rFonts w:hint="eastAsia" w:ascii="宋体" w:hAnsi="宋体" w:cs="宋体"/>
          <w:szCs w:val="21"/>
        </w:rPr>
      </w:pPr>
      <w:r>
        <w:rPr>
          <w:rFonts w:hint="eastAsia" w:ascii="宋体" w:hAnsi="宋体" w:cs="宋体"/>
          <w:szCs w:val="21"/>
        </w:rPr>
        <w:t>本协议一式七份，甲方执三份、乙方执二份、</w:t>
      </w:r>
      <w:r>
        <w:rPr>
          <w:rFonts w:hint="eastAsia" w:ascii="宋体" w:hAnsi="宋体" w:cs="宋体"/>
          <w:szCs w:val="21"/>
          <w:lang w:eastAsia="zh-CN"/>
        </w:rPr>
        <w:t>安吉县公共资源交易中心（安吉县政府采购中心）</w:t>
      </w:r>
      <w:r>
        <w:rPr>
          <w:rFonts w:hint="eastAsia" w:ascii="宋体" w:hAnsi="宋体" w:cs="宋体"/>
          <w:szCs w:val="21"/>
        </w:rPr>
        <w:t>和安吉县财政局各执一份。</w:t>
      </w:r>
    </w:p>
    <w:p>
      <w:pPr>
        <w:spacing w:line="40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甲方：（盖章）                                 乙方：（盖章）</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法定代表人（签名）：                           法定代表人（签名）：</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或委托代理人                                   或委托代理人</w:t>
      </w:r>
    </w:p>
    <w:p>
      <w:pPr>
        <w:spacing w:line="340" w:lineRule="exact"/>
        <w:rPr>
          <w:rFonts w:hint="eastAsia" w:ascii="宋体" w:hAnsi="宋体" w:cs="宋体"/>
          <w:szCs w:val="21"/>
        </w:rPr>
      </w:pPr>
    </w:p>
    <w:p>
      <w:pPr>
        <w:spacing w:line="340" w:lineRule="exact"/>
        <w:ind w:firstLine="210" w:firstLineChars="100"/>
        <w:rPr>
          <w:rFonts w:hint="eastAsia" w:ascii="宋体" w:hAnsi="宋体" w:cs="宋体"/>
          <w:szCs w:val="21"/>
        </w:rPr>
      </w:pPr>
      <w:r>
        <w:rPr>
          <w:rFonts w:hint="eastAsia" w:ascii="宋体" w:hAnsi="宋体" w:cs="宋体"/>
          <w:szCs w:val="21"/>
        </w:rPr>
        <w:t>本协议书于       年     月     日在安吉县签订</w:t>
      </w:r>
    </w:p>
    <w:p>
      <w:pPr>
        <w:pStyle w:val="25"/>
        <w:spacing w:line="480" w:lineRule="auto"/>
        <w:rPr>
          <w:rFonts w:hint="eastAsia" w:ascii="宋体" w:hAnsi="宋体" w:cs="宋体"/>
        </w:rPr>
      </w:pPr>
    </w:p>
    <w:p>
      <w:pPr>
        <w:pStyle w:val="25"/>
        <w:tabs>
          <w:tab w:val="left" w:pos="2991"/>
        </w:tabs>
        <w:spacing w:line="480" w:lineRule="auto"/>
        <w:jc w:val="left"/>
      </w:pPr>
    </w:p>
    <w:p/>
    <w:p>
      <w:pPr>
        <w:pStyle w:val="13"/>
        <w:ind w:firstLine="210"/>
      </w:pPr>
    </w:p>
    <w:p>
      <w:pPr>
        <w:pStyle w:val="13"/>
        <w:ind w:firstLine="210"/>
      </w:pPr>
    </w:p>
    <w:p>
      <w:pPr>
        <w:pStyle w:val="25"/>
        <w:tabs>
          <w:tab w:val="left" w:pos="2991"/>
        </w:tabs>
        <w:spacing w:line="480" w:lineRule="auto"/>
        <w:jc w:val="left"/>
        <w:rPr>
          <w:rFonts w:hint="eastAsia"/>
        </w:rPr>
      </w:pPr>
    </w:p>
    <w:p>
      <w:pPr>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25"/>
        <w:spacing w:line="480" w:lineRule="auto"/>
        <w:rPr>
          <w:rFonts w:hint="eastAsia" w:ascii="宋体" w:hAnsi="宋体" w:cs="宋体"/>
        </w:rPr>
      </w:pPr>
      <w:r>
        <w:rPr>
          <w:rFonts w:hint="eastAsia" w:ascii="宋体" w:hAnsi="宋体" w:cs="宋体"/>
        </w:rPr>
        <w:t>第六章  投标文件格式附件</w:t>
      </w:r>
    </w:p>
    <w:p>
      <w:pPr>
        <w:rPr>
          <w:rFonts w:hint="eastAsia" w:ascii="宋体" w:hAnsi="宋体" w:cs="宋体"/>
          <w:b/>
          <w:szCs w:val="21"/>
        </w:rPr>
      </w:pPr>
      <w:r>
        <w:rPr>
          <w:rFonts w:hint="eastAsia" w:ascii="宋体" w:hAnsi="宋体" w:cs="宋体"/>
          <w:b/>
          <w:sz w:val="28"/>
          <w:szCs w:val="28"/>
        </w:rPr>
        <w:t xml:space="preserve">附件一：  </w:t>
      </w:r>
      <w:r>
        <w:rPr>
          <w:rFonts w:hint="eastAsia" w:ascii="宋体" w:hAnsi="宋体" w:cs="宋体"/>
          <w:b/>
          <w:szCs w:val="21"/>
        </w:rPr>
        <w:t xml:space="preserve">                                                  </w:t>
      </w:r>
    </w:p>
    <w:p>
      <w:pPr>
        <w:jc w:val="right"/>
        <w:rPr>
          <w:rFonts w:hint="eastAsia" w:ascii="宋体" w:hAnsi="宋体" w:cs="宋体"/>
          <w:b/>
          <w:szCs w:val="21"/>
        </w:rPr>
      </w:pPr>
      <w:r>
        <w:rPr>
          <w:rFonts w:hint="eastAsia" w:ascii="宋体" w:hAnsi="宋体" w:cs="宋体"/>
          <w:b/>
          <w:szCs w:val="21"/>
        </w:rPr>
        <w:t xml:space="preserve">  </w:t>
      </w:r>
      <w:r>
        <w:rPr>
          <w:rFonts w:hint="eastAsia" w:ascii="宋体" w:hAnsi="宋体" w:cs="宋体"/>
          <w:b/>
          <w:sz w:val="24"/>
          <w:szCs w:val="24"/>
        </w:rPr>
        <w:t xml:space="preserve"> 正本或副本</w:t>
      </w:r>
    </w:p>
    <w:p>
      <w:pPr>
        <w:ind w:firstLine="525" w:firstLineChars="250"/>
        <w:rPr>
          <w:rFonts w:hint="eastAsia" w:ascii="宋体" w:hAnsi="宋体" w:cs="宋体"/>
          <w:szCs w:val="21"/>
        </w:rPr>
      </w:pPr>
      <w:r>
        <w:rPr>
          <w:rFonts w:hint="eastAsia" w:ascii="宋体" w:hAnsi="宋体" w:cs="宋体"/>
          <w:szCs w:val="21"/>
        </w:rPr>
        <w:t xml:space="preserve">                                            </w:t>
      </w:r>
    </w:p>
    <w:p>
      <w:pPr>
        <w:adjustRightInd w:val="0"/>
        <w:snapToGrid w:val="0"/>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***项目名称</w:t>
      </w:r>
    </w:p>
    <w:p>
      <w:pPr>
        <w:adjustRightInd w:val="0"/>
        <w:snapToGrid w:val="0"/>
        <w:spacing w:line="40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rPr>
        <w:t>项目编号：</w:t>
      </w:r>
      <w:r>
        <w:rPr>
          <w:rFonts w:hint="eastAsia" w:ascii="宋体" w:hAnsi="宋体" w:cs="宋体"/>
          <w:bCs/>
          <w:color w:val="000000"/>
          <w:sz w:val="24"/>
          <w:szCs w:val="24"/>
          <w:lang w:eastAsia="zh-CN"/>
        </w:rPr>
        <w:t>AJGK2022-017</w:t>
      </w:r>
    </w:p>
    <w:p>
      <w:pPr>
        <w:spacing w:after="100" w:afterAutospacing="1"/>
        <w:ind w:right="-108"/>
        <w:jc w:val="center"/>
        <w:rPr>
          <w:rFonts w:hint="eastAsia" w:ascii="宋体" w:hAnsi="宋体" w:cs="宋体"/>
          <w:b/>
          <w:spacing w:val="40"/>
          <w:sz w:val="44"/>
          <w:szCs w:val="44"/>
        </w:rPr>
      </w:pPr>
    </w:p>
    <w:p>
      <w:pPr>
        <w:pStyle w:val="25"/>
        <w:rPr>
          <w:rFonts w:hint="eastAsia"/>
        </w:rPr>
      </w:pP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r>
        <w:rPr>
          <w:rFonts w:hint="eastAsia" w:ascii="宋体" w:hAnsi="宋体" w:cs="宋体"/>
          <w:b/>
          <w:spacing w:val="40"/>
          <w:sz w:val="44"/>
          <w:szCs w:val="44"/>
          <w:lang w:val="en-US" w:eastAsia="zh-CN"/>
        </w:rPr>
        <w:t>资格证明</w:t>
      </w:r>
      <w:r>
        <w:rPr>
          <w:rFonts w:hint="eastAsia" w:ascii="宋体" w:hAnsi="宋体" w:cs="宋体"/>
          <w:b/>
          <w:spacing w:val="40"/>
          <w:sz w:val="44"/>
          <w:szCs w:val="44"/>
        </w:rPr>
        <w:t>文件</w:t>
      </w: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p>
    <w:p>
      <w:pPr>
        <w:adjustRightInd w:val="0"/>
        <w:snapToGrid w:val="0"/>
        <w:spacing w:line="400" w:lineRule="exact"/>
        <w:jc w:val="left"/>
        <w:rPr>
          <w:rFonts w:hint="eastAsia" w:ascii="宋体" w:hAnsi="宋体" w:cs="宋体"/>
          <w:bCs/>
          <w:color w:val="000000"/>
          <w:sz w:val="24"/>
          <w:szCs w:val="24"/>
        </w:rPr>
      </w:pPr>
      <w:bookmarkStart w:id="57" w:name="_Toc249866813"/>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right"/>
        <w:rPr>
          <w:rFonts w:hint="eastAsia" w:ascii="宋体" w:hAnsi="宋体" w:cs="宋体"/>
          <w:color w:val="000000"/>
          <w:sz w:val="24"/>
          <w:szCs w:val="24"/>
        </w:rPr>
      </w:pPr>
      <w:r>
        <w:rPr>
          <w:rFonts w:hint="eastAsia" w:ascii="宋体" w:hAnsi="宋体" w:cs="宋体"/>
          <w:color w:val="000000"/>
          <w:sz w:val="24"/>
          <w:szCs w:val="24"/>
        </w:rPr>
        <w:t xml:space="preserve">    年  月  日</w:t>
      </w:r>
    </w:p>
    <w:p>
      <w:pPr>
        <w:adjustRightInd w:val="0"/>
        <w:snapToGrid w:val="0"/>
        <w:ind w:firstLine="645"/>
        <w:jc w:val="right"/>
        <w:rPr>
          <w:rFonts w:hint="eastAsia" w:ascii="宋体" w:hAnsi="宋体" w:cs="宋体"/>
          <w:color w:val="000000"/>
          <w:szCs w:val="21"/>
        </w:rPr>
      </w:pPr>
    </w:p>
    <w:p>
      <w:pPr>
        <w:pStyle w:val="25"/>
        <w:rPr>
          <w:rFonts w:hint="eastAsia" w:ascii="宋体" w:hAnsi="宋体" w:cs="宋体"/>
          <w:color w:val="000000"/>
          <w:sz w:val="21"/>
          <w:szCs w:val="21"/>
        </w:rPr>
      </w:pPr>
    </w:p>
    <w:p>
      <w:pPr>
        <w:rPr>
          <w:rFonts w:hint="eastAsia" w:ascii="宋体" w:hAnsi="宋体" w:cs="宋体"/>
          <w:color w:val="000000"/>
          <w:szCs w:val="21"/>
        </w:rPr>
      </w:pPr>
    </w:p>
    <w:p>
      <w:pPr>
        <w:pStyle w:val="25"/>
        <w:rPr>
          <w:rFonts w:hint="eastAsia" w:ascii="宋体" w:hAnsi="宋体" w:cs="宋体"/>
          <w:color w:val="000000"/>
          <w:sz w:val="21"/>
          <w:szCs w:val="21"/>
        </w:rPr>
      </w:pPr>
    </w:p>
    <w:p>
      <w:pPr>
        <w:rPr>
          <w:rFonts w:hint="eastAsia" w:ascii="宋体" w:hAnsi="宋体" w:cs="宋体"/>
          <w:color w:val="000000"/>
          <w:szCs w:val="21"/>
        </w:rPr>
      </w:pPr>
    </w:p>
    <w:p>
      <w:pPr>
        <w:pStyle w:val="25"/>
        <w:rPr>
          <w:rFonts w:hint="eastAsia" w:ascii="宋体" w:hAnsi="宋体" w:cs="宋体"/>
          <w:color w:val="000000"/>
          <w:sz w:val="21"/>
          <w:szCs w:val="21"/>
        </w:rPr>
      </w:pPr>
    </w:p>
    <w:p>
      <w:pPr>
        <w:rPr>
          <w:rFonts w:hint="eastAsia" w:ascii="宋体" w:hAnsi="宋体" w:cs="宋体"/>
          <w:color w:val="000000"/>
          <w:szCs w:val="21"/>
        </w:rPr>
      </w:pPr>
    </w:p>
    <w:p>
      <w:pPr>
        <w:pStyle w:val="25"/>
        <w:rPr>
          <w:rFonts w:hint="eastAsia" w:ascii="宋体" w:hAnsi="宋体" w:cs="宋体"/>
          <w:color w:val="000000"/>
          <w:sz w:val="21"/>
          <w:szCs w:val="21"/>
        </w:rPr>
      </w:pPr>
    </w:p>
    <w:p>
      <w:pPr>
        <w:snapToGrid w:val="0"/>
        <w:spacing w:before="50" w:after="50"/>
        <w:rPr>
          <w:rFonts w:hint="eastAsia" w:ascii="宋体" w:hAnsi="宋体" w:cs="宋体"/>
          <w:b/>
          <w:szCs w:val="21"/>
        </w:rPr>
      </w:pPr>
    </w:p>
    <w:p>
      <w:pPr>
        <w:snapToGrid w:val="0"/>
        <w:spacing w:before="50" w:after="50"/>
        <w:rPr>
          <w:rFonts w:hint="eastAsia" w:ascii="宋体" w:hAnsi="宋体" w:cs="宋体"/>
          <w:b/>
          <w:szCs w:val="21"/>
        </w:rPr>
      </w:pPr>
      <w:r>
        <w:rPr>
          <w:rFonts w:hint="eastAsia" w:ascii="宋体" w:hAnsi="宋体" w:cs="宋体"/>
          <w:b/>
          <w:szCs w:val="21"/>
          <w:lang w:val="en-US" w:eastAsia="zh-CN"/>
        </w:rPr>
        <w:t>资格证明</w:t>
      </w:r>
      <w:r>
        <w:rPr>
          <w:rFonts w:hint="eastAsia" w:ascii="宋体" w:hAnsi="宋体" w:cs="宋体"/>
          <w:b/>
          <w:szCs w:val="21"/>
        </w:rPr>
        <w:t>文件目录</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资格证明文件</w:t>
      </w:r>
      <w:r>
        <w:rPr>
          <w:rFonts w:hint="eastAsia" w:ascii="宋体" w:hAnsi="宋体" w:cs="宋体"/>
          <w:b/>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eastAsia="宋体" w:cs="宋体"/>
          <w:szCs w:val="21"/>
          <w:lang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）法定代表人身份证明书</w:t>
      </w:r>
      <w:r>
        <w:rPr>
          <w:rFonts w:hint="eastAsia" w:ascii="宋体" w:hAnsi="宋体" w:cs="宋体"/>
          <w:lang w:eastAsia="zh-CN"/>
        </w:rPr>
        <w:t>（</w:t>
      </w:r>
      <w:r>
        <w:rPr>
          <w:rFonts w:hint="eastAsia" w:ascii="宋体" w:hAnsi="宋体" w:cs="宋体"/>
          <w:lang w:val="en-US" w:eastAsia="zh-CN"/>
        </w:rPr>
        <w:t>格式见附件</w:t>
      </w:r>
      <w:r>
        <w:rPr>
          <w:rFonts w:hint="eastAsia" w:ascii="宋体" w:hAnsi="宋体" w:cs="宋体"/>
          <w:lang w:eastAsia="zh-CN"/>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中小企业声明函（格式见附件）</w:t>
      </w:r>
      <w:r>
        <w:rPr>
          <w:rFonts w:hint="eastAsia" w:ascii="宋体" w:hAnsi="宋体" w:cs="宋体"/>
          <w:szCs w:val="21"/>
        </w:rPr>
        <w:t>；</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snapToGrid w:val="0"/>
        <w:spacing w:before="50" w:afterLines="50"/>
        <w:jc w:val="left"/>
        <w:rPr>
          <w:rFonts w:ascii="宋体" w:hAnsi="宋体" w:cs="宋体"/>
          <w:b/>
          <w:sz w:val="28"/>
          <w:szCs w:val="28"/>
        </w:rPr>
      </w:pPr>
      <w:r>
        <w:rPr>
          <w:rFonts w:hint="eastAsia" w:ascii="宋体" w:hAnsi="宋体" w:cs="宋体"/>
          <w:b/>
          <w:sz w:val="28"/>
          <w:szCs w:val="28"/>
        </w:rPr>
        <w:t>附件1：</w:t>
      </w:r>
    </w:p>
    <w:p>
      <w:pPr>
        <w:autoSpaceDE w:val="0"/>
        <w:autoSpaceDN w:val="0"/>
        <w:adjustRightInd w:val="0"/>
        <w:spacing w:line="360" w:lineRule="auto"/>
        <w:jc w:val="center"/>
        <w:rPr>
          <w:rFonts w:hint="eastAsia" w:ascii="宋体" w:hAnsi="宋体" w:cs="宋体"/>
          <w:b/>
          <w:color w:val="000000"/>
          <w:szCs w:val="21"/>
        </w:rPr>
      </w:pPr>
      <w:r>
        <w:rPr>
          <w:rFonts w:hint="eastAsia" w:ascii="宋体" w:hAnsi="宋体" w:cs="宋体"/>
          <w:b/>
          <w:color w:val="000000"/>
          <w:sz w:val="36"/>
          <w:szCs w:val="36"/>
        </w:rPr>
        <w:t>声 明 书</w:t>
      </w:r>
    </w:p>
    <w:p>
      <w:pPr>
        <w:snapToGrid w:val="0"/>
        <w:spacing w:beforeLines="50" w:after="50" w:line="460" w:lineRule="exact"/>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w:t>
      </w:r>
      <w:r>
        <w:rPr>
          <w:rFonts w:hint="eastAsia" w:ascii="宋体" w:hAnsi="宋体" w:cs="宋体"/>
          <w:color w:val="000000"/>
          <w:szCs w:val="21"/>
          <w:u w:val="single"/>
          <w:lang w:eastAsia="zh-CN"/>
        </w:rPr>
        <w:t>安吉县公共资源交易中心（安吉县政府采购中心）</w:t>
      </w:r>
      <w:r>
        <w:rPr>
          <w:rFonts w:hint="eastAsia" w:ascii="宋体" w:hAnsi="宋体" w:cs="宋体"/>
          <w:color w:val="000000"/>
          <w:szCs w:val="21"/>
          <w:u w:val="single"/>
        </w:rPr>
        <w:t>）</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u w:val="single"/>
        </w:rPr>
        <w:t>（投标人名称）</w:t>
      </w:r>
      <w:r>
        <w:rPr>
          <w:rFonts w:hint="eastAsia" w:ascii="宋体" w:hAnsi="宋体" w:cs="宋体"/>
          <w:color w:val="000000"/>
          <w:szCs w:val="21"/>
        </w:rPr>
        <w:t>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（姓名）</w:t>
      </w:r>
      <w:r>
        <w:rPr>
          <w:rFonts w:hint="eastAsia" w:ascii="宋体" w:hAnsi="宋体" w:cs="宋体"/>
          <w:color w:val="000000"/>
          <w:szCs w:val="21"/>
        </w:rPr>
        <w:t>系</w:t>
      </w:r>
      <w:r>
        <w:rPr>
          <w:rFonts w:hint="eastAsia" w:ascii="宋体" w:hAnsi="宋体" w:cs="宋体"/>
          <w:color w:val="000000"/>
          <w:szCs w:val="21"/>
          <w:u w:val="single"/>
        </w:rPr>
        <w:t>（投标人名称）</w:t>
      </w:r>
      <w:r>
        <w:rPr>
          <w:rFonts w:hint="eastAsia" w:ascii="宋体" w:hAnsi="宋体" w:cs="宋体"/>
          <w:color w:val="000000"/>
          <w:szCs w:val="21"/>
        </w:rPr>
        <w:t>的法定代表人，我方愿意参加贵方组织的</w:t>
      </w:r>
      <w:r>
        <w:rPr>
          <w:rFonts w:hint="eastAsia" w:ascii="宋体" w:hAnsi="宋体" w:cs="宋体"/>
          <w:color w:val="000000"/>
          <w:szCs w:val="21"/>
          <w:u w:val="single"/>
        </w:rPr>
        <w:t xml:space="preserve">      项目（编号：    ）</w:t>
      </w:r>
      <w:r>
        <w:rPr>
          <w:rFonts w:hint="eastAsia" w:ascii="宋体" w:hAnsi="宋体" w:cs="宋体"/>
          <w:color w:val="000000"/>
          <w:szCs w:val="21"/>
        </w:rPr>
        <w:t>的投标，为此，我方就本次投标有关事项郑重声明如下：</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1、投标方已详细审查全部招标文件，同意招标文件的各项要求。</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2、我方向贵方提交的所有投标文件、资料都是准确的和真实的。</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3、若中标，我方将按招标文件规定履行合同责任和义务。</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5、投标书自开标日起有效期为90天。</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6、我方参与本项目前3年内的经营活动中没有重大违法记录；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8、以上事项如有虚假或隐瞒，我方愿意承担一切后果，并不再寻求任何旨在减轻或免除法律责任的辩解。</w:t>
      </w:r>
    </w:p>
    <w:p>
      <w:pPr>
        <w:pStyle w:val="36"/>
        <w:numPr>
          <w:ilvl w:val="0"/>
          <w:numId w:val="0"/>
        </w:numPr>
        <w:snapToGrid w:val="0"/>
        <w:spacing w:beforeLines="50" w:line="460" w:lineRule="exact"/>
        <w:rPr>
          <w:rFonts w:hint="eastAsia" w:ascii="宋体" w:hAnsi="宋体" w:cs="宋体"/>
          <w:color w:val="000000"/>
          <w:sz w:val="21"/>
          <w:szCs w:val="21"/>
        </w:rPr>
      </w:pP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法定代表人签名（签字或盖章）：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firstLine="105" w:firstLineChars="50"/>
        <w:rPr>
          <w:rFonts w:hint="eastAsia" w:ascii="宋体" w:hAnsi="宋体" w:cs="宋体"/>
          <w:color w:val="000000"/>
          <w:szCs w:val="21"/>
        </w:rPr>
      </w:pPr>
      <w:r>
        <w:rPr>
          <w:rFonts w:hint="eastAsia" w:ascii="宋体" w:hAnsi="宋体" w:cs="宋体"/>
          <w:color w:val="000000"/>
          <w:szCs w:val="21"/>
        </w:rPr>
        <w:t>供应商全称（公章）：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napToGrid w:val="0"/>
        <w:spacing w:beforeLines="50" w:line="460" w:lineRule="exact"/>
        <w:ind w:firstLine="200"/>
        <w:rPr>
          <w:rFonts w:hint="eastAsia" w:ascii="宋体" w:hAnsi="宋体" w:cs="宋体"/>
          <w:color w:val="000000"/>
          <w:szCs w:val="21"/>
          <w:u w:val="single"/>
        </w:rPr>
      </w:pPr>
    </w:p>
    <w:p>
      <w:pPr>
        <w:snapToGrid w:val="0"/>
        <w:spacing w:beforeLines="50" w:after="50"/>
        <w:jc w:val="left"/>
        <w:rPr>
          <w:rFonts w:hint="eastAsia" w:ascii="宋体" w:hAnsi="宋体" w:cs="宋体"/>
          <w:color w:val="000000"/>
          <w:sz w:val="30"/>
          <w:szCs w:val="30"/>
        </w:rPr>
      </w:pPr>
      <w:r>
        <w:rPr>
          <w:rFonts w:hint="eastAsia" w:ascii="宋体" w:hAnsi="宋体" w:cs="宋体"/>
          <w:color w:val="000000"/>
          <w:sz w:val="30"/>
          <w:szCs w:val="30"/>
        </w:rPr>
        <w:br w:type="page"/>
      </w:r>
      <w:r>
        <w:rPr>
          <w:rFonts w:hint="eastAsia" w:ascii="宋体" w:hAnsi="宋体" w:cs="宋体"/>
          <w:color w:val="000000"/>
          <w:sz w:val="30"/>
          <w:szCs w:val="30"/>
        </w:rPr>
        <w:t>附件2：</w:t>
      </w:r>
    </w:p>
    <w:p>
      <w:pPr>
        <w:snapToGrid w:val="0"/>
        <w:spacing w:beforeLines="50" w:after="50"/>
        <w:ind w:firstLine="161" w:firstLineChars="50"/>
        <w:jc w:val="center"/>
        <w:rPr>
          <w:rFonts w:hint="eastAsia" w:ascii="宋体" w:hAnsi="宋体" w:cs="宋体"/>
          <w:b/>
          <w:sz w:val="32"/>
          <w:szCs w:val="32"/>
        </w:rPr>
      </w:pPr>
      <w:r>
        <w:rPr>
          <w:rFonts w:hint="eastAsia" w:ascii="宋体" w:hAnsi="宋体" w:cs="宋体"/>
          <w:b/>
          <w:sz w:val="32"/>
          <w:szCs w:val="32"/>
        </w:rPr>
        <w:t>法定代表人身份证明书</w:t>
      </w:r>
    </w:p>
    <w:p>
      <w:pPr>
        <w:snapToGrid w:val="0"/>
        <w:spacing w:beforeLines="50" w:after="50"/>
        <w:ind w:firstLine="105" w:firstLineChars="50"/>
        <w:rPr>
          <w:rFonts w:hint="eastAsia" w:ascii="宋体" w:hAnsi="宋体" w:cs="宋体"/>
          <w:szCs w:val="21"/>
        </w:rPr>
      </w:pPr>
    </w:p>
    <w:p>
      <w:pPr>
        <w:snapToGrid w:val="0"/>
        <w:spacing w:beforeLines="50" w:after="50"/>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u w:val="single"/>
          <w:lang w:eastAsia="zh-CN"/>
        </w:rPr>
        <w:t>安吉县公共资源交易中心（安吉县政府采购中心）</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r>
        <w:rPr>
          <w:rFonts w:hint="eastAsia" w:ascii="宋体" w:hAnsi="宋体" w:cs="宋体"/>
          <w:szCs w:val="21"/>
        </w:rPr>
        <w:t xml:space="preserve">     </w:t>
      </w:r>
    </w:p>
    <w:p>
      <w:pPr>
        <w:snapToGrid w:val="0"/>
        <w:spacing w:beforeLines="50" w:after="50"/>
        <w:ind w:firstLine="420" w:firstLineChars="200"/>
        <w:rPr>
          <w:rFonts w:hint="eastAsia" w:ascii="宋体" w:hAnsi="宋体" w:cs="宋体"/>
          <w:szCs w:val="21"/>
        </w:rPr>
      </w:pPr>
      <w:r>
        <w:rPr>
          <w:rFonts w:hint="eastAsia" w:ascii="宋体" w:hAnsi="宋体" w:cs="宋体"/>
          <w:szCs w:val="21"/>
          <w:u w:val="single"/>
        </w:rPr>
        <w:t xml:space="preserve">  （法定代表人姓名）</w:t>
      </w:r>
      <w:r>
        <w:rPr>
          <w:rFonts w:hint="eastAsia" w:ascii="宋体" w:hAnsi="宋体" w:cs="宋体"/>
          <w:szCs w:val="21"/>
        </w:rPr>
        <w:t xml:space="preserve"> 系 </w:t>
      </w:r>
      <w:r>
        <w:rPr>
          <w:rFonts w:hint="eastAsia" w:ascii="宋体" w:hAnsi="宋体" w:cs="宋体"/>
          <w:szCs w:val="21"/>
          <w:u w:val="single"/>
        </w:rPr>
        <w:t xml:space="preserve"> （供应商名称）   </w:t>
      </w:r>
      <w:r>
        <w:rPr>
          <w:rFonts w:hint="eastAsia" w:ascii="宋体" w:hAnsi="宋体" w:cs="宋体"/>
          <w:szCs w:val="21"/>
        </w:rPr>
        <w:t xml:space="preserve"> 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p>
    <w:p>
      <w:pPr>
        <w:snapToGrid w:val="0"/>
        <w:spacing w:beforeLines="50" w:after="50"/>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beforeLines="50" w:after="50"/>
        <w:rPr>
          <w:rFonts w:hint="eastAsia" w:ascii="宋体" w:hAnsi="宋体" w:cs="宋体"/>
          <w:szCs w:val="21"/>
        </w:rPr>
      </w:pPr>
    </w:p>
    <w:p>
      <w:pPr>
        <w:snapToGrid w:val="0"/>
        <w:spacing w:beforeLines="50" w:after="50"/>
        <w:ind w:firstLine="420" w:firstLineChars="200"/>
        <w:rPr>
          <w:rFonts w:hint="eastAsia" w:ascii="宋体" w:hAnsi="宋体" w:cs="宋体"/>
          <w:szCs w:val="21"/>
        </w:rPr>
      </w:pPr>
      <w:r>
        <w:rPr>
          <w:rFonts w:hint="eastAsia" w:ascii="宋体" w:hAnsi="宋体" w:cs="宋体"/>
          <w:szCs w:val="21"/>
        </w:rPr>
        <w:t>特此证明</w:t>
      </w:r>
    </w:p>
    <w:p>
      <w:pPr>
        <w:snapToGrid w:val="0"/>
        <w:spacing w:beforeLines="50" w:after="50"/>
        <w:jc w:val="center"/>
        <w:rPr>
          <w:rFonts w:hint="eastAsia" w:ascii="宋体" w:hAnsi="宋体" w:cs="宋体"/>
          <w:szCs w:val="21"/>
        </w:rPr>
      </w:pPr>
      <w:r>
        <w:rPr>
          <w:rFonts w:hint="eastAsia" w:ascii="宋体" w:hAnsi="宋体" w:cs="宋体"/>
          <w:szCs w:val="21"/>
        </w:rPr>
        <w:t xml:space="preserve">                供应商名称（公章）：</w:t>
      </w:r>
    </w:p>
    <w:p>
      <w:pPr>
        <w:snapToGrid w:val="0"/>
        <w:spacing w:beforeLines="50" w:after="50"/>
        <w:jc w:val="center"/>
        <w:rPr>
          <w:rFonts w:hint="eastAsia" w:ascii="宋体" w:hAnsi="宋体" w:cs="宋体"/>
          <w:szCs w:val="21"/>
          <w:u w:val="single"/>
        </w:rPr>
      </w:pPr>
      <w:r>
        <w:rPr>
          <w:rFonts w:hint="eastAsia" w:ascii="宋体" w:hAnsi="宋体" w:cs="宋体"/>
          <w:szCs w:val="21"/>
        </w:rPr>
        <w:t xml:space="preserve">                                       日期：</w:t>
      </w:r>
    </w:p>
    <w:p>
      <w:pPr>
        <w:snapToGrid w:val="0"/>
        <w:spacing w:beforeLines="50" w:after="50"/>
        <w:rPr>
          <w:rFonts w:hint="eastAsia" w:ascii="宋体" w:hAnsi="宋体" w:cs="宋体"/>
          <w:szCs w:val="21"/>
        </w:rPr>
      </w:pPr>
      <w:r>
        <w:rPr>
          <w:rFonts w:hint="eastAsia" w:ascii="宋体" w:hAnsi="宋体" w:cs="宋体"/>
          <w:szCs w:val="21"/>
          <w:u w:val="dotted"/>
        </w:rPr>
        <w:t xml:space="preserve">                                                                                     </w:t>
      </w:r>
      <w:r>
        <w:rPr>
          <w:rFonts w:hint="eastAsia" w:ascii="宋体" w:hAnsi="宋体" w:cs="宋体"/>
          <w:szCs w:val="21"/>
        </w:rPr>
        <w:t xml:space="preserve"> </w:t>
      </w:r>
    </w:p>
    <w:p>
      <w:pPr>
        <w:snapToGrid w:val="0"/>
        <w:spacing w:beforeLines="50" w:after="50"/>
        <w:ind w:firstLine="3255" w:firstLineChars="1550"/>
        <w:rPr>
          <w:rFonts w:hint="eastAsia" w:ascii="宋体" w:hAnsi="宋体" w:cs="宋体"/>
          <w:szCs w:val="21"/>
        </w:rPr>
      </w:pPr>
      <w:r>
        <w:rPr>
          <w:rFonts w:hint="eastAsia" w:ascii="宋体" w:hAnsi="宋体" w:cs="宋体"/>
          <w:szCs w:val="21"/>
        </w:rPr>
        <w:t>附法定代表人身份证复印件</w:t>
      </w: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jc w:val="left"/>
        <w:rPr>
          <w:rFonts w:hint="eastAsia" w:ascii="宋体" w:hAnsi="宋体" w:cs="宋体"/>
          <w:color w:val="000000"/>
          <w:sz w:val="30"/>
          <w:szCs w:val="30"/>
        </w:rPr>
      </w:pPr>
    </w:p>
    <w:p>
      <w:pPr>
        <w:snapToGrid w:val="0"/>
        <w:spacing w:before="50" w:afterLines="50"/>
        <w:jc w:val="left"/>
        <w:rPr>
          <w:rFonts w:ascii="宋体" w:hAnsi="宋体" w:cs="宋体"/>
          <w:b/>
          <w:sz w:val="28"/>
          <w:szCs w:val="28"/>
        </w:rPr>
      </w:pPr>
      <w:r>
        <w:rPr>
          <w:rFonts w:hint="eastAsia" w:ascii="宋体" w:hAnsi="宋体" w:cs="宋体"/>
          <w:b/>
          <w:sz w:val="28"/>
          <w:szCs w:val="28"/>
        </w:rPr>
        <w:t>附件：</w:t>
      </w: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10"/>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hint="eastAsia" w:ascii="宋体" w:hAnsi="宋体" w:cs="宋体"/>
          <w:color w:val="FF0000"/>
          <w:szCs w:val="21"/>
          <w:u w:val="single"/>
          <w:lang w:eastAsia="zh-CN"/>
        </w:rPr>
        <w:t>物业管理</w:t>
      </w:r>
      <w:r>
        <w:rPr>
          <w:rFonts w:hint="eastAsia" w:ascii="宋体" w:hAnsi="宋体" w:cs="宋体"/>
          <w:szCs w:val="21"/>
          <w:u w:val="single"/>
        </w:rPr>
        <w:t xml:space="preserve">  </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9"/>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hint="eastAsia" w:ascii="宋体" w:hAnsi="宋体" w:cs="宋体"/>
          <w:color w:val="FF0000"/>
          <w:kern w:val="0"/>
          <w:sz w:val="18"/>
          <w:szCs w:val="18"/>
          <w:lang w:eastAsia="zh-CN"/>
        </w:rPr>
        <w:t>物业管理</w:t>
      </w:r>
      <w:r>
        <w:rPr>
          <w:rFonts w:hint="eastAsia" w:ascii="宋体" w:hAnsi="宋体" w:cs="宋体"/>
          <w:color w:val="FF0000"/>
          <w:kern w:val="0"/>
          <w:sz w:val="18"/>
          <w:szCs w:val="18"/>
        </w:rPr>
        <w:t>。</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2、中小企业划分为中型、小型、微型三种类型，具体标准根据企业从业人员、营业收入、资产总额等指标，结合行业特点制定。行业划型标准为：</w:t>
      </w:r>
    </w:p>
    <w:p>
      <w:pPr>
        <w:widowControl/>
        <w:spacing w:line="360" w:lineRule="exact"/>
        <w:ind w:firstLine="360" w:firstLineChars="200"/>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物业管理</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Lines="50" w:after="50"/>
        <w:rPr>
          <w:rFonts w:hint="eastAsia" w:ascii="宋体" w:hAnsi="宋体" w:cs="宋体"/>
          <w:b/>
          <w:sz w:val="32"/>
          <w:szCs w:val="32"/>
        </w:rPr>
      </w:pPr>
      <w:r>
        <w:rPr>
          <w:rFonts w:hint="eastAsia" w:ascii="宋体" w:hAnsi="宋体" w:cs="宋体"/>
          <w:b/>
          <w:sz w:val="28"/>
          <w:szCs w:val="28"/>
        </w:rPr>
        <w:t>附件二：</w:t>
      </w:r>
      <w:r>
        <w:rPr>
          <w:rFonts w:hint="eastAsia" w:ascii="宋体" w:hAnsi="宋体" w:cs="宋体"/>
          <w:b/>
          <w:sz w:val="32"/>
          <w:szCs w:val="32"/>
        </w:rPr>
        <w:t xml:space="preserve">                                   正本或副本</w:t>
      </w:r>
    </w:p>
    <w:p>
      <w:pPr>
        <w:ind w:right="-110"/>
        <w:jc w:val="center"/>
        <w:rPr>
          <w:rFonts w:hint="eastAsia" w:ascii="宋体" w:hAnsi="宋体" w:cs="宋体"/>
          <w:sz w:val="32"/>
          <w:szCs w:val="32"/>
        </w:rPr>
      </w:pPr>
    </w:p>
    <w:p>
      <w:pPr>
        <w:ind w:right="-110"/>
        <w:jc w:val="center"/>
        <w:rPr>
          <w:rFonts w:hint="eastAsia" w:ascii="宋体" w:hAnsi="宋体" w:cs="宋体"/>
          <w:sz w:val="32"/>
          <w:szCs w:val="32"/>
        </w:rPr>
      </w:pPr>
      <w:r>
        <w:rPr>
          <w:rFonts w:hint="eastAsia" w:ascii="宋体" w:hAnsi="宋体" w:cs="宋体"/>
          <w:sz w:val="32"/>
          <w:szCs w:val="32"/>
        </w:rPr>
        <w:t>***项目名称</w:t>
      </w:r>
    </w:p>
    <w:p>
      <w:pPr>
        <w:spacing w:beforeLines="100"/>
        <w:ind w:right="-108"/>
        <w:jc w:val="center"/>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AJGK2022-017</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52"/>
          <w:szCs w:val="52"/>
          <w:lang w:val="en-US" w:eastAsia="zh-CN"/>
        </w:rPr>
      </w:pPr>
      <w:r>
        <w:rPr>
          <w:rFonts w:hint="eastAsia" w:ascii="宋体" w:hAnsi="宋体" w:cs="宋体"/>
          <w:b/>
          <w:spacing w:val="40"/>
          <w:sz w:val="52"/>
          <w:szCs w:val="52"/>
          <w:lang w:val="en-US" w:eastAsia="zh-CN"/>
        </w:rPr>
        <w:t>商</w:t>
      </w:r>
    </w:p>
    <w:p>
      <w:pPr>
        <w:spacing w:after="100" w:afterAutospacing="1"/>
        <w:ind w:right="-108"/>
        <w:jc w:val="center"/>
        <w:rPr>
          <w:rFonts w:hint="eastAsia" w:ascii="宋体" w:hAnsi="宋体" w:cs="宋体"/>
          <w:b/>
          <w:spacing w:val="40"/>
          <w:sz w:val="52"/>
          <w:szCs w:val="52"/>
          <w:lang w:val="en-US" w:eastAsia="zh-CN"/>
        </w:rPr>
      </w:pPr>
      <w:r>
        <w:rPr>
          <w:rFonts w:hint="eastAsia" w:ascii="宋体" w:hAnsi="宋体" w:cs="宋体"/>
          <w:b/>
          <w:spacing w:val="40"/>
          <w:sz w:val="52"/>
          <w:szCs w:val="52"/>
          <w:lang w:val="en-US" w:eastAsia="zh-CN"/>
        </w:rPr>
        <w:t>务</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numPr>
          <w:ilvl w:val="0"/>
          <w:numId w:val="0"/>
        </w:numPr>
        <w:spacing w:line="360" w:lineRule="exact"/>
        <w:rPr>
          <w:rFonts w:hint="eastAsia" w:ascii="宋体" w:hAnsi="宋体" w:cs="宋体"/>
          <w:b/>
          <w:szCs w:val="21"/>
        </w:rPr>
      </w:pPr>
      <w:r>
        <w:rPr>
          <w:rFonts w:hint="eastAsia" w:ascii="宋体" w:hAnsi="宋体" w:cs="宋体"/>
          <w:b/>
          <w:szCs w:val="21"/>
          <w:lang w:val="en-US" w:eastAsia="zh-CN"/>
        </w:rPr>
        <w:t>商务技术</w:t>
      </w:r>
      <w:r>
        <w:rPr>
          <w:rFonts w:hint="eastAsia" w:ascii="宋体" w:hAnsi="宋体" w:cs="宋体"/>
          <w:b/>
          <w:szCs w:val="21"/>
        </w:rPr>
        <w:t>文件目录</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商务</w:t>
      </w:r>
      <w:r>
        <w:rPr>
          <w:rFonts w:hint="eastAsia" w:ascii="宋体" w:hAnsi="宋体" w:cs="宋体"/>
          <w:b/>
          <w:szCs w:val="21"/>
        </w:rPr>
        <w:t>文件：</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）投标单位情况表；</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）投标人同类项目实施情况一览表（</w:t>
      </w:r>
      <w:r>
        <w:rPr>
          <w:rFonts w:hint="eastAsia" w:ascii="宋体" w:hAnsi="宋体" w:cs="宋体"/>
          <w:color w:val="0000FF"/>
          <w:szCs w:val="21"/>
        </w:rPr>
        <w:t>须有合同复印件、验收资料或中标公示、中标通知书等</w:t>
      </w:r>
      <w:r>
        <w:rPr>
          <w:rFonts w:hint="eastAsia" w:ascii="宋体" w:hAnsi="宋体" w:cs="宋体"/>
          <w:szCs w:val="21"/>
        </w:rPr>
        <w:t>）；</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业绩评价情况；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服务场地情况</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）资信及商务响应表（格式见附件）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.技术文件：</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（1）投标人针对本项目的总体方案；</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（2）投标人是否有健全的企业内部管理制度及考核制度、安全文明施工及环保措施； </w:t>
      </w:r>
    </w:p>
    <w:p>
      <w:pPr>
        <w:spacing w:line="360" w:lineRule="exact"/>
        <w:ind w:firstLine="420" w:firstLineChars="200"/>
        <w:rPr>
          <w:rFonts w:hint="eastAsia" w:ascii="宋体" w:hAnsi="宋体" w:cs="宋体"/>
          <w:szCs w:val="21"/>
        </w:rPr>
      </w:pPr>
      <w:r>
        <w:rPr>
          <w:rFonts w:hint="eastAsia" w:ascii="宋体" w:hAnsi="宋体" w:cs="宋体"/>
          <w:szCs w:val="21"/>
          <w:lang w:val="en-US" w:eastAsia="zh-CN"/>
        </w:rPr>
        <w:t>（3）投标人针</w:t>
      </w:r>
      <w:r>
        <w:rPr>
          <w:rFonts w:hint="eastAsia" w:ascii="宋体" w:hAnsi="宋体" w:cs="宋体"/>
          <w:szCs w:val="21"/>
        </w:rPr>
        <w:t>对本项目组织详细</w:t>
      </w:r>
      <w:r>
        <w:rPr>
          <w:rFonts w:hint="eastAsia" w:ascii="宋体" w:hAnsi="宋体" w:cs="宋体"/>
          <w:szCs w:val="21"/>
          <w:lang w:val="en-US" w:eastAsia="zh-CN"/>
        </w:rPr>
        <w:t>人力及设备配置情况</w:t>
      </w:r>
      <w:r>
        <w:rPr>
          <w:rFonts w:hint="eastAsia" w:ascii="宋体" w:hAnsi="宋体" w:cs="宋体"/>
          <w:szCs w:val="21"/>
        </w:rPr>
        <w:t xml:space="preserve">；（包括机构设置、人员配备、项目经理或负责人情况、保洁类相关车辆及其他相关作业机具配备等）；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w:t>
      </w:r>
      <w:r>
        <w:rPr>
          <w:rFonts w:hint="eastAsia" w:ascii="宋体" w:hAnsi="宋体" w:cs="宋体"/>
          <w:szCs w:val="21"/>
          <w:lang w:val="en-US" w:eastAsia="zh-CN"/>
        </w:rPr>
        <w:t>的合理化建议及实质性优惠承诺</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w:t>
      </w:r>
      <w:r>
        <w:rPr>
          <w:rFonts w:hint="eastAsia" w:ascii="宋体" w:hAnsi="宋体" w:cs="宋体"/>
          <w:szCs w:val="21"/>
          <w:lang w:val="en-US" w:eastAsia="zh-CN"/>
        </w:rPr>
        <w:t>突发时间、恶劣天气的现场响应等</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）其他部分：投标人认为需要说明的其他内容。</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rPr>
      </w:pPr>
    </w:p>
    <w:p>
      <w:pPr>
        <w:snapToGrid w:val="0"/>
        <w:spacing w:before="50" w:afterLines="50"/>
        <w:jc w:val="left"/>
        <w:rPr>
          <w:rFonts w:ascii="微软雅黑" w:hAnsi="微软雅黑" w:eastAsia="微软雅黑"/>
          <w:szCs w:val="21"/>
        </w:rPr>
      </w:pPr>
      <w:r>
        <w:rPr>
          <w:rFonts w:hint="eastAsia" w:ascii="宋体" w:hAnsi="宋体" w:cs="宋体"/>
          <w:b/>
          <w:sz w:val="28"/>
          <w:szCs w:val="28"/>
        </w:rPr>
        <w:t>附件4</w:t>
      </w:r>
    </w:p>
    <w:p>
      <w:pPr>
        <w:tabs>
          <w:tab w:val="left" w:pos="1418"/>
        </w:tabs>
        <w:adjustRightInd w:val="0"/>
        <w:snapToGrid w:val="0"/>
        <w:jc w:val="center"/>
        <w:rPr>
          <w:rFonts w:hint="eastAsia" w:ascii="宋体" w:hAnsi="宋体" w:cs="宋体"/>
          <w:b/>
          <w:szCs w:val="21"/>
        </w:rPr>
      </w:pPr>
      <w:r>
        <w:rPr>
          <w:rFonts w:hint="eastAsia" w:ascii="宋体" w:hAnsi="宋体" w:cs="宋体"/>
          <w:b/>
          <w:sz w:val="28"/>
          <w:szCs w:val="28"/>
        </w:rPr>
        <w:t>投标单位基本情况表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065"/>
        <w:gridCol w:w="2514"/>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公司名称</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注册资金</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地址、邮编</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主要业务范围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企业性质</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成立时间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生产经营场所规模（平方）</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r>
              <w:rPr>
                <w:rFonts w:hint="eastAsia" w:ascii="宋体" w:hAnsi="宋体" w:cs="宋体"/>
                <w:szCs w:val="21"/>
              </w:rPr>
              <w:t>法人代表</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公司经理</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总工程师</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总经济师</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人员总数（人）</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高级职称</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中级职称</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初级职称</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人员构成（%）</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管理人员</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技术人员</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后勤人员</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上年度末资产及负债情况</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总资产</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固定资产净额</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流动资产</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645" w:type="dxa"/>
            <w:vAlign w:val="center"/>
          </w:tcPr>
          <w:p>
            <w:pPr>
              <w:rPr>
                <w:rFonts w:hint="eastAsia" w:ascii="宋体" w:hAnsi="宋体" w:cs="宋体"/>
                <w:szCs w:val="21"/>
              </w:rPr>
            </w:pPr>
            <w:r>
              <w:rPr>
                <w:rFonts w:hint="eastAsia" w:ascii="宋体" w:hAnsi="宋体" w:cs="宋体"/>
                <w:szCs w:val="21"/>
              </w:rPr>
              <w:t>企业概况</w:t>
            </w:r>
          </w:p>
        </w:tc>
        <w:tc>
          <w:tcPr>
            <w:tcW w:w="8075" w:type="dxa"/>
            <w:gridSpan w:val="5"/>
            <w:vAlign w:val="center"/>
          </w:tcPr>
          <w:p>
            <w:pPr>
              <w:rPr>
                <w:rFonts w:hint="eastAsia" w:ascii="宋体" w:hAnsi="宋体" w:cs="宋体"/>
                <w:szCs w:val="21"/>
              </w:rPr>
            </w:pPr>
          </w:p>
        </w:tc>
      </w:tr>
    </w:tbl>
    <w:p>
      <w:pPr>
        <w:spacing w:afterLines="100"/>
        <w:rPr>
          <w:rFonts w:hint="eastAsia" w:ascii="宋体" w:hAnsi="宋体" w:cs="宋体"/>
          <w:b/>
          <w:szCs w:val="21"/>
        </w:rPr>
      </w:pPr>
      <w:r>
        <w:rPr>
          <w:rFonts w:hint="eastAsia" w:ascii="宋体" w:hAnsi="宋体" w:cs="宋体"/>
          <w:b/>
          <w:szCs w:val="21"/>
        </w:rPr>
        <w:t>注：财务数据应按上年度经审计的财务报表数据填写。</w:t>
      </w:r>
    </w:p>
    <w:p>
      <w:pPr>
        <w:adjustRightInd w:val="0"/>
        <w:snapToGrid w:val="0"/>
        <w:jc w:val="left"/>
        <w:rPr>
          <w:rFonts w:hint="eastAsia" w:ascii="宋体" w:hAnsi="宋体" w:cs="宋体"/>
          <w:color w:val="000000"/>
          <w:szCs w:val="21"/>
        </w:rPr>
      </w:pPr>
      <w:r>
        <w:rPr>
          <w:rFonts w:hint="eastAsia" w:ascii="宋体" w:hAnsi="宋体" w:cs="宋体"/>
          <w:color w:val="000000"/>
          <w:szCs w:val="21"/>
        </w:rPr>
        <w:t>除此表外，可另附文字和资料加以说明。</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pStyle w:val="25"/>
        <w:rPr>
          <w:rFonts w:hint="eastAsia" w:ascii="宋体" w:hAnsi="宋体" w:cs="宋体"/>
          <w:bCs w:val="0"/>
          <w:szCs w:val="21"/>
        </w:rPr>
      </w:pPr>
    </w:p>
    <w:p>
      <w:pPr>
        <w:rPr>
          <w:rFonts w:hint="eastAsia"/>
        </w:rPr>
      </w:pPr>
    </w:p>
    <w:p>
      <w:pPr>
        <w:pStyle w:val="25"/>
        <w:rPr>
          <w:rFonts w:hint="eastAsia"/>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附件5：</w:t>
      </w: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投标人同类项目实施情况一览表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88"/>
        <w:gridCol w:w="1883"/>
        <w:gridCol w:w="1354"/>
        <w:gridCol w:w="984"/>
        <w:gridCol w:w="1267"/>
        <w:gridCol w:w="1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932"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采购单位名称</w:t>
            </w:r>
          </w:p>
        </w:tc>
        <w:tc>
          <w:tcPr>
            <w:tcW w:w="1039"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项目名称</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合同金额</w:t>
            </w:r>
          </w:p>
          <w:p>
            <w:pPr>
              <w:snapToGrid w:val="0"/>
              <w:jc w:val="center"/>
              <w:rPr>
                <w:rFonts w:hint="eastAsia" w:ascii="宋体" w:hAnsi="宋体" w:cs="宋体"/>
                <w:szCs w:val="21"/>
              </w:rPr>
            </w:pPr>
            <w:r>
              <w:rPr>
                <w:rFonts w:hint="eastAsia" w:ascii="宋体" w:hAnsi="宋体" w:cs="宋体"/>
                <w:szCs w:val="21"/>
              </w:rPr>
              <w:t>（万元）</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附件页码</w:t>
            </w:r>
          </w:p>
        </w:tc>
        <w:tc>
          <w:tcPr>
            <w:tcW w:w="103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采购单位联系人及</w:t>
            </w:r>
          </w:p>
          <w:p>
            <w:pPr>
              <w:snapToGrid w:val="0"/>
              <w:jc w:val="center"/>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039"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验收报告</w:t>
            </w:r>
            <w:r>
              <w:rPr>
                <w:rFonts w:hint="eastAsia" w:ascii="宋体" w:hAnsi="宋体" w:cs="宋体"/>
                <w:szCs w:val="21"/>
                <w:lang w:eastAsia="zh-CN"/>
              </w:rPr>
              <w:t>、</w:t>
            </w:r>
            <w:r>
              <w:rPr>
                <w:rFonts w:hint="eastAsia" w:ascii="宋体" w:hAnsi="宋体" w:cs="宋体"/>
                <w:szCs w:val="21"/>
              </w:rPr>
              <w:t>中标公示、中标通知书</w:t>
            </w:r>
          </w:p>
        </w:tc>
        <w:tc>
          <w:tcPr>
            <w:tcW w:w="10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r>
              <w:rPr>
                <w:rFonts w:hint="eastAsia" w:ascii="宋体" w:hAnsi="宋体" w:cs="宋体"/>
                <w:szCs w:val="21"/>
              </w:rPr>
              <w:t>……</w:t>
            </w: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bl>
    <w:p>
      <w:pPr>
        <w:snapToGrid w:val="0"/>
        <w:spacing w:line="440" w:lineRule="exact"/>
        <w:rPr>
          <w:rFonts w:hint="eastAsia" w:ascii="宋体" w:hAnsi="宋体" w:cs="宋体"/>
          <w:szCs w:val="21"/>
        </w:rPr>
      </w:pPr>
      <w:r>
        <w:rPr>
          <w:rFonts w:hint="eastAsia" w:ascii="宋体" w:hAnsi="宋体" w:cs="宋体"/>
          <w:szCs w:val="21"/>
        </w:rPr>
        <w:t>注：</w:t>
      </w:r>
    </w:p>
    <w:p>
      <w:pPr>
        <w:snapToGrid w:val="0"/>
        <w:spacing w:line="440" w:lineRule="exact"/>
        <w:rPr>
          <w:rFonts w:hint="eastAsia" w:ascii="宋体" w:hAnsi="宋体" w:cs="宋体"/>
          <w:szCs w:val="21"/>
        </w:rPr>
      </w:pPr>
      <w:r>
        <w:rPr>
          <w:rFonts w:hint="eastAsia" w:ascii="宋体" w:hAnsi="宋体" w:cs="宋体"/>
          <w:szCs w:val="21"/>
        </w:rPr>
        <w:t>1、同类项目经营业绩是指已完工并验收通过的同类项目经营业绩</w:t>
      </w:r>
    </w:p>
    <w:p>
      <w:pPr>
        <w:snapToGrid w:val="0"/>
        <w:spacing w:line="440" w:lineRule="exact"/>
        <w:rPr>
          <w:rFonts w:hint="eastAsia" w:ascii="宋体" w:hAnsi="宋体" w:cs="宋体"/>
          <w:szCs w:val="21"/>
        </w:rPr>
      </w:pPr>
      <w:r>
        <w:rPr>
          <w:rFonts w:hint="eastAsia" w:ascii="宋体" w:hAnsi="宋体" w:cs="宋体"/>
          <w:szCs w:val="21"/>
        </w:rPr>
        <w:t>2、须提供合同复印件等加盖公章制作于商务标内，原件请随带备查。</w:t>
      </w:r>
    </w:p>
    <w:p>
      <w:pPr>
        <w:pStyle w:val="9"/>
        <w:snapToGrid w:val="0"/>
        <w:rPr>
          <w:rFonts w:hint="eastAsia" w:ascii="宋体" w:hAnsi="宋体" w:eastAsia="宋体" w:cs="宋体"/>
          <w:sz w:val="21"/>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left"/>
        <w:rPr>
          <w:rFonts w:hint="eastAsia" w:ascii="宋体" w:hAnsi="宋体" w:cs="宋体"/>
          <w:b/>
          <w:sz w:val="32"/>
          <w:szCs w:val="32"/>
        </w:rPr>
      </w:pPr>
    </w:p>
    <w:p>
      <w:pPr>
        <w:rPr>
          <w:rFonts w:hint="eastAsia" w:ascii="微软雅黑" w:hAnsi="微软雅黑" w:eastAsia="微软雅黑"/>
          <w:szCs w:val="21"/>
          <w:u w:val="single"/>
        </w:rPr>
      </w:pPr>
      <w:r>
        <w:rPr>
          <w:rFonts w:hint="eastAsia" w:ascii="微软雅黑" w:hAnsi="微软雅黑" w:eastAsia="微软雅黑"/>
          <w:szCs w:val="21"/>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附件6：</w:t>
      </w:r>
    </w:p>
    <w:p>
      <w:pPr>
        <w:adjustRightInd w:val="0"/>
        <w:snapToGrid w:val="0"/>
        <w:jc w:val="left"/>
        <w:rPr>
          <w:rFonts w:hint="eastAsia" w:ascii="微软雅黑" w:hAnsi="微软雅黑" w:eastAsia="微软雅黑"/>
          <w:color w:val="000000"/>
          <w:sz w:val="24"/>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lang w:val="en-US" w:eastAsia="zh-CN"/>
        </w:rPr>
        <w:t>业 绩 评 价</w:t>
      </w:r>
      <w:r>
        <w:rPr>
          <w:rFonts w:hint="eastAsia" w:ascii="宋体" w:hAnsi="宋体" w:cs="宋体"/>
          <w:b/>
          <w:sz w:val="28"/>
          <w:szCs w:val="28"/>
        </w:rPr>
        <w:t xml:space="preserve"> 情 况 表</w:t>
      </w:r>
    </w:p>
    <w:p>
      <w:pPr>
        <w:spacing w:line="360" w:lineRule="auto"/>
        <w:rPr>
          <w:rFonts w:hint="eastAsia" w:ascii="宋体" w:hAnsi="宋体" w:cs="宋体"/>
          <w:spacing w:val="14"/>
          <w:szCs w:val="21"/>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01"/>
        <w:gridCol w:w="1502"/>
        <w:gridCol w:w="1691"/>
        <w:gridCol w:w="18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序号</w:t>
            </w: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项目编号</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项目名称</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业主单位</w:t>
            </w: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评价时间</w:t>
            </w: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bl>
    <w:p>
      <w:pPr>
        <w:spacing w:line="440" w:lineRule="exact"/>
        <w:ind w:firstLine="420" w:firstLineChars="200"/>
        <w:rPr>
          <w:rFonts w:hint="eastAsia" w:ascii="宋体" w:hAnsi="宋体" w:cs="宋体"/>
          <w:szCs w:val="21"/>
        </w:rPr>
      </w:pPr>
      <w:r>
        <w:rPr>
          <w:rFonts w:hint="eastAsia" w:ascii="宋体" w:hAnsi="宋体" w:cs="宋体"/>
          <w:szCs w:val="21"/>
        </w:rPr>
        <w:t>注：1、此表仅提供了表格形式，投标人应根据需要准备足够数量的表格来填写。</w:t>
      </w:r>
    </w:p>
    <w:p>
      <w:pPr>
        <w:spacing w:line="360" w:lineRule="auto"/>
        <w:ind w:left="424" w:leftChars="202"/>
        <w:rPr>
          <w:rFonts w:hint="eastAsia" w:ascii="宋体" w:hAnsi="宋体" w:cs="宋体"/>
          <w:bCs/>
          <w:szCs w:val="21"/>
        </w:rPr>
      </w:pPr>
      <w:r>
        <w:rPr>
          <w:rFonts w:hint="eastAsia" w:ascii="宋体" w:hAnsi="宋体" w:cs="宋体"/>
          <w:szCs w:val="21"/>
          <w:lang w:val="en-US" w:eastAsia="zh-CN"/>
        </w:rPr>
        <w:t>2</w:t>
      </w:r>
      <w:r>
        <w:rPr>
          <w:rFonts w:hint="eastAsia" w:ascii="宋体" w:hAnsi="宋体" w:cs="宋体"/>
          <w:szCs w:val="21"/>
        </w:rPr>
        <w:t>、应附</w:t>
      </w:r>
      <w:r>
        <w:rPr>
          <w:rFonts w:hint="eastAsia" w:ascii="宋体" w:hAnsi="宋体" w:cs="宋体"/>
          <w:szCs w:val="21"/>
          <w:lang w:val="en-US" w:eastAsia="zh-CN"/>
        </w:rPr>
        <w:t>相应评价材料</w:t>
      </w:r>
      <w:r>
        <w:rPr>
          <w:rFonts w:hint="eastAsia" w:ascii="宋体" w:hAnsi="宋体" w:cs="宋体"/>
          <w:szCs w:val="21"/>
        </w:rPr>
        <w:t>复印件并加盖</w:t>
      </w:r>
      <w:r>
        <w:rPr>
          <w:rFonts w:hint="eastAsia" w:ascii="宋体" w:hAnsi="宋体" w:cs="宋体"/>
          <w:szCs w:val="21"/>
          <w:lang w:val="en-US" w:eastAsia="zh-CN"/>
        </w:rPr>
        <w:t>业主</w:t>
      </w:r>
      <w:r>
        <w:rPr>
          <w:rFonts w:hint="eastAsia" w:ascii="宋体" w:hAnsi="宋体" w:cs="宋体"/>
          <w:szCs w:val="21"/>
        </w:rPr>
        <w:t>公章，原件备查。</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ind w:firstLine="2100" w:firstLineChars="1000"/>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pStyle w:val="25"/>
        <w:rPr>
          <w:rFonts w:hint="eastAsia" w:ascii="宋体" w:hAnsi="宋体" w:cs="宋体"/>
          <w:b w:val="0"/>
          <w:spacing w:val="40"/>
          <w:kern w:val="0"/>
        </w:rPr>
      </w:pPr>
    </w:p>
    <w:p>
      <w:pPr>
        <w:rPr>
          <w:rFonts w:hint="eastAsia" w:ascii="宋体" w:hAnsi="宋体" w:cs="宋体"/>
          <w:b/>
          <w:spacing w:val="40"/>
          <w:kern w:val="0"/>
          <w:sz w:val="32"/>
          <w:szCs w:val="32"/>
        </w:rPr>
      </w:pPr>
    </w:p>
    <w:p>
      <w:pPr>
        <w:pStyle w:val="25"/>
        <w:rPr>
          <w:rFonts w:hint="eastAsia" w:ascii="宋体" w:hAnsi="宋体" w:cs="宋体"/>
          <w:b w:val="0"/>
          <w:spacing w:val="40"/>
          <w:kern w:val="0"/>
        </w:rPr>
      </w:pPr>
    </w:p>
    <w:p>
      <w:pPr>
        <w:rPr>
          <w:rFonts w:hint="eastAsia" w:ascii="宋体" w:hAnsi="宋体" w:cs="宋体"/>
          <w:b w:val="0"/>
          <w:spacing w:val="40"/>
          <w:kern w:val="0"/>
        </w:rPr>
      </w:pPr>
    </w:p>
    <w:p>
      <w:pPr>
        <w:pStyle w:val="2"/>
        <w:rPr>
          <w:rFonts w:hint="eastAsia" w:ascii="宋体" w:hAnsi="宋体" w:cs="宋体"/>
          <w:b w:val="0"/>
          <w:spacing w:val="40"/>
          <w:kern w:val="0"/>
        </w:rPr>
      </w:pPr>
    </w:p>
    <w:p>
      <w:pPr>
        <w:rPr>
          <w:rFonts w:hint="eastAsia" w:ascii="宋体" w:hAnsi="宋体" w:cs="宋体"/>
          <w:b w:val="0"/>
          <w:spacing w:val="40"/>
          <w:kern w:val="0"/>
        </w:rPr>
      </w:pPr>
    </w:p>
    <w:p>
      <w:pPr>
        <w:pStyle w:val="2"/>
        <w:rPr>
          <w:rFonts w:hint="eastAsia"/>
        </w:rPr>
      </w:pPr>
    </w:p>
    <w:p>
      <w:pPr>
        <w:rPr>
          <w:rFonts w:hint="eastAsia" w:ascii="宋体" w:hAnsi="宋体" w:cs="宋体"/>
          <w:b/>
          <w:spacing w:val="40"/>
          <w:kern w:val="0"/>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附件7：</w:t>
      </w:r>
    </w:p>
    <w:p>
      <w:pPr>
        <w:adjustRightInd w:val="0"/>
        <w:snapToGrid w:val="0"/>
        <w:jc w:val="center"/>
        <w:rPr>
          <w:rFonts w:hint="eastAsia" w:ascii="宋体" w:hAnsi="宋体" w:cs="宋体"/>
          <w:color w:val="000000"/>
          <w:sz w:val="30"/>
          <w:szCs w:val="30"/>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商务响应表</w:t>
      </w:r>
    </w:p>
    <w:p>
      <w:pPr>
        <w:spacing w:line="360" w:lineRule="auto"/>
        <w:jc w:val="center"/>
        <w:rPr>
          <w:rFonts w:hint="eastAsia" w:ascii="宋体" w:hAnsi="宋体" w:cs="宋体"/>
          <w:bCs/>
          <w:szCs w:val="21"/>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86"/>
        <w:gridCol w:w="2426"/>
        <w:gridCol w:w="22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序 号</w:t>
            </w:r>
          </w:p>
        </w:tc>
        <w:tc>
          <w:tcPr>
            <w:tcW w:w="10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内容</w:t>
            </w:r>
          </w:p>
        </w:tc>
        <w:tc>
          <w:tcPr>
            <w:tcW w:w="13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招标文件规范要求</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投标文件对应规范</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szCs w:val="21"/>
              </w:rPr>
            </w:pPr>
            <w:r>
              <w:rPr>
                <w:rFonts w:hint="eastAsia" w:ascii="宋体" w:hAnsi="宋体" w:cs="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bl>
    <w:p>
      <w:pPr>
        <w:spacing w:line="340" w:lineRule="exact"/>
        <w:ind w:firstLine="420" w:firstLineChars="200"/>
        <w:rPr>
          <w:rFonts w:hint="eastAsia" w:ascii="宋体" w:hAnsi="宋体" w:cs="宋体"/>
          <w:szCs w:val="21"/>
        </w:rPr>
      </w:pPr>
      <w:r>
        <w:rPr>
          <w:rFonts w:hint="eastAsia" w:ascii="宋体" w:hAnsi="宋体" w:cs="宋体"/>
          <w:szCs w:val="21"/>
        </w:rPr>
        <w:t xml:space="preserve"> 注：1、本表格为</w:t>
      </w:r>
      <w:r>
        <w:rPr>
          <w:rFonts w:hint="eastAsia" w:ascii="宋体" w:hAnsi="宋体" w:cs="宋体"/>
          <w:bCs/>
          <w:szCs w:val="21"/>
        </w:rPr>
        <w:t>商务要求中除报价以外的其他要求，不填写视同完全响应谈判文件要求。</w:t>
      </w:r>
      <w:r>
        <w:rPr>
          <w:rFonts w:hint="eastAsia" w:ascii="宋体" w:hAnsi="宋体" w:cs="宋体"/>
          <w:szCs w:val="21"/>
        </w:rPr>
        <w:t>此表可在不改变格式的情况下可自行制作。</w:t>
      </w:r>
    </w:p>
    <w:p>
      <w:pPr>
        <w:spacing w:line="340" w:lineRule="exact"/>
        <w:ind w:firstLine="420" w:firstLineChars="200"/>
        <w:rPr>
          <w:rFonts w:hint="eastAsia" w:ascii="宋体" w:hAnsi="宋体" w:cs="宋体"/>
          <w:szCs w:val="21"/>
        </w:rPr>
      </w:pPr>
      <w:r>
        <w:rPr>
          <w:rFonts w:hint="eastAsia" w:ascii="宋体" w:hAnsi="宋体" w:cs="宋体"/>
          <w:szCs w:val="21"/>
        </w:rPr>
        <w:t>2、备注栏填正偏离、负偏离或无偏离。</w:t>
      </w:r>
    </w:p>
    <w:p>
      <w:pPr>
        <w:spacing w:line="340" w:lineRule="exact"/>
        <w:ind w:firstLine="420" w:firstLineChars="200"/>
        <w:rPr>
          <w:rFonts w:hint="eastAsia" w:ascii="宋体" w:hAnsi="宋体" w:cs="宋体"/>
          <w:szCs w:val="21"/>
        </w:rPr>
      </w:pP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供应商（盖章）：</w:t>
      </w: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授权代表（签字）：</w:t>
      </w:r>
    </w:p>
    <w:p>
      <w:pPr>
        <w:pStyle w:val="2"/>
        <w:spacing w:before="120" w:after="120" w:line="300" w:lineRule="exact"/>
        <w:ind w:left="359" w:leftChars="171" w:firstLine="105" w:firstLineChars="50"/>
        <w:rPr>
          <w:rFonts w:hint="eastAsia" w:hAnsi="宋体" w:cs="宋体"/>
          <w:sz w:val="21"/>
          <w:szCs w:val="21"/>
        </w:rPr>
      </w:pPr>
      <w:r>
        <w:rPr>
          <w:rFonts w:hint="eastAsia" w:hAnsi="宋体" w:cs="宋体"/>
          <w:sz w:val="21"/>
          <w:szCs w:val="21"/>
        </w:rPr>
        <w:t xml:space="preserve">日期：     </w:t>
      </w:r>
    </w:p>
    <w:p>
      <w:pPr>
        <w:rPr>
          <w:rFonts w:hint="eastAsia" w:ascii="宋体" w:hAnsi="宋体" w:cs="宋体"/>
          <w:szCs w:val="21"/>
        </w:rPr>
      </w:pPr>
    </w:p>
    <w:p>
      <w:pPr>
        <w:snapToGrid w:val="0"/>
        <w:spacing w:before="50" w:afterLines="50"/>
        <w:jc w:val="right"/>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pStyle w:val="2"/>
        <w:spacing w:before="120" w:after="120"/>
        <w:jc w:val="left"/>
        <w:outlineLvl w:val="1"/>
        <w:rPr>
          <w:rFonts w:hint="eastAsia" w:hAnsi="宋体" w:cs="宋体"/>
          <w:color w:val="000000"/>
          <w:sz w:val="32"/>
          <w:szCs w:val="32"/>
        </w:rPr>
      </w:pPr>
      <w:r>
        <w:rPr>
          <w:rFonts w:hint="eastAsia" w:hAnsi="宋体" w:cs="宋体"/>
          <w:szCs w:val="21"/>
        </w:rPr>
        <w:br w:type="page"/>
      </w:r>
      <w:r>
        <w:rPr>
          <w:rFonts w:hint="eastAsia" w:hAnsi="宋体" w:cs="宋体"/>
          <w:b/>
          <w:sz w:val="28"/>
          <w:szCs w:val="28"/>
        </w:rPr>
        <w:t>附件1：</w:t>
      </w:r>
      <w:bookmarkStart w:id="58" w:name="_Toc60537406"/>
    </w:p>
    <w:p>
      <w:pPr>
        <w:tabs>
          <w:tab w:val="left" w:pos="1418"/>
        </w:tabs>
        <w:adjustRightInd w:val="0"/>
        <w:snapToGrid w:val="0"/>
        <w:jc w:val="center"/>
        <w:rPr>
          <w:rFonts w:hint="eastAsia" w:ascii="宋体" w:hAnsi="宋体" w:cs="宋体"/>
          <w:b/>
          <w:bCs/>
          <w:color w:val="000000"/>
          <w:sz w:val="32"/>
          <w:szCs w:val="32"/>
        </w:rPr>
      </w:pPr>
      <w:r>
        <w:rPr>
          <w:rFonts w:hint="eastAsia" w:ascii="宋体" w:hAnsi="宋体" w:cs="宋体"/>
          <w:b/>
          <w:sz w:val="28"/>
          <w:szCs w:val="28"/>
        </w:rPr>
        <w:t>技 术 偏 离 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3051"/>
        <w:gridCol w:w="127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项目</w:t>
            </w:r>
          </w:p>
        </w:tc>
        <w:tc>
          <w:tcPr>
            <w:tcW w:w="1684"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招标文件要求</w:t>
            </w:r>
          </w:p>
        </w:tc>
        <w:tc>
          <w:tcPr>
            <w:tcW w:w="706"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偏离情况</w:t>
            </w:r>
          </w:p>
        </w:tc>
        <w:tc>
          <w:tcPr>
            <w:tcW w:w="141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hAnsi="宋体" w:cs="宋体"/>
                <w:b/>
                <w:color w:val="000000"/>
                <w:szCs w:val="21"/>
              </w:rPr>
            </w:pPr>
            <w:r>
              <w:rPr>
                <w:rFonts w:ascii="Arial" w:hAnsi="Arial" w:cs="Arial"/>
                <w:b/>
                <w:color w:val="000000"/>
                <w:szCs w:val="21"/>
              </w:rPr>
              <w:t>……</w:t>
            </w: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bl>
    <w:p>
      <w:pPr>
        <w:adjustRightInd w:val="0"/>
        <w:snapToGrid w:val="0"/>
        <w:jc w:val="left"/>
        <w:rPr>
          <w:rFonts w:hint="eastAsia" w:ascii="宋体" w:hAnsi="宋体" w:cs="宋体"/>
          <w:color w:val="000000"/>
          <w:szCs w:val="21"/>
        </w:rPr>
      </w:pPr>
    </w:p>
    <w:p>
      <w:pPr>
        <w:rPr>
          <w:rFonts w:hint="eastAsia" w:ascii="宋体" w:hAnsi="宋体" w:cs="宋体"/>
          <w:szCs w:val="21"/>
        </w:rPr>
      </w:pPr>
      <w:r>
        <w:rPr>
          <w:rFonts w:hint="eastAsia" w:ascii="宋体" w:hAnsi="宋体" w:cs="宋体"/>
          <w:szCs w:val="21"/>
        </w:rPr>
        <w:t>注：此表可在不改变格式的情况下可自行制作。</w:t>
      </w: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p>
    <w:p>
      <w:pPr>
        <w:pStyle w:val="2"/>
        <w:spacing w:before="120" w:after="120"/>
        <w:jc w:val="left"/>
        <w:outlineLvl w:val="1"/>
        <w:rPr>
          <w:rFonts w:hint="eastAsia" w:hAnsi="宋体" w:cs="宋体"/>
          <w:b/>
          <w:sz w:val="28"/>
          <w:szCs w:val="28"/>
        </w:rPr>
      </w:pPr>
      <w:r>
        <w:rPr>
          <w:rFonts w:hint="eastAsia" w:hAnsi="宋体" w:cs="宋体"/>
          <w:b/>
          <w:sz w:val="28"/>
          <w:szCs w:val="28"/>
        </w:rPr>
        <w:t>附件2：</w:t>
      </w:r>
    </w:p>
    <w:p>
      <w:pPr>
        <w:spacing w:line="360" w:lineRule="auto"/>
        <w:jc w:val="center"/>
        <w:rPr>
          <w:rFonts w:hint="eastAsia" w:ascii="宋体" w:hAnsi="宋体" w:cs="宋体"/>
          <w:b/>
          <w:sz w:val="24"/>
          <w:szCs w:val="24"/>
          <w:shd w:val="clear" w:color="auto" w:fill="FFFFFF"/>
        </w:rPr>
      </w:pPr>
      <w:r>
        <w:rPr>
          <w:rFonts w:hint="eastAsia" w:ascii="宋体" w:hAnsi="宋体" w:cs="宋体"/>
          <w:b/>
          <w:sz w:val="28"/>
          <w:szCs w:val="28"/>
        </w:rPr>
        <w:t>项目实施人员一览表</w:t>
      </w: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tblInd w:w="0" w:type="dxa"/>
        <w:tblLayout w:type="autofit"/>
        <w:tblCellMar>
          <w:top w:w="0" w:type="dxa"/>
          <w:left w:w="108" w:type="dxa"/>
          <w:bottom w:w="0" w:type="dxa"/>
          <w:right w:w="108" w:type="dxa"/>
        </w:tblCellMar>
      </w:tblPr>
      <w:tblGrid>
        <w:gridCol w:w="1473"/>
        <w:gridCol w:w="3564"/>
        <w:gridCol w:w="1969"/>
        <w:gridCol w:w="2049"/>
      </w:tblGrid>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967"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人员类别</w:t>
            </w:r>
          </w:p>
        </w:tc>
        <w:tc>
          <w:tcPr>
            <w:tcW w:w="108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招标文件要求人数</w:t>
            </w: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承诺到岗人数</w:t>
            </w: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967" w:type="pct"/>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项目负责人</w:t>
            </w: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967"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项目管理人员</w:t>
            </w: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967" w:type="pct"/>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项目安全员</w:t>
            </w: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138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33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人员类别</w:t>
            </w:r>
          </w:p>
        </w:tc>
        <w:tc>
          <w:tcPr>
            <w:tcW w:w="185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是否响应招标文件最低要求（每一万平米配置一名服务工人）</w:t>
            </w:r>
          </w:p>
        </w:tc>
        <w:tc>
          <w:tcPr>
            <w:tcW w:w="19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额外</w:t>
            </w:r>
            <w:r>
              <w:rPr>
                <w:rFonts w:hint="eastAsia" w:ascii="宋体" w:hAnsi="宋体" w:cs="宋体"/>
                <w:kern w:val="0"/>
                <w:szCs w:val="21"/>
              </w:rPr>
              <w:t>承诺到岗人数</w:t>
            </w: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967"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项目服务工人数量</w:t>
            </w: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bl>
    <w:p>
      <w:pPr>
        <w:spacing w:line="360" w:lineRule="auto"/>
        <w:jc w:val="left"/>
        <w:rPr>
          <w:rFonts w:hint="eastAsia" w:ascii="宋体" w:hAnsi="宋体" w:cs="宋体"/>
          <w:color w:val="000000"/>
          <w:szCs w:val="21"/>
        </w:rPr>
      </w:pPr>
      <w:r>
        <w:rPr>
          <w:rFonts w:hint="eastAsia" w:ascii="宋体" w:hAnsi="宋体" w:cs="宋体"/>
          <w:color w:val="000000"/>
          <w:szCs w:val="21"/>
        </w:rPr>
        <w:t>注：</w:t>
      </w:r>
      <w:r>
        <w:rPr>
          <w:rFonts w:hint="eastAsia" w:ascii="宋体" w:hAnsi="宋体" w:cs="宋体"/>
          <w:szCs w:val="21"/>
        </w:rPr>
        <w:t>本表格需按照各标项的区块划分及</w:t>
      </w:r>
      <w:r>
        <w:rPr>
          <w:rFonts w:hint="eastAsia" w:ascii="宋体" w:hAnsi="宋体" w:cs="宋体"/>
          <w:szCs w:val="21"/>
          <w:lang w:val="en-US" w:eastAsia="zh-CN"/>
        </w:rPr>
        <w:t>人员要求</w:t>
      </w:r>
      <w:r>
        <w:rPr>
          <w:rFonts w:hint="eastAsia" w:ascii="宋体" w:hAnsi="宋体" w:cs="宋体"/>
          <w:szCs w:val="21"/>
        </w:rPr>
        <w:t>清单来填写，且要明确各岗位人员配备情况。</w:t>
      </w:r>
      <w:r>
        <w:rPr>
          <w:rFonts w:hint="eastAsia" w:ascii="宋体" w:hAnsi="宋体" w:cs="宋体"/>
          <w:color w:val="000000"/>
          <w:szCs w:val="21"/>
        </w:rPr>
        <w:t>在填写时，如本表格不适合投标单位的实际情况，可根据本表格式自行划表填写。</w:t>
      </w:r>
    </w:p>
    <w:p>
      <w:pPr>
        <w:snapToGrid w:val="0"/>
        <w:spacing w:before="50" w:afterLines="50" w:line="360" w:lineRule="auto"/>
        <w:jc w:val="left"/>
        <w:rPr>
          <w:rFonts w:hint="eastAsia" w:ascii="宋体" w:hAnsi="宋体" w:cs="宋体"/>
          <w:color w:val="000000"/>
          <w:szCs w:val="21"/>
        </w:rPr>
      </w:pP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spacing w:line="360" w:lineRule="auto"/>
        <w:jc w:val="center"/>
        <w:rPr>
          <w:rFonts w:hint="eastAsia" w:ascii="宋体" w:hAnsi="宋体" w:cs="宋体"/>
          <w:b/>
          <w:sz w:val="28"/>
          <w:szCs w:val="28"/>
          <w:lang w:val="en-US"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Cs/>
          <w:sz w:val="36"/>
          <w:szCs w:val="36"/>
        </w:rPr>
      </w:pPr>
      <w:r>
        <w:rPr>
          <w:rFonts w:hint="eastAsia" w:ascii="宋体" w:hAnsi="宋体" w:cs="宋体"/>
          <w:b/>
          <w:sz w:val="28"/>
          <w:szCs w:val="28"/>
        </w:rPr>
        <w:t>项目负责人员情况表</w:t>
      </w:r>
    </w:p>
    <w:p>
      <w:pPr>
        <w:pStyle w:val="9"/>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56"/>
        <w:gridCol w:w="1128"/>
        <w:gridCol w:w="657"/>
        <w:gridCol w:w="346"/>
        <w:gridCol w:w="1012"/>
        <w:gridCol w:w="1012"/>
        <w:gridCol w:w="9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5" w:type="pct"/>
            <w:gridSpan w:val="2"/>
            <w:vAlign w:val="center"/>
          </w:tcPr>
          <w:p>
            <w:pPr>
              <w:jc w:val="center"/>
              <w:rPr>
                <w:rFonts w:hint="eastAsia" w:ascii="宋体" w:hAnsi="宋体" w:cs="宋体"/>
                <w:shd w:val="clear" w:color="auto" w:fill="FFFFFF"/>
              </w:rPr>
            </w:pPr>
          </w:p>
        </w:tc>
        <w:tc>
          <w:tcPr>
            <w:tcW w:w="55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8" w:type="pct"/>
            <w:vAlign w:val="center"/>
          </w:tcPr>
          <w:p>
            <w:pPr>
              <w:rPr>
                <w:rFonts w:hint="eastAsia" w:ascii="宋体" w:hAnsi="宋体" w:cs="宋体"/>
                <w:shd w:val="clear" w:color="auto" w:fill="FFFFFF"/>
              </w:rPr>
            </w:pPr>
          </w:p>
        </w:tc>
        <w:tc>
          <w:tcPr>
            <w:tcW w:w="557"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hint="eastAsia" w:ascii="宋体" w:hAnsi="宋体" w:cs="宋体"/>
                <w:shd w:val="clear" w:color="auto" w:fill="FFFFFF"/>
              </w:rPr>
            </w:pPr>
          </w:p>
        </w:tc>
        <w:tc>
          <w:tcPr>
            <w:tcW w:w="557" w:type="pct"/>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465" w:type="pct"/>
            <w:gridSpan w:val="7"/>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身份证号码</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从事本专业时间</w:t>
            </w:r>
          </w:p>
        </w:tc>
        <w:tc>
          <w:tcPr>
            <w:tcW w:w="986" w:type="pct"/>
            <w:gridSpan w:val="2"/>
            <w:vAlign w:val="center"/>
          </w:tcPr>
          <w:p>
            <w:pPr>
              <w:rPr>
                <w:rFonts w:hint="eastAsia" w:ascii="宋体" w:hAnsi="宋体" w:eastAsia="宋体" w:cs="宋体"/>
                <w:kern w:val="2"/>
                <w:sz w:val="21"/>
                <w:shd w:val="clear" w:color="auto" w:fill="FFFFFF"/>
                <w:lang w:val="en-US" w:eastAsia="zh-CN" w:bidi="ar-SA"/>
              </w:rPr>
            </w:pPr>
          </w:p>
        </w:tc>
        <w:tc>
          <w:tcPr>
            <w:tcW w:w="1308" w:type="pct"/>
            <w:gridSpan w:val="3"/>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本单位工作年限</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执业注册</w:t>
            </w:r>
          </w:p>
        </w:tc>
        <w:tc>
          <w:tcPr>
            <w:tcW w:w="986" w:type="pct"/>
            <w:gridSpan w:val="2"/>
            <w:vAlign w:val="center"/>
          </w:tcPr>
          <w:p>
            <w:pPr>
              <w:rPr>
                <w:rFonts w:hint="eastAsia" w:ascii="宋体" w:hAnsi="宋体" w:cs="宋体"/>
                <w:shd w:val="clear" w:color="auto" w:fill="FFFFFF"/>
              </w:rPr>
            </w:pPr>
          </w:p>
        </w:tc>
        <w:tc>
          <w:tcPr>
            <w:tcW w:w="1308"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职称</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9"/>
            <w:vAlign w:val="center"/>
          </w:tcPr>
          <w:p>
            <w:pPr>
              <w:rPr>
                <w:rFonts w:hint="eastAsia" w:ascii="宋体" w:hAns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时间</w:t>
            </w:r>
          </w:p>
        </w:tc>
        <w:tc>
          <w:tcPr>
            <w:tcW w:w="2345" w:type="pct"/>
            <w:gridSpan w:val="6"/>
            <w:vAlign w:val="center"/>
          </w:tcPr>
          <w:p>
            <w:pPr>
              <w:jc w:val="center"/>
              <w:rPr>
                <w:rFonts w:hint="eastAsia" w:ascii="宋体" w:hAnsi="宋体" w:cs="宋体"/>
                <w:shd w:val="clear" w:color="auto" w:fill="FFFFFF"/>
              </w:rPr>
            </w:pPr>
            <w:r>
              <w:rPr>
                <w:rFonts w:hint="eastAsia" w:ascii="宋体" w:hAnsi="宋体" w:cs="宋体"/>
                <w:shd w:val="clear" w:color="auto" w:fill="FFFFFF"/>
              </w:rPr>
              <w:t>参加过的类似项目名称及规模</w:t>
            </w:r>
          </w:p>
          <w:p>
            <w:pPr>
              <w:jc w:val="center"/>
              <w:rPr>
                <w:rFonts w:hint="eastAsia" w:ascii="宋体" w:hAnsi="宋体" w:cs="宋体"/>
                <w:shd w:val="clear" w:color="auto" w:fill="FFFFFF"/>
              </w:rPr>
            </w:pPr>
            <w:r>
              <w:rPr>
                <w:rFonts w:hint="eastAsia" w:ascii="宋体" w:hAnsi="宋体" w:cs="宋体"/>
                <w:shd w:val="clear" w:color="auto" w:fill="FFFFFF"/>
              </w:rPr>
              <w:t>（含获奖业绩）</w:t>
            </w:r>
          </w:p>
        </w:tc>
        <w:tc>
          <w:tcPr>
            <w:tcW w:w="1483" w:type="pct"/>
            <w:vAlign w:val="center"/>
          </w:tcPr>
          <w:p>
            <w:pPr>
              <w:rPr>
                <w:rFonts w:hint="eastAsia" w:ascii="宋体" w:hAns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eastAsia" w:ascii="宋体" w:hAns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2、附获奖业绩相关材料。</w:t>
      </w:r>
    </w:p>
    <w:p>
      <w:pPr>
        <w:wordWrap w:val="0"/>
        <w:spacing w:line="440" w:lineRule="exact"/>
        <w:ind w:firstLine="211" w:firstLineChars="100"/>
        <w:rPr>
          <w:rFonts w:hint="eastAsia" w:ascii="宋体" w:hAnsi="宋体" w:cs="宋体"/>
          <w:b/>
          <w:szCs w:val="21"/>
        </w:rPr>
      </w:pPr>
      <w:r>
        <w:rPr>
          <w:rFonts w:hint="eastAsia" w:ascii="宋体" w:hAnsi="宋体" w:cs="宋体"/>
          <w:b/>
          <w:szCs w:val="21"/>
          <w:shd w:val="clear" w:color="auto" w:fill="FFFFFF"/>
        </w:rPr>
        <w:t xml:space="preserve">  3、须提供上述人员社保凭证。</w:t>
      </w:r>
    </w:p>
    <w:p>
      <w:pPr>
        <w:adjustRightInd w:val="0"/>
        <w:snapToGrid w:val="0"/>
        <w:spacing w:line="440" w:lineRule="exact"/>
        <w:jc w:val="center"/>
        <w:textAlignment w:val="baseline"/>
        <w:rPr>
          <w:rFonts w:hint="eastAsia" w:ascii="宋体" w:hAnsi="宋体" w:cs="宋体"/>
          <w:b/>
          <w:sz w:val="24"/>
          <w:szCs w:val="32"/>
          <w:shd w:val="clear" w:color="auto" w:fill="FFFFFF"/>
        </w:rPr>
      </w:pPr>
    </w:p>
    <w:p>
      <w:pPr>
        <w:spacing w:line="360" w:lineRule="auto"/>
        <w:jc w:val="left"/>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Cs/>
          <w:sz w:val="36"/>
          <w:szCs w:val="36"/>
        </w:rPr>
      </w:pPr>
      <w:r>
        <w:rPr>
          <w:rFonts w:hint="eastAsia" w:ascii="宋体" w:hAnsi="宋体" w:cs="宋体"/>
          <w:b/>
          <w:sz w:val="28"/>
          <w:szCs w:val="28"/>
        </w:rPr>
        <w:t>项目</w:t>
      </w:r>
      <w:r>
        <w:rPr>
          <w:rFonts w:hint="eastAsia" w:ascii="宋体" w:hAnsi="宋体" w:cs="宋体"/>
          <w:b/>
          <w:sz w:val="28"/>
          <w:szCs w:val="28"/>
          <w:lang w:val="en-US" w:eastAsia="zh-CN"/>
        </w:rPr>
        <w:t>管理</w:t>
      </w:r>
      <w:r>
        <w:rPr>
          <w:rFonts w:hint="eastAsia" w:ascii="宋体" w:hAnsi="宋体" w:cs="宋体"/>
          <w:b/>
          <w:sz w:val="28"/>
          <w:szCs w:val="28"/>
        </w:rPr>
        <w:t>人员情况表</w:t>
      </w:r>
    </w:p>
    <w:p>
      <w:pPr>
        <w:pStyle w:val="9"/>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56"/>
        <w:gridCol w:w="1128"/>
        <w:gridCol w:w="657"/>
        <w:gridCol w:w="346"/>
        <w:gridCol w:w="1012"/>
        <w:gridCol w:w="1012"/>
        <w:gridCol w:w="9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5" w:type="pct"/>
            <w:gridSpan w:val="2"/>
            <w:vAlign w:val="center"/>
          </w:tcPr>
          <w:p>
            <w:pPr>
              <w:jc w:val="center"/>
              <w:rPr>
                <w:rFonts w:hint="eastAsia" w:ascii="宋体" w:hAnsi="宋体" w:cs="宋体"/>
                <w:shd w:val="clear" w:color="auto" w:fill="FFFFFF"/>
              </w:rPr>
            </w:pPr>
          </w:p>
        </w:tc>
        <w:tc>
          <w:tcPr>
            <w:tcW w:w="55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8" w:type="pct"/>
            <w:vAlign w:val="center"/>
          </w:tcPr>
          <w:p>
            <w:pPr>
              <w:rPr>
                <w:rFonts w:hint="eastAsia" w:ascii="宋体" w:hAnsi="宋体" w:cs="宋体"/>
                <w:shd w:val="clear" w:color="auto" w:fill="FFFFFF"/>
              </w:rPr>
            </w:pPr>
          </w:p>
        </w:tc>
        <w:tc>
          <w:tcPr>
            <w:tcW w:w="557"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hint="eastAsia" w:ascii="宋体" w:hAnsi="宋体" w:cs="宋体"/>
                <w:shd w:val="clear" w:color="auto" w:fill="FFFFFF"/>
              </w:rPr>
            </w:pPr>
          </w:p>
        </w:tc>
        <w:tc>
          <w:tcPr>
            <w:tcW w:w="557" w:type="pct"/>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465" w:type="pct"/>
            <w:gridSpan w:val="7"/>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身份证号码</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从事本专业时间</w:t>
            </w:r>
          </w:p>
        </w:tc>
        <w:tc>
          <w:tcPr>
            <w:tcW w:w="986" w:type="pct"/>
            <w:gridSpan w:val="2"/>
            <w:vAlign w:val="center"/>
          </w:tcPr>
          <w:p>
            <w:pPr>
              <w:rPr>
                <w:rFonts w:hint="eastAsia" w:ascii="宋体" w:hAnsi="宋体" w:eastAsia="宋体" w:cs="宋体"/>
                <w:kern w:val="2"/>
                <w:sz w:val="21"/>
                <w:shd w:val="clear" w:color="auto" w:fill="FFFFFF"/>
                <w:lang w:val="en-US" w:eastAsia="zh-CN" w:bidi="ar-SA"/>
              </w:rPr>
            </w:pPr>
          </w:p>
        </w:tc>
        <w:tc>
          <w:tcPr>
            <w:tcW w:w="1308" w:type="pct"/>
            <w:gridSpan w:val="3"/>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本单位工作年限</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执业注册</w:t>
            </w:r>
          </w:p>
        </w:tc>
        <w:tc>
          <w:tcPr>
            <w:tcW w:w="986" w:type="pct"/>
            <w:gridSpan w:val="2"/>
            <w:vAlign w:val="center"/>
          </w:tcPr>
          <w:p>
            <w:pPr>
              <w:rPr>
                <w:rFonts w:hint="eastAsia" w:ascii="宋体" w:hAnsi="宋体" w:cs="宋体"/>
                <w:shd w:val="clear" w:color="auto" w:fill="FFFFFF"/>
              </w:rPr>
            </w:pPr>
          </w:p>
        </w:tc>
        <w:tc>
          <w:tcPr>
            <w:tcW w:w="1308"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职称</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9"/>
            <w:vAlign w:val="center"/>
          </w:tcPr>
          <w:p>
            <w:pPr>
              <w:rPr>
                <w:rFonts w:hint="eastAsia" w:ascii="宋体" w:hAns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时间</w:t>
            </w:r>
          </w:p>
        </w:tc>
        <w:tc>
          <w:tcPr>
            <w:tcW w:w="2345" w:type="pct"/>
            <w:gridSpan w:val="6"/>
            <w:vAlign w:val="center"/>
          </w:tcPr>
          <w:p>
            <w:pPr>
              <w:jc w:val="center"/>
              <w:rPr>
                <w:rFonts w:hint="eastAsia" w:ascii="宋体" w:hAnsi="宋体" w:cs="宋体"/>
                <w:shd w:val="clear" w:color="auto" w:fill="FFFFFF"/>
              </w:rPr>
            </w:pPr>
            <w:r>
              <w:rPr>
                <w:rFonts w:hint="eastAsia" w:ascii="宋体" w:hAnsi="宋体" w:cs="宋体"/>
                <w:shd w:val="clear" w:color="auto" w:fill="FFFFFF"/>
              </w:rPr>
              <w:t>参加过的类似项目名称及规模</w:t>
            </w:r>
          </w:p>
          <w:p>
            <w:pPr>
              <w:jc w:val="center"/>
              <w:rPr>
                <w:rFonts w:hint="eastAsia" w:ascii="宋体" w:hAnsi="宋体" w:cs="宋体"/>
                <w:shd w:val="clear" w:color="auto" w:fill="FFFFFF"/>
              </w:rPr>
            </w:pPr>
            <w:r>
              <w:rPr>
                <w:rFonts w:hint="eastAsia" w:ascii="宋体" w:hAnsi="宋体" w:cs="宋体"/>
                <w:shd w:val="clear" w:color="auto" w:fill="FFFFFF"/>
              </w:rPr>
              <w:t>（含获奖业绩）</w:t>
            </w:r>
          </w:p>
        </w:tc>
        <w:tc>
          <w:tcPr>
            <w:tcW w:w="1483" w:type="pct"/>
            <w:vAlign w:val="center"/>
          </w:tcPr>
          <w:p>
            <w:pPr>
              <w:rPr>
                <w:rFonts w:hint="eastAsia" w:ascii="宋体" w:hAns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eastAsia" w:ascii="宋体" w:hAns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2、附获奖业绩相关材料。</w:t>
      </w:r>
    </w:p>
    <w:p>
      <w:pPr>
        <w:wordWrap w:val="0"/>
        <w:spacing w:line="440" w:lineRule="exact"/>
        <w:ind w:firstLine="211" w:firstLineChars="100"/>
        <w:rPr>
          <w:rFonts w:hint="eastAsia" w:ascii="宋体" w:hAnsi="宋体" w:cs="宋体"/>
          <w:b/>
          <w:szCs w:val="21"/>
        </w:rPr>
      </w:pPr>
      <w:r>
        <w:rPr>
          <w:rFonts w:hint="eastAsia" w:ascii="宋体" w:hAnsi="宋体" w:cs="宋体"/>
          <w:b/>
          <w:szCs w:val="21"/>
          <w:shd w:val="clear" w:color="auto" w:fill="FFFFFF"/>
        </w:rPr>
        <w:t xml:space="preserve">  3、须提供上述人员社保凭证。</w:t>
      </w: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4"/>
          <w:szCs w:val="24"/>
          <w:shd w:val="clear" w:color="auto" w:fill="FFFFFF"/>
        </w:rPr>
      </w:pPr>
      <w:r>
        <w:rPr>
          <w:rFonts w:hint="eastAsia" w:ascii="宋体" w:hAnsi="宋体" w:cs="宋体"/>
          <w:b/>
          <w:sz w:val="28"/>
          <w:szCs w:val="28"/>
        </w:rPr>
        <w:t>附件3：</w:t>
      </w:r>
    </w:p>
    <w:p>
      <w:pPr>
        <w:spacing w:line="360" w:lineRule="auto"/>
        <w:jc w:val="center"/>
        <w:rPr>
          <w:rFonts w:hint="eastAsia" w:ascii="宋体" w:hAnsi="宋体" w:cs="宋体"/>
          <w:bCs/>
          <w:sz w:val="36"/>
          <w:szCs w:val="36"/>
        </w:rPr>
      </w:pPr>
      <w:r>
        <w:rPr>
          <w:rFonts w:hint="eastAsia" w:ascii="宋体" w:hAnsi="宋体" w:cs="宋体"/>
          <w:b/>
          <w:sz w:val="28"/>
          <w:szCs w:val="28"/>
          <w:lang w:val="en-US" w:eastAsia="zh-CN"/>
        </w:rPr>
        <w:t>项目安全</w:t>
      </w:r>
      <w:r>
        <w:rPr>
          <w:rFonts w:hint="eastAsia" w:ascii="宋体" w:hAnsi="宋体" w:cs="宋体"/>
          <w:b/>
          <w:sz w:val="28"/>
          <w:szCs w:val="28"/>
        </w:rPr>
        <w:t>人员情况表</w:t>
      </w:r>
    </w:p>
    <w:p>
      <w:pPr>
        <w:pStyle w:val="9"/>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116"/>
        <w:gridCol w:w="668"/>
        <w:gridCol w:w="658"/>
        <w:gridCol w:w="344"/>
        <w:gridCol w:w="1011"/>
        <w:gridCol w:w="1020"/>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7"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5" w:type="pct"/>
            <w:gridSpan w:val="2"/>
            <w:vAlign w:val="center"/>
          </w:tcPr>
          <w:p>
            <w:pPr>
              <w:jc w:val="center"/>
              <w:rPr>
                <w:rFonts w:hint="eastAsia" w:ascii="宋体" w:hAnsi="宋体" w:cs="宋体"/>
                <w:shd w:val="clear" w:color="auto" w:fill="FFFFFF"/>
              </w:rPr>
            </w:pPr>
          </w:p>
        </w:tc>
        <w:tc>
          <w:tcPr>
            <w:tcW w:w="553"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8" w:type="pct"/>
            <w:vAlign w:val="center"/>
          </w:tcPr>
          <w:p>
            <w:pPr>
              <w:rPr>
                <w:rFonts w:hint="eastAsia" w:ascii="宋体" w:hAnsi="宋体" w:cs="宋体"/>
                <w:shd w:val="clear" w:color="auto" w:fill="FFFFFF"/>
              </w:rPr>
            </w:pPr>
          </w:p>
        </w:tc>
        <w:tc>
          <w:tcPr>
            <w:tcW w:w="561"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3" w:type="pct"/>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7"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6" w:type="pct"/>
            <w:gridSpan w:val="5"/>
            <w:vAlign w:val="center"/>
          </w:tcPr>
          <w:p>
            <w:pPr>
              <w:rPr>
                <w:rFonts w:hint="eastAsia" w:ascii="宋体" w:hAnsi="宋体" w:cs="宋体"/>
                <w:shd w:val="clear" w:color="auto" w:fill="FFFFFF"/>
              </w:rPr>
            </w:pPr>
          </w:p>
        </w:tc>
        <w:tc>
          <w:tcPr>
            <w:tcW w:w="561" w:type="pct"/>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3" w:type="pct"/>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466" w:type="pct"/>
            <w:gridSpan w:val="7"/>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身份证号码</w:t>
            </w:r>
          </w:p>
        </w:tc>
        <w:tc>
          <w:tcPr>
            <w:tcW w:w="153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23" w:type="pct"/>
            <w:gridSpan w:val="2"/>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从事本专业时间</w:t>
            </w:r>
          </w:p>
        </w:tc>
        <w:tc>
          <w:tcPr>
            <w:tcW w:w="732" w:type="pct"/>
            <w:gridSpan w:val="2"/>
            <w:vAlign w:val="center"/>
          </w:tcPr>
          <w:p>
            <w:pPr>
              <w:rPr>
                <w:rFonts w:hint="eastAsia" w:ascii="宋体" w:hAnsi="宋体" w:eastAsia="宋体" w:cs="宋体"/>
                <w:kern w:val="2"/>
                <w:sz w:val="21"/>
                <w:shd w:val="clear" w:color="auto" w:fill="FFFFFF"/>
                <w:lang w:val="en-US" w:eastAsia="zh-CN" w:bidi="ar-SA"/>
              </w:rPr>
            </w:pPr>
          </w:p>
        </w:tc>
        <w:tc>
          <w:tcPr>
            <w:tcW w:w="1310" w:type="pct"/>
            <w:gridSpan w:val="3"/>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本单位工作年限</w:t>
            </w:r>
          </w:p>
        </w:tc>
        <w:tc>
          <w:tcPr>
            <w:tcW w:w="153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23" w:type="pct"/>
            <w:gridSpan w:val="2"/>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安全员证书具备情况</w:t>
            </w:r>
          </w:p>
        </w:tc>
        <w:tc>
          <w:tcPr>
            <w:tcW w:w="732" w:type="pct"/>
            <w:gridSpan w:val="2"/>
            <w:vAlign w:val="center"/>
          </w:tcPr>
          <w:p>
            <w:pPr>
              <w:rPr>
                <w:rFonts w:hint="eastAsia" w:ascii="宋体" w:hAnsi="宋体" w:cs="宋体"/>
                <w:shd w:val="clear" w:color="auto" w:fill="FFFFFF"/>
              </w:rPr>
            </w:pPr>
          </w:p>
        </w:tc>
        <w:tc>
          <w:tcPr>
            <w:tcW w:w="1310" w:type="pct"/>
            <w:gridSpan w:val="3"/>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安全员培训合格证书具备情况</w:t>
            </w:r>
          </w:p>
        </w:tc>
        <w:tc>
          <w:tcPr>
            <w:tcW w:w="1533"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default" w:ascii="宋体" w:hAnsi="宋体" w:eastAsia="宋体" w:cs="宋体"/>
          <w:b/>
          <w:szCs w:val="21"/>
          <w:shd w:val="clear" w:color="auto" w:fill="FFFFFF"/>
          <w:lang w:val="en-US" w:eastAsia="zh-CN"/>
        </w:rPr>
      </w:pPr>
      <w:r>
        <w:rPr>
          <w:rFonts w:hint="eastAsia" w:ascii="宋体" w:hAnsi="宋体" w:cs="宋体"/>
          <w:b/>
          <w:iCs/>
          <w:szCs w:val="21"/>
          <w:shd w:val="clear" w:color="auto" w:fill="FFFFFF"/>
        </w:rPr>
        <w:t>注：</w:t>
      </w:r>
      <w:r>
        <w:rPr>
          <w:rFonts w:hint="eastAsia" w:ascii="宋体" w:hAnsi="宋体" w:cs="宋体"/>
          <w:b/>
          <w:iCs/>
          <w:szCs w:val="21"/>
          <w:shd w:val="clear" w:color="auto" w:fill="FFFFFF"/>
          <w:lang w:val="en-US" w:eastAsia="zh-CN"/>
        </w:rPr>
        <w:t>1.附相关证书；2.社保缴纳凭证</w:t>
      </w: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p>
    <w:p>
      <w:pPr>
        <w:snapToGrid w:val="0"/>
        <w:spacing w:before="50" w:after="50" w:line="320" w:lineRule="atLeast"/>
        <w:jc w:val="left"/>
        <w:rPr>
          <w:rFonts w:hint="eastAsia" w:ascii="宋体" w:hAnsi="宋体" w:cs="宋体"/>
          <w:b/>
          <w:sz w:val="28"/>
          <w:szCs w:val="28"/>
        </w:rPr>
      </w:pPr>
      <w:r>
        <w:rPr>
          <w:rFonts w:hint="eastAsia" w:ascii="宋体" w:hAnsi="宋体" w:cs="宋体"/>
          <w:b/>
          <w:sz w:val="28"/>
          <w:szCs w:val="28"/>
        </w:rPr>
        <w:t>附件4：</w:t>
      </w:r>
    </w:p>
    <w:p>
      <w:pPr>
        <w:snapToGrid w:val="0"/>
        <w:spacing w:before="50" w:after="50" w:line="320" w:lineRule="atLeast"/>
        <w:jc w:val="center"/>
        <w:rPr>
          <w:rFonts w:hint="eastAsia" w:ascii="宋体" w:hAnsi="宋体" w:cs="宋体"/>
          <w:sz w:val="30"/>
          <w:szCs w:val="30"/>
        </w:rPr>
      </w:pPr>
      <w:r>
        <w:rPr>
          <w:rFonts w:hint="eastAsia" w:ascii="宋体" w:hAnsi="宋体" w:cs="宋体"/>
          <w:b/>
          <w:sz w:val="28"/>
          <w:szCs w:val="28"/>
        </w:rPr>
        <w:t>主要清扫保洁设备、其他相关作业机具配备表</w:t>
      </w:r>
    </w:p>
    <w:p>
      <w:pPr>
        <w:pStyle w:val="9"/>
        <w:snapToGrid w:val="0"/>
        <w:spacing w:line="320" w:lineRule="atLeast"/>
        <w:rPr>
          <w:rFonts w:hint="eastAsia" w:ascii="宋体" w:hAnsi="宋体" w:eastAsia="宋体" w:cs="宋体"/>
          <w:sz w:val="21"/>
          <w:szCs w:val="21"/>
          <w:u w:val="single"/>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p>
      <w:pPr>
        <w:rPr>
          <w:rFonts w:hint="eastAsia"/>
        </w:rPr>
      </w:pP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989"/>
        <w:gridCol w:w="1748"/>
        <w:gridCol w:w="208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hint="eastAsia" w:ascii="宋体" w:hAnsi="宋体" w:cs="宋体"/>
                <w:szCs w:val="21"/>
              </w:rPr>
              <w:t>序号</w:t>
            </w:r>
          </w:p>
        </w:tc>
        <w:tc>
          <w:tcPr>
            <w:tcW w:w="1098" w:type="pct"/>
            <w:vAlign w:val="center"/>
          </w:tcPr>
          <w:p>
            <w:pPr>
              <w:jc w:val="center"/>
              <w:rPr>
                <w:rFonts w:hint="eastAsia" w:ascii="宋体" w:hAnsi="宋体" w:eastAsia="宋体" w:cs="宋体"/>
                <w:szCs w:val="21"/>
                <w:lang w:val="en-US" w:eastAsia="zh-CN"/>
              </w:rPr>
            </w:pPr>
            <w:r>
              <w:rPr>
                <w:rFonts w:hint="eastAsia" w:ascii="宋体" w:hAnsi="宋体" w:cs="宋体"/>
                <w:szCs w:val="21"/>
              </w:rPr>
              <w:t>车辆</w:t>
            </w:r>
            <w:r>
              <w:rPr>
                <w:rFonts w:hint="eastAsia" w:ascii="宋体" w:hAnsi="宋体" w:cs="宋体"/>
                <w:szCs w:val="21"/>
                <w:lang w:val="en-US" w:eastAsia="zh-CN"/>
              </w:rPr>
              <w:t>类别</w:t>
            </w:r>
          </w:p>
        </w:tc>
        <w:tc>
          <w:tcPr>
            <w:tcW w:w="965" w:type="pct"/>
            <w:vAlign w:val="center"/>
          </w:tcPr>
          <w:p>
            <w:pPr>
              <w:jc w:val="center"/>
              <w:rPr>
                <w:rFonts w:hint="eastAsia" w:ascii="宋体" w:hAnsi="宋体" w:eastAsia="宋体" w:cs="宋体"/>
                <w:szCs w:val="21"/>
                <w:lang w:eastAsia="zh-CN"/>
              </w:rPr>
            </w:pPr>
            <w:r>
              <w:rPr>
                <w:rFonts w:hint="eastAsia" w:ascii="宋体" w:hAnsi="宋体" w:cs="宋体"/>
                <w:szCs w:val="21"/>
              </w:rPr>
              <w:t>规格型号</w:t>
            </w:r>
            <w:r>
              <w:rPr>
                <w:rFonts w:hint="eastAsia" w:ascii="宋体" w:hAnsi="宋体" w:cs="宋体"/>
                <w:szCs w:val="21"/>
                <w:lang w:eastAsia="zh-CN"/>
              </w:rPr>
              <w:t>（</w:t>
            </w:r>
            <w:r>
              <w:rPr>
                <w:rFonts w:hint="eastAsia" w:ascii="宋体" w:hAnsi="宋体" w:cs="宋体"/>
                <w:szCs w:val="21"/>
                <w:lang w:val="en-US" w:eastAsia="zh-CN"/>
              </w:rPr>
              <w:t>载重</w:t>
            </w:r>
            <w:r>
              <w:rPr>
                <w:rFonts w:hint="eastAsia" w:ascii="宋体" w:hAnsi="宋体" w:cs="宋体"/>
                <w:szCs w:val="21"/>
                <w:lang w:eastAsia="zh-CN"/>
              </w:rPr>
              <w:t>）</w:t>
            </w:r>
          </w:p>
        </w:tc>
        <w:tc>
          <w:tcPr>
            <w:tcW w:w="1148" w:type="pc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招标文件要求数量</w:t>
            </w:r>
          </w:p>
        </w:tc>
        <w:tc>
          <w:tcPr>
            <w:tcW w:w="896" w:type="pct"/>
            <w:vAlign w:val="center"/>
          </w:tcPr>
          <w:p>
            <w:pPr>
              <w:jc w:val="center"/>
              <w:rPr>
                <w:rFonts w:hint="eastAsia" w:ascii="宋体" w:hAnsi="宋体" w:cs="宋体"/>
                <w:szCs w:val="21"/>
              </w:rPr>
            </w:pPr>
            <w:r>
              <w:rPr>
                <w:rFonts w:hint="eastAsia" w:ascii="宋体" w:hAnsi="宋体" w:cs="宋体"/>
                <w:szCs w:val="21"/>
                <w:lang w:val="en-US" w:eastAsia="zh-CN"/>
              </w:rPr>
              <w:t>承诺</w:t>
            </w: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98" w:type="pct"/>
            <w:vAlign w:val="center"/>
          </w:tcPr>
          <w:p>
            <w:pPr>
              <w:jc w:val="center"/>
              <w:rPr>
                <w:rFonts w:hint="eastAsia" w:ascii="宋体" w:hAnsi="宋体" w:cs="宋体"/>
                <w:szCs w:val="21"/>
              </w:rPr>
            </w:pPr>
            <w:r>
              <w:rPr>
                <w:rFonts w:hint="eastAsia" w:ascii="宋体" w:hAnsi="宋体" w:cs="宋体"/>
                <w:szCs w:val="21"/>
                <w:lang w:val="en-US" w:eastAsia="zh-CN"/>
              </w:rPr>
              <w:t>洒水车</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098" w:type="pct"/>
            <w:vAlign w:val="center"/>
          </w:tcPr>
          <w:p>
            <w:pPr>
              <w:jc w:val="center"/>
              <w:rPr>
                <w:rFonts w:hint="default" w:ascii="宋体" w:hAnsi="宋体" w:cs="宋体"/>
                <w:szCs w:val="21"/>
                <w:lang w:val="en-US"/>
              </w:rPr>
            </w:pPr>
            <w:r>
              <w:rPr>
                <w:rFonts w:hint="eastAsia" w:ascii="宋体" w:hAnsi="宋体" w:cs="宋体"/>
                <w:szCs w:val="21"/>
                <w:lang w:val="en-US" w:eastAsia="zh-CN"/>
              </w:rPr>
              <w:t>打药机或者喷药机</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98" w:type="pct"/>
            <w:vAlign w:val="center"/>
          </w:tcPr>
          <w:p>
            <w:pPr>
              <w:jc w:val="center"/>
              <w:rPr>
                <w:rFonts w:hint="default" w:ascii="宋体" w:hAnsi="宋体" w:cs="宋体"/>
                <w:szCs w:val="21"/>
                <w:lang w:val="en-US" w:eastAsia="zh-CN"/>
              </w:rPr>
            </w:pPr>
            <w:r>
              <w:rPr>
                <w:rFonts w:hint="eastAsia" w:ascii="宋体" w:hAnsi="宋体" w:cs="宋体"/>
                <w:szCs w:val="21"/>
                <w:lang w:val="en-US" w:eastAsia="zh-CN"/>
              </w:rPr>
              <w:t>登高作业车</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098" w:type="pct"/>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水泵</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098" w:type="pct"/>
            <w:vAlign w:val="top"/>
          </w:tcPr>
          <w:p>
            <w:pPr>
              <w:jc w:val="center"/>
              <w:rPr>
                <w:rFonts w:hint="default" w:ascii="宋体" w:hAnsi="宋体" w:cs="宋体"/>
                <w:szCs w:val="21"/>
                <w:lang w:val="en-US" w:eastAsia="zh-CN"/>
              </w:rPr>
            </w:pPr>
            <w:r>
              <w:rPr>
                <w:rFonts w:hint="eastAsia" w:ascii="宋体" w:hAnsi="宋体" w:cs="宋体"/>
                <w:szCs w:val="21"/>
                <w:lang w:val="en-US" w:eastAsia="zh-CN"/>
              </w:rPr>
              <w:t>绿篱修剪机</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1098" w:type="pct"/>
            <w:vAlign w:val="top"/>
          </w:tcPr>
          <w:p>
            <w:pPr>
              <w:jc w:val="center"/>
              <w:rPr>
                <w:rFonts w:hint="default" w:ascii="宋体" w:hAnsi="宋体" w:cs="宋体"/>
                <w:szCs w:val="21"/>
                <w:lang w:val="en-US" w:eastAsia="zh-CN"/>
              </w:rPr>
            </w:pPr>
            <w:r>
              <w:rPr>
                <w:rFonts w:hint="eastAsia" w:ascii="宋体" w:hAnsi="宋体" w:cs="宋体"/>
                <w:szCs w:val="21"/>
                <w:lang w:val="en-US" w:eastAsia="zh-CN"/>
              </w:rPr>
              <w:t>草坪修剪机</w:t>
            </w: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hint="eastAsia" w:ascii="宋体" w:hAnsi="宋体" w:cs="宋体"/>
                <w:szCs w:val="21"/>
              </w:rPr>
              <w:t>序号</w:t>
            </w:r>
          </w:p>
        </w:tc>
        <w:tc>
          <w:tcPr>
            <w:tcW w:w="1098" w:type="pc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作业工具类别</w:t>
            </w:r>
          </w:p>
        </w:tc>
        <w:tc>
          <w:tcPr>
            <w:tcW w:w="2113" w:type="pct"/>
            <w:gridSpan w:val="2"/>
            <w:vAlign w:val="center"/>
          </w:tcPr>
          <w:p>
            <w:pPr>
              <w:jc w:val="center"/>
              <w:rPr>
                <w:rFonts w:hint="eastAsia" w:ascii="宋体" w:hAnsi="宋体" w:cs="宋体"/>
                <w:szCs w:val="21"/>
              </w:rPr>
            </w:pPr>
            <w:r>
              <w:rPr>
                <w:rFonts w:hint="eastAsia" w:ascii="宋体" w:hAnsi="宋体" w:cs="宋体"/>
                <w:szCs w:val="21"/>
              </w:rPr>
              <w:t>规格型号</w:t>
            </w:r>
          </w:p>
        </w:tc>
        <w:tc>
          <w:tcPr>
            <w:tcW w:w="896"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ascii="Arial" w:hAnsi="Arial" w:cs="Arial"/>
                <w:szCs w:val="21"/>
              </w:rPr>
              <w:t>……</w:t>
            </w:r>
          </w:p>
        </w:tc>
        <w:tc>
          <w:tcPr>
            <w:tcW w:w="1098" w:type="pct"/>
            <w:vAlign w:val="center"/>
          </w:tcPr>
          <w:p>
            <w:pPr>
              <w:jc w:val="center"/>
              <w:rPr>
                <w:rFonts w:hint="eastAsia" w:ascii="宋体" w:hAnsi="宋体" w:cs="宋体"/>
                <w:szCs w:val="21"/>
              </w:rPr>
            </w:pPr>
          </w:p>
        </w:tc>
        <w:tc>
          <w:tcPr>
            <w:tcW w:w="965" w:type="pct"/>
            <w:vAlign w:val="center"/>
          </w:tcPr>
          <w:p>
            <w:pPr>
              <w:jc w:val="center"/>
              <w:rPr>
                <w:rFonts w:hint="eastAsia" w:ascii="宋体" w:hAnsi="宋体" w:cs="宋体"/>
                <w:szCs w:val="21"/>
              </w:rPr>
            </w:pPr>
          </w:p>
        </w:tc>
        <w:tc>
          <w:tcPr>
            <w:tcW w:w="1148"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bl>
    <w:p>
      <w:pPr>
        <w:widowControl/>
        <w:jc w:val="left"/>
        <w:rPr>
          <w:rFonts w:hint="eastAsia" w:ascii="宋体" w:hAnsi="宋体" w:cs="宋体"/>
          <w:kern w:val="0"/>
          <w:sz w:val="24"/>
        </w:rPr>
      </w:pPr>
    </w:p>
    <w:p>
      <w:pPr>
        <w:widowControl/>
        <w:jc w:val="left"/>
        <w:rPr>
          <w:rFonts w:hint="eastAsia" w:ascii="宋体" w:hAnsi="宋体" w:cs="宋体"/>
          <w:kern w:val="0"/>
          <w:szCs w:val="21"/>
        </w:rPr>
      </w:pPr>
      <w:r>
        <w:rPr>
          <w:rFonts w:hint="eastAsia" w:ascii="宋体" w:hAnsi="宋体" w:cs="宋体"/>
          <w:kern w:val="0"/>
          <w:szCs w:val="21"/>
        </w:rPr>
        <w:t>注：提供车辆行驶证复印件或车辆购置发票、清扫保洁设备和相关作业器具的购置发票等证明文件复印件，原件备查。</w:t>
      </w:r>
    </w:p>
    <w:p>
      <w:pPr>
        <w:spacing w:line="600" w:lineRule="exact"/>
        <w:jc w:val="center"/>
        <w:rPr>
          <w:rFonts w:hint="eastAsia" w:ascii="宋体" w:hAnsi="宋体" w:cs="宋体"/>
          <w:szCs w:val="21"/>
        </w:rPr>
      </w:pPr>
      <w:r>
        <w:rPr>
          <w:rFonts w:hint="eastAsia" w:ascii="宋体" w:hAnsi="宋体" w:cs="宋体"/>
          <w:szCs w:val="21"/>
        </w:rPr>
        <w:t xml:space="preserve">                                                      </w:t>
      </w:r>
    </w:p>
    <w:p>
      <w:pPr>
        <w:spacing w:line="600" w:lineRule="exact"/>
        <w:jc w:val="center"/>
        <w:rPr>
          <w:rFonts w:hint="eastAsia" w:ascii="宋体" w:hAnsi="宋体" w:cs="宋体"/>
          <w:szCs w:val="21"/>
        </w:rPr>
      </w:pPr>
      <w:r>
        <w:rPr>
          <w:rFonts w:hint="eastAsia" w:ascii="宋体" w:hAnsi="宋体" w:cs="宋体"/>
          <w:szCs w:val="21"/>
        </w:rPr>
        <w:t xml:space="preserve">                                            授权代表（签字）： </w:t>
      </w:r>
    </w:p>
    <w:p>
      <w:pPr>
        <w:spacing w:line="600" w:lineRule="exact"/>
        <w:jc w:val="center"/>
        <w:rPr>
          <w:rFonts w:hint="eastAsia" w:ascii="宋体" w:hAnsi="宋体" w:cs="宋体"/>
          <w:szCs w:val="21"/>
        </w:rPr>
      </w:pPr>
      <w:r>
        <w:rPr>
          <w:rFonts w:hint="eastAsia" w:ascii="宋体" w:hAnsi="宋体" w:cs="宋体"/>
          <w:szCs w:val="21"/>
        </w:rPr>
        <w:t xml:space="preserve">                                              投标人（盖章）：</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年  月   日                                    </w:t>
      </w:r>
    </w:p>
    <w:bookmarkEnd w:id="58"/>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32"/>
          <w:szCs w:val="32"/>
        </w:rPr>
      </w:pPr>
      <w:r>
        <w:rPr>
          <w:rFonts w:hint="eastAsia" w:ascii="宋体" w:hAnsi="宋体" w:cs="宋体"/>
          <w:b/>
          <w:sz w:val="28"/>
          <w:szCs w:val="28"/>
        </w:rPr>
        <w:t>附件三：</w:t>
      </w:r>
      <w:r>
        <w:rPr>
          <w:rFonts w:hint="eastAsia" w:ascii="宋体" w:hAnsi="宋体" w:cs="宋体"/>
          <w:b/>
          <w:sz w:val="32"/>
          <w:szCs w:val="32"/>
        </w:rPr>
        <w:t xml:space="preserve">                                      正本或副本</w:t>
      </w:r>
    </w:p>
    <w:p>
      <w:pPr>
        <w:ind w:right="-110"/>
        <w:jc w:val="center"/>
        <w:rPr>
          <w:rFonts w:hint="eastAsia" w:ascii="宋体" w:hAnsi="宋体" w:cs="宋体"/>
          <w:spacing w:val="40"/>
          <w:sz w:val="32"/>
          <w:szCs w:val="32"/>
        </w:rPr>
      </w:pPr>
      <w:r>
        <w:rPr>
          <w:rFonts w:hint="eastAsia" w:ascii="宋体" w:hAnsi="宋体" w:cs="宋体"/>
          <w:spacing w:val="40"/>
          <w:sz w:val="32"/>
          <w:szCs w:val="32"/>
        </w:rPr>
        <w:t>***项目名称</w:t>
      </w:r>
    </w:p>
    <w:p>
      <w:pPr>
        <w:spacing w:beforeLines="100"/>
        <w:ind w:right="-108"/>
        <w:jc w:val="center"/>
        <w:rPr>
          <w:rFonts w:hint="eastAsia" w:ascii="宋体" w:hAnsi="宋体" w:eastAsia="宋体" w:cs="宋体"/>
          <w:sz w:val="32"/>
          <w:szCs w:val="32"/>
          <w:u w:val="single"/>
          <w:lang w:eastAsia="zh-CN"/>
        </w:rPr>
      </w:pPr>
      <w:r>
        <w:rPr>
          <w:rFonts w:hint="eastAsia" w:ascii="宋体" w:hAnsi="宋体" w:cs="宋体"/>
          <w:sz w:val="32"/>
          <w:szCs w:val="32"/>
        </w:rPr>
        <w:t>项目编号：</w:t>
      </w:r>
      <w:r>
        <w:rPr>
          <w:rFonts w:hint="eastAsia" w:ascii="宋体" w:hAnsi="宋体" w:cs="宋体"/>
          <w:sz w:val="32"/>
          <w:szCs w:val="32"/>
          <w:lang w:eastAsia="zh-CN"/>
        </w:rPr>
        <w:t>AJGK2022-017</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报</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价</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文</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件</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pStyle w:val="16"/>
        <w:snapToGrid w:val="0"/>
        <w:ind w:left="-859" w:leftChars="-1190" w:hanging="1640" w:hangingChars="781"/>
        <w:rPr>
          <w:rFonts w:hint="eastAsia" w:ascii="宋体" w:hAnsi="宋体" w:cs="宋体"/>
          <w:szCs w:val="32"/>
        </w:rPr>
      </w:pPr>
    </w:p>
    <w:p>
      <w:pPr>
        <w:pStyle w:val="16"/>
        <w:snapToGrid w:val="0"/>
        <w:ind w:left="0" w:leftChars="0"/>
        <w:jc w:val="left"/>
        <w:rPr>
          <w:rFonts w:hint="eastAsia" w:ascii="宋体" w:hAnsi="宋体" w:cs="宋体"/>
          <w:szCs w:val="32"/>
        </w:rPr>
      </w:pPr>
    </w:p>
    <w:p>
      <w:pPr>
        <w:pStyle w:val="16"/>
        <w:snapToGrid w:val="0"/>
        <w:ind w:left="0" w:leftChars="0"/>
        <w:jc w:val="left"/>
        <w:rPr>
          <w:rFonts w:hint="eastAsia" w:ascii="宋体" w:hAnsi="宋体" w:cs="宋体"/>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numPr>
          <w:ilvl w:val="0"/>
          <w:numId w:val="11"/>
        </w:numPr>
        <w:spacing w:line="300" w:lineRule="exact"/>
        <w:ind w:firstLine="422" w:firstLineChars="200"/>
        <w:rPr>
          <w:rFonts w:hint="eastAsia" w:ascii="宋体" w:hAnsi="宋体" w:cs="宋体"/>
          <w:b/>
          <w:szCs w:val="21"/>
        </w:rPr>
      </w:pPr>
      <w:r>
        <w:rPr>
          <w:rFonts w:hint="eastAsia" w:ascii="宋体" w:hAnsi="宋体" w:cs="宋体"/>
          <w:b/>
          <w:szCs w:val="21"/>
        </w:rPr>
        <w:t>报价文件：</w:t>
      </w:r>
    </w:p>
    <w:p>
      <w:pPr>
        <w:snapToGrid w:val="0"/>
        <w:spacing w:line="320" w:lineRule="exact"/>
        <w:ind w:firstLine="420" w:firstLineChars="200"/>
        <w:jc w:val="left"/>
        <w:rPr>
          <w:rFonts w:hint="eastAsia"/>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）开标一览表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）报价明细表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）投标人针对报价需要说明的其他文件和说明（格式自拟）；</w:t>
      </w:r>
    </w:p>
    <w:p>
      <w:pPr>
        <w:spacing w:line="320" w:lineRule="exact"/>
        <w:ind w:firstLine="420" w:firstLineChars="200"/>
        <w:rPr>
          <w:rFonts w:hint="eastAsia" w:ascii="宋体" w:hAnsi="宋体" w:cs="宋体"/>
        </w:rPr>
      </w:pPr>
    </w:p>
    <w:p>
      <w:pPr>
        <w:pStyle w:val="2"/>
        <w:snapToGrid w:val="0"/>
        <w:spacing w:beforeLines="0" w:after="120" w:line="240" w:lineRule="auto"/>
        <w:rPr>
          <w:rFonts w:hint="eastAsia" w:hAnsi="宋体" w:cs="宋体"/>
          <w:b/>
          <w:sz w:val="28"/>
          <w:szCs w:val="28"/>
        </w:rPr>
      </w:pPr>
    </w:p>
    <w:p>
      <w:pPr>
        <w:pStyle w:val="2"/>
        <w:snapToGrid w:val="0"/>
        <w:spacing w:beforeLines="0" w:after="120" w:line="240" w:lineRule="auto"/>
        <w:rPr>
          <w:rFonts w:hint="eastAsia" w:hAnsi="宋体" w:cs="宋体"/>
          <w:b/>
          <w:sz w:val="28"/>
          <w:szCs w:val="28"/>
        </w:rPr>
      </w:pPr>
      <w:r>
        <w:rPr>
          <w:rFonts w:hint="eastAsia" w:hAnsi="宋体" w:cs="宋体"/>
          <w:b/>
          <w:sz w:val="28"/>
          <w:szCs w:val="28"/>
        </w:rPr>
        <w:t>附件</w:t>
      </w:r>
      <w:r>
        <w:rPr>
          <w:rFonts w:hint="eastAsia" w:hAnsi="宋体" w:cs="宋体"/>
          <w:b/>
          <w:sz w:val="28"/>
          <w:szCs w:val="28"/>
          <w:lang w:val="en-US" w:eastAsia="zh-CN"/>
        </w:rPr>
        <w:t>1</w:t>
      </w:r>
      <w:r>
        <w:rPr>
          <w:rFonts w:hint="eastAsia" w:hAnsi="宋体" w:cs="宋体"/>
          <w:b/>
          <w:sz w:val="28"/>
          <w:szCs w:val="28"/>
        </w:rPr>
        <w:t>：</w:t>
      </w:r>
    </w:p>
    <w:p>
      <w:pPr>
        <w:snapToGrid w:val="0"/>
        <w:spacing w:line="440" w:lineRule="exact"/>
        <w:jc w:val="center"/>
        <w:rPr>
          <w:rFonts w:hint="eastAsia" w:ascii="宋体" w:hAnsi="宋体" w:cs="宋体"/>
          <w:b/>
          <w:color w:val="000000"/>
          <w:sz w:val="32"/>
          <w:szCs w:val="32"/>
        </w:rPr>
      </w:pPr>
      <w:r>
        <w:rPr>
          <w:rFonts w:hint="eastAsia" w:ascii="宋体" w:hAnsi="宋体" w:cs="宋体"/>
          <w:b/>
          <w:sz w:val="28"/>
          <w:szCs w:val="28"/>
        </w:rPr>
        <w:t>开标一览表</w:t>
      </w:r>
    </w:p>
    <w:p>
      <w:pPr>
        <w:snapToGrid w:val="0"/>
        <w:spacing w:line="440" w:lineRule="exact"/>
        <w:rPr>
          <w:rFonts w:hint="eastAsia" w:ascii="宋体" w:hAnsi="宋体" w:cs="宋体"/>
          <w:color w:val="000000"/>
          <w:szCs w:val="21"/>
        </w:rPr>
      </w:pPr>
    </w:p>
    <w:p>
      <w:pPr>
        <w:snapToGrid w:val="0"/>
        <w:spacing w:line="440" w:lineRule="exact"/>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标项：</w:t>
      </w:r>
      <w:r>
        <w:rPr>
          <w:rFonts w:hint="eastAsia" w:ascii="宋体" w:hAnsi="宋体" w:cs="宋体"/>
          <w:color w:val="000000"/>
          <w:szCs w:val="21"/>
          <w:u w:val="single"/>
        </w:rPr>
        <w:t xml:space="preserve">              </w:t>
      </w:r>
    </w:p>
    <w:p>
      <w:pPr>
        <w:snapToGrid w:val="0"/>
        <w:spacing w:afterLines="50" w:line="44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单位：元</w:t>
      </w:r>
    </w:p>
    <w:tbl>
      <w:tblPr>
        <w:tblStyle w:val="27"/>
        <w:tblW w:w="91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3"/>
        <w:gridCol w:w="1235"/>
        <w:gridCol w:w="1385"/>
        <w:gridCol w:w="750"/>
        <w:gridCol w:w="144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序号</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名称</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区域范围</w:t>
            </w: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项目负责人</w:t>
            </w: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数量</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总价（元）</w:t>
            </w: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lang w:val="en-US" w:eastAsia="zh-CN"/>
              </w:rPr>
              <w:t>递铺街道双河和雾山寺（安城）片区绿化养护服务</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both"/>
              <w:rPr>
                <w:rFonts w:hint="eastAsia" w:ascii="宋体" w:hAnsi="宋体" w:cs="宋体"/>
                <w:color w:val="000000"/>
                <w:szCs w:val="22"/>
              </w:rPr>
            </w:pP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1年</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1" w:type="dxa"/>
            <w:gridSpan w:val="7"/>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hint="eastAsia" w:ascii="宋体" w:hAnsi="宋体" w:cs="宋体"/>
                <w:color w:val="000000"/>
                <w:szCs w:val="22"/>
              </w:rPr>
            </w:pPr>
            <w:r>
              <w:rPr>
                <w:rFonts w:hint="eastAsia" w:ascii="宋体" w:hAnsi="宋体" w:cs="宋体"/>
                <w:color w:val="000000"/>
                <w:szCs w:val="22"/>
              </w:rPr>
              <w:t>投标总价  人民币：（大写）           ￥：</w:t>
            </w:r>
          </w:p>
        </w:tc>
      </w:tr>
    </w:tbl>
    <w:p>
      <w:pPr>
        <w:rPr>
          <w:rFonts w:hint="eastAsia" w:ascii="宋体" w:hAnsi="宋体" w:cs="宋体"/>
          <w:color w:val="000000"/>
          <w:szCs w:val="21"/>
        </w:rPr>
      </w:pPr>
    </w:p>
    <w:p>
      <w:pPr>
        <w:snapToGrid w:val="0"/>
        <w:spacing w:line="440" w:lineRule="exact"/>
        <w:rPr>
          <w:rFonts w:hint="eastAsia" w:ascii="宋体" w:hAnsi="宋体" w:cs="宋体"/>
          <w:color w:val="000000"/>
          <w:szCs w:val="22"/>
        </w:rPr>
      </w:pPr>
      <w:bookmarkStart w:id="59" w:name="_Toc293916984"/>
      <w:r>
        <w:rPr>
          <w:rFonts w:hint="eastAsia" w:ascii="宋体" w:hAnsi="宋体" w:cs="宋体"/>
          <w:color w:val="000000"/>
          <w:szCs w:val="21"/>
        </w:rPr>
        <w:t>注：</w:t>
      </w:r>
      <w:bookmarkEnd w:id="59"/>
      <w:r>
        <w:rPr>
          <w:rFonts w:hint="eastAsia" w:ascii="宋体" w:hAnsi="宋体" w:cs="宋体"/>
          <w:color w:val="000000"/>
          <w:szCs w:val="22"/>
        </w:rPr>
        <w:t>1、本表的总价与投标报价明细表的合计数必须一致。</w:t>
      </w:r>
    </w:p>
    <w:p>
      <w:pPr>
        <w:numPr>
          <w:ilvl w:val="0"/>
          <w:numId w:val="0"/>
        </w:num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lang w:val="en-US" w:eastAsia="zh-CN"/>
        </w:rPr>
        <w:t>2、</w:t>
      </w:r>
      <w:r>
        <w:rPr>
          <w:rFonts w:hint="eastAsia" w:ascii="宋体" w:hAnsi="宋体" w:cs="宋体"/>
          <w:color w:val="000000"/>
          <w:szCs w:val="22"/>
        </w:rPr>
        <w:t>本表需分标项填写。</w:t>
      </w:r>
    </w:p>
    <w:p>
      <w:p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rPr>
        <w:t>3、投标报价是履行合同的最终价格，应包括人工工资、人员劳保福利开支、工具器具购置维护费用、</w:t>
      </w:r>
      <w:r>
        <w:rPr>
          <w:rFonts w:hint="eastAsia" w:ascii="宋体" w:hAnsi="宋体" w:cs="宋体"/>
          <w:color w:val="000000"/>
          <w:szCs w:val="22"/>
          <w:lang w:val="en-US" w:eastAsia="zh-CN"/>
        </w:rPr>
        <w:t>加装支撑杆费用、</w:t>
      </w:r>
      <w:r>
        <w:rPr>
          <w:rFonts w:hint="eastAsia" w:ascii="宋体" w:hAnsi="宋体" w:cs="宋体"/>
          <w:color w:val="000000"/>
          <w:szCs w:val="22"/>
        </w:rPr>
        <w:t>保险费、税费、管理费、利润等一切费用。</w:t>
      </w:r>
    </w:p>
    <w:p>
      <w:pPr>
        <w:snapToGrid w:val="0"/>
        <w:spacing w:line="440" w:lineRule="exact"/>
        <w:rPr>
          <w:rFonts w:hint="eastAsia" w:ascii="宋体" w:hAnsi="宋体" w:cs="宋体"/>
          <w:color w:val="000000"/>
          <w:szCs w:val="21"/>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p>
    <w:p>
      <w:pPr>
        <w:snapToGrid w:val="0"/>
        <w:spacing w:line="440" w:lineRule="exact"/>
        <w:rPr>
          <w:rFonts w:hint="eastAsia"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ind w:firstLine="5880" w:firstLineChars="2800"/>
        <w:rPr>
          <w:rFonts w:hint="eastAsia" w:ascii="宋体" w:hAnsi="宋体" w:cs="宋体"/>
          <w:color w:val="000000"/>
          <w:szCs w:val="21"/>
        </w:rPr>
      </w:pPr>
      <w:r>
        <w:rPr>
          <w:rFonts w:hint="eastAsia" w:ascii="宋体" w:hAnsi="宋体" w:cs="宋体"/>
          <w:color w:val="000000"/>
          <w:szCs w:val="21"/>
        </w:rPr>
        <w:t>日</w:t>
      </w:r>
      <w:r>
        <w:rPr>
          <w:rFonts w:hint="eastAsia" w:ascii="宋体" w:hAnsi="宋体" w:cs="宋体"/>
          <w:color w:val="000000"/>
          <w:szCs w:val="22"/>
        </w:rPr>
        <w:t>期：_____年___月___日</w:t>
      </w:r>
    </w:p>
    <w:p>
      <w:pPr>
        <w:snapToGrid w:val="0"/>
        <w:spacing w:line="440" w:lineRule="exact"/>
        <w:rPr>
          <w:rFonts w:hint="eastAsia" w:ascii="微软雅黑" w:hAnsi="微软雅黑" w:eastAsia="微软雅黑"/>
          <w:sz w:val="24"/>
        </w:rPr>
      </w:pPr>
    </w:p>
    <w:bookmarkEnd w:id="57"/>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2"/>
        <w:snapToGrid w:val="0"/>
        <w:spacing w:beforeLines="0" w:after="120" w:line="240" w:lineRule="auto"/>
        <w:rPr>
          <w:rFonts w:hint="default" w:ascii="宋体" w:hAnsi="宋体" w:eastAsia="宋体" w:cs="宋体"/>
          <w:b/>
          <w:sz w:val="32"/>
          <w:szCs w:val="32"/>
          <w:lang w:val="en-US" w:eastAsia="zh-CN"/>
        </w:rPr>
        <w:sectPr>
          <w:headerReference r:id="rId8" w:type="default"/>
          <w:footerReference r:id="rId9" w:type="default"/>
          <w:footerReference r:id="rId10" w:type="even"/>
          <w:pgSz w:w="11906" w:h="16838"/>
          <w:pgMar w:top="1559" w:right="1531" w:bottom="1400" w:left="1531" w:header="851" w:footer="850" w:gutter="0"/>
          <w:pgNumType w:fmt="decimal"/>
          <w:cols w:space="0" w:num="1"/>
          <w:docGrid w:linePitch="312" w:charSpace="0"/>
        </w:sectPr>
      </w:pPr>
      <w:r>
        <w:rPr>
          <w:rFonts w:hint="eastAsia" w:hAnsi="宋体" w:cs="宋体"/>
          <w:b/>
          <w:sz w:val="28"/>
          <w:szCs w:val="28"/>
        </w:rPr>
        <w:t>附件</w:t>
      </w:r>
      <w:r>
        <w:rPr>
          <w:rFonts w:hint="eastAsia" w:hAnsi="宋体" w:cs="宋体"/>
          <w:b/>
          <w:sz w:val="28"/>
          <w:szCs w:val="28"/>
          <w:lang w:val="en-US" w:eastAsia="zh-CN"/>
        </w:rPr>
        <w:t>2</w:t>
      </w:r>
      <w:r>
        <w:rPr>
          <w:rFonts w:hint="eastAsia" w:hAnsi="宋体" w:cs="宋体"/>
          <w:b/>
          <w:sz w:val="28"/>
          <w:szCs w:val="28"/>
        </w:rPr>
        <w:t>：</w:t>
      </w:r>
      <w:r>
        <w:rPr>
          <w:rFonts w:hint="eastAsia" w:hAnsi="宋体" w:cs="宋体"/>
          <w:b/>
          <w:sz w:val="28"/>
          <w:szCs w:val="28"/>
          <w:lang w:val="en-US" w:eastAsia="zh-CN"/>
        </w:rPr>
        <w:t>报价明细表</w:t>
      </w:r>
      <w:r>
        <w:rPr>
          <w:rFonts w:hint="eastAsia" w:hAnsi="宋体" w:cs="宋体"/>
          <w:b/>
          <w:color w:val="FF0000"/>
          <w:sz w:val="28"/>
          <w:szCs w:val="28"/>
          <w:lang w:val="en-US" w:eastAsia="zh-CN"/>
        </w:rPr>
        <w:t>（按各标项单独提供，请勿一次性含在报价文件内）</w:t>
      </w:r>
    </w:p>
    <w:tbl>
      <w:tblPr>
        <w:tblStyle w:val="27"/>
        <w:tblpPr w:leftFromText="180" w:rightFromText="180" w:vertAnchor="text" w:tblpX="93" w:tblpY="1"/>
        <w:tblOverlap w:val="never"/>
        <w:tblW w:w="145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0"/>
        <w:gridCol w:w="1082"/>
        <w:gridCol w:w="496"/>
        <w:gridCol w:w="1070"/>
        <w:gridCol w:w="678"/>
        <w:gridCol w:w="678"/>
        <w:gridCol w:w="936"/>
        <w:gridCol w:w="743"/>
        <w:gridCol w:w="743"/>
        <w:gridCol w:w="913"/>
        <w:gridCol w:w="666"/>
        <w:gridCol w:w="576"/>
        <w:gridCol w:w="912"/>
        <w:gridCol w:w="717"/>
        <w:gridCol w:w="717"/>
        <w:gridCol w:w="691"/>
        <w:gridCol w:w="717"/>
        <w:gridCol w:w="801"/>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4533" w:type="dxa"/>
            <w:gridSpan w:val="19"/>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标段一(即报价明细表)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①序号</w:t>
            </w:r>
          </w:p>
        </w:tc>
        <w:tc>
          <w:tcPr>
            <w:tcW w:w="13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②路名</w:t>
            </w:r>
          </w:p>
        </w:tc>
        <w:tc>
          <w:tcPr>
            <w:tcW w:w="4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③养护类别</w:t>
            </w:r>
          </w:p>
        </w:tc>
        <w:tc>
          <w:tcPr>
            <w:tcW w:w="0" w:type="auto"/>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0" w:type="auto"/>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0" w:type="auto"/>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0" w:type="auto"/>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7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一年养护费总价报价⑯</w:t>
            </w:r>
          </w:p>
        </w:tc>
        <w:tc>
          <w:tcPr>
            <w:tcW w:w="7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折算月养护费价格（元/月）⑰</w:t>
            </w:r>
          </w:p>
        </w:tc>
        <w:tc>
          <w:tcPr>
            <w:tcW w:w="7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养护期限⑱</w:t>
            </w:r>
          </w:p>
        </w:tc>
        <w:tc>
          <w:tcPr>
            <w:tcW w:w="9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报价合价⑲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trPr>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3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4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(平方米)④</w:t>
            </w:r>
          </w:p>
        </w:tc>
        <w:tc>
          <w:tcPr>
            <w:tcW w:w="6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单价(元/平方米/年)⑤</w:t>
            </w:r>
          </w:p>
        </w:tc>
        <w:tc>
          <w:tcPr>
            <w:tcW w:w="6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金额（元/年）⑥</w:t>
            </w:r>
          </w:p>
        </w:tc>
        <w:tc>
          <w:tcPr>
            <w:tcW w:w="8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数量(平方米)⑦</w:t>
            </w:r>
          </w:p>
        </w:tc>
        <w:tc>
          <w:tcPr>
            <w:tcW w:w="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单价(元/平方米/年)⑧</w:t>
            </w:r>
          </w:p>
        </w:tc>
        <w:tc>
          <w:tcPr>
            <w:tcW w:w="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金额（元/年）⑨</w:t>
            </w:r>
          </w:p>
        </w:tc>
        <w:tc>
          <w:tcPr>
            <w:tcW w:w="9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数量(棵)⑩</w:t>
            </w:r>
          </w:p>
        </w:tc>
        <w:tc>
          <w:tcPr>
            <w:tcW w:w="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单价(元/棵/年)⑪</w:t>
            </w:r>
          </w:p>
        </w:tc>
        <w:tc>
          <w:tcPr>
            <w:tcW w:w="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金额（元/年）⑫</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数量(棵)⑬</w:t>
            </w:r>
          </w:p>
        </w:tc>
        <w:tc>
          <w:tcPr>
            <w:tcW w:w="7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单价(元/棵/年)⑭</w:t>
            </w:r>
          </w:p>
        </w:tc>
        <w:tc>
          <w:tcPr>
            <w:tcW w:w="7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金额（元/年）⑮</w:t>
            </w:r>
          </w:p>
        </w:tc>
        <w:tc>
          <w:tcPr>
            <w:tcW w:w="7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6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97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浦源大道（康一路——丰食溪大桥）</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123500.00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2620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2770</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浒畔居西区公园</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18208.50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2042.37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561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542</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运通路(顺安路——云鸿西路)</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427.42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1137.79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28</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浮玉路(云鸿西路——王母山桥)</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59704.25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4740.09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2332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1529</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云鸿西路（康山大道——云鸿西桥）</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21944.30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22571.25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1451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575</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胜利西路（胜利西桥——浮玉路）</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749.26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161.59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74</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顺安路(康山大道——运通路)</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2954.82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173.51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188</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90</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车汇路、万庄路</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3100.22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80.21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135</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牌楼山路、万虹路、中合路</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3030.00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173</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204</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清远路（云鸿西路——浦源大道）</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25607.00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7915.00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674</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152</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15个月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学林路绿化工程</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5291.71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1324.41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268</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73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4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264517.48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40146.22 </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8482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6003</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FF0000"/>
                <w:sz w:val="18"/>
                <w:szCs w:val="18"/>
                <w:highlight w:val="none"/>
                <w:u w:val="none"/>
              </w:rPr>
            </w:pPr>
            <w:r>
              <w:rPr>
                <w:rFonts w:hint="eastAsia" w:ascii="宋体" w:hAnsi="宋体" w:eastAsia="宋体" w:cs="宋体"/>
                <w:b w:val="0"/>
                <w:bCs w:val="0"/>
                <w:i w:val="0"/>
                <w:iCs w:val="0"/>
                <w:color w:val="FF0000"/>
                <w:kern w:val="0"/>
                <w:sz w:val="18"/>
                <w:szCs w:val="18"/>
                <w:highlight w:val="none"/>
                <w:u w:val="none"/>
                <w:lang w:val="en-US" w:eastAsia="zh-CN" w:bidi="ar"/>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0" w:type="auto"/>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投标总价</w:t>
            </w:r>
          </w:p>
        </w:tc>
        <w:tc>
          <w:tcPr>
            <w:tcW w:w="0" w:type="auto"/>
            <w:gridSpan w:val="16"/>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大写人民币：</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b w:val="0"/>
                <w:bCs w:val="0"/>
                <w:i w:val="0"/>
                <w:iCs w:val="0"/>
                <w:color w:val="000000"/>
                <w:sz w:val="21"/>
                <w:szCs w:val="21"/>
                <w:highlight w:val="none"/>
                <w:u w:val="none"/>
              </w:rPr>
            </w:pPr>
          </w:p>
        </w:tc>
        <w:tc>
          <w:tcPr>
            <w:tcW w:w="14113" w:type="dxa"/>
            <w:gridSpan w:val="1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说明：列表间逻辑关系：⑥=④</w:t>
            </w:r>
            <w:r>
              <w:rPr>
                <w:rStyle w:val="60"/>
                <w:rFonts w:eastAsia="宋体"/>
                <w:b w:val="0"/>
                <w:bCs w:val="0"/>
                <w:sz w:val="21"/>
                <w:szCs w:val="21"/>
                <w:highlight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tbl>
      <w:tblPr>
        <w:tblStyle w:val="2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1317"/>
        <w:gridCol w:w="496"/>
        <w:gridCol w:w="1070"/>
        <w:gridCol w:w="678"/>
        <w:gridCol w:w="678"/>
        <w:gridCol w:w="936"/>
        <w:gridCol w:w="743"/>
        <w:gridCol w:w="743"/>
        <w:gridCol w:w="913"/>
        <w:gridCol w:w="666"/>
        <w:gridCol w:w="576"/>
        <w:gridCol w:w="912"/>
        <w:gridCol w:w="717"/>
        <w:gridCol w:w="717"/>
        <w:gridCol w:w="589"/>
        <w:gridCol w:w="717"/>
        <w:gridCol w:w="801"/>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533" w:type="dxa"/>
            <w:gridSpan w:val="1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标段划分明细表  标段二(即报价明细表)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①序号</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②路名</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③养护类别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绿化灌木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割草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直径&lt;15CM树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直径≥15CM树</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一年养护费总价报价⑯</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折算月养护费价格（元/月）⑰</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养护期限⑱</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报价合价⑲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(平方米)④</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单价(元/平方米/年)⑤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数量(平方米)⑦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单价(元/平方米/年)⑧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数量(棵)⑩</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单价(元/棵/年)⑪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金额（元/年）⑫</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数量(棵)⑬</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单价(元/棵/年)⑭</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金额（元/年）⑮</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浮玉路(阳光大道——浦源大道)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22374.37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1373.23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苕秀路（浮玉路——梅园路）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27317.38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407.34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306省道至自博院节点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4712.37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94.33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梅园路(苕秀路——S306省道)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42358.10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9774.97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阳光大道(康山大道——浮玉路)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118831.56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6723.61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2968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三官集镇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14520.55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2376.26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179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正嵘路(梅园路——枫岭路)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2085.69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街道办事处办公楼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1780.23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173.55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街道办事处停车场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1149.02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460.83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枫岭路(正嵘路——苕秀路)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163.91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绕城环线节点提升工程（马鞍山）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10446.55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7071.41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山大线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开发区园区绿化提升工程--百草路及西区停车库北侧绿化工程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30739.63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5726.11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655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278879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34181.64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FF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6281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投标总价</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大写人民币：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iCs w:val="0"/>
                <w:color w:val="000000"/>
                <w:sz w:val="21"/>
                <w:szCs w:val="21"/>
                <w:highlight w:val="none"/>
                <w:u w:val="none"/>
              </w:rPr>
            </w:pPr>
          </w:p>
        </w:tc>
        <w:tc>
          <w:tcPr>
            <w:tcW w:w="14113"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说明：列表间逻辑关系：⑥=④×⑤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tbl>
      <w:tblPr>
        <w:tblStyle w:val="27"/>
        <w:tblW w:w="14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
        <w:gridCol w:w="940"/>
        <w:gridCol w:w="576"/>
        <w:gridCol w:w="1040"/>
        <w:gridCol w:w="666"/>
        <w:gridCol w:w="661"/>
        <w:gridCol w:w="936"/>
        <w:gridCol w:w="722"/>
        <w:gridCol w:w="724"/>
        <w:gridCol w:w="888"/>
        <w:gridCol w:w="666"/>
        <w:gridCol w:w="576"/>
        <w:gridCol w:w="887"/>
        <w:gridCol w:w="697"/>
        <w:gridCol w:w="698"/>
        <w:gridCol w:w="636"/>
        <w:gridCol w:w="697"/>
        <w:gridCol w:w="801"/>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140" w:type="dxa"/>
            <w:gridSpan w:val="1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1"/>
                <w:szCs w:val="21"/>
                <w:highlight w:val="none"/>
                <w:u w:val="none"/>
                <w:lang w:val="en-US" w:eastAsia="zh-CN" w:bidi="ar"/>
              </w:rPr>
              <w:t>标段划分明细表  标段三(即报价明细表)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①序号</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②路名</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③养护类别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绿化灌木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割草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直径&lt;15CM树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直径≥15CM树</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一年养护费总价报价⑯</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折算月养护费价格（元/月）⑰</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养护期限⑱</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报价合价⑲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(平方米)④</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数量(平方米)⑦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单价(元/平方米/年)⑧</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数量(棵)⑩</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单价(元/棵/年)⑪</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金额（元/年）⑫</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单价(元/棵/年)⑭</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金额（元/年）⑮</w:t>
            </w: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灵峰北路（一号桥与二号桥之间）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119060.1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1439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灵峰北路（二号桥至横塘段）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15646.2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23433.57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698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21248.1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施家湾路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564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施家湾路（灵峰北路至天荒坪北路）待移交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乐平路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9714.2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乐平路（灵峰北路至天荒坪北路）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天荒坪北路（广济大桥至环岛北路）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天荒坪北路（环岛北路至农批市场）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越都东路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14838.5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1404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越都东路（灵峰北路至环岛南路）待移交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鄣南路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4203.4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185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鄣南路（灵峰北路至环岛东路）待移交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103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5988.4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57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将军路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2889.7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65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将军路（灵峰北路至天荒坪路）待移交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7468.0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紫溪路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3156.1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114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银湾苗圃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20624.9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3427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安城西山边工业园区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安城小集镇+公园（一至三）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210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农批市场西侧、北侧周边绿化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35481.00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松树墩路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环岛北路（天荒坪北路至中力机械）待移交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环岛北路（天荒坪北路至灵峰路）待移交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351996.87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63933.57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投标总价</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大写人民币：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highlight w:val="none"/>
                <w:u w:val="none"/>
              </w:rPr>
            </w:pPr>
          </w:p>
        </w:tc>
        <w:tc>
          <w:tcPr>
            <w:tcW w:w="13732"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说明：列表间逻辑关系：⑥=④</w:t>
            </w:r>
            <w:r>
              <w:rPr>
                <w:rStyle w:val="37"/>
                <w:rFonts w:hint="eastAsia" w:ascii="宋体" w:hAnsi="宋体" w:eastAsia="宋体" w:cs="宋体"/>
                <w:sz w:val="21"/>
                <w:szCs w:val="21"/>
                <w:highlight w:val="none"/>
                <w:lang w:val="en-US" w:eastAsia="zh-CN" w:bidi="ar"/>
              </w:rPr>
              <w:t>×</w:t>
            </w:r>
            <w:r>
              <w:rPr>
                <w:rStyle w:val="61"/>
                <w:rFonts w:hint="eastAsia" w:ascii="宋体" w:hAnsi="宋体" w:eastAsia="宋体" w:cs="宋体"/>
                <w:sz w:val="21"/>
                <w:szCs w:val="21"/>
                <w:highlight w:val="none"/>
                <w:lang w:val="en-US" w:eastAsia="zh-CN" w:bidi="ar"/>
              </w:rPr>
              <w:t>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tbl>
      <w:tblPr>
        <w:tblStyle w:val="27"/>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
        <w:gridCol w:w="895"/>
        <w:gridCol w:w="576"/>
        <w:gridCol w:w="1026"/>
        <w:gridCol w:w="666"/>
        <w:gridCol w:w="649"/>
        <w:gridCol w:w="936"/>
        <w:gridCol w:w="710"/>
        <w:gridCol w:w="711"/>
        <w:gridCol w:w="873"/>
        <w:gridCol w:w="666"/>
        <w:gridCol w:w="576"/>
        <w:gridCol w:w="872"/>
        <w:gridCol w:w="685"/>
        <w:gridCol w:w="686"/>
        <w:gridCol w:w="606"/>
        <w:gridCol w:w="685"/>
        <w:gridCol w:w="801"/>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00" w:type="dxa"/>
            <w:gridSpan w:val="1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1"/>
                <w:szCs w:val="21"/>
                <w:highlight w:val="none"/>
                <w:u w:val="none"/>
                <w:lang w:val="en-US" w:eastAsia="zh-CN" w:bidi="ar"/>
              </w:rPr>
              <w:t>标段划分明细表  标段四(即报价明细表)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①序号</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②路名</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③养护类别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绿化灌木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割草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直径&lt;15CM树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直径≥15CM树</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一年养护费总价报价⑯</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折算月养护费价格（元/月）⑰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养护期限⑱</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报价合价⑲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(平方米)④</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单价(元/平方米/年)⑤</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数量(平方米)⑦</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金额（元/年）⑫</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数量(棵)⑬</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单价(元/棵/年)⑭</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金额（元/年）⑮</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阳光大道1</w:t>
            </w:r>
          </w:p>
        </w:tc>
        <w:tc>
          <w:tcPr>
            <w:tcW w:w="5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72842.8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1198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阳光大道2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81344.7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796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光竹山路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6913.9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光竹山路2 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零星绿化（荷花塘路、北庄路、六官里路、常乐路）待移交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北庄路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9765.4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北庄路（钢材市场段）待移交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4216.10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渚溪路（阳光大道至北庄路）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84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胡家小区西侧绿化提升 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3797.8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齐云路（光竹山路至阳光大道）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18160.8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266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三港路（阳光大道至绕城北路）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5185.2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285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三港路（阳光大道至光竹山路）待移交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102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长丰路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栗山路、合川路待移交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25179.00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155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7037.9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灵峰北路（一号桥至阳光大道）待移交</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152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绕城北路（双桥至阳光大道）待移交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荷花塘路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7343.5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环岛南路（灵峰北路至绕城北路）待移交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城北一号桥苗圃</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35964.0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4758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金澜相溪东侧绿地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半岛中路停车场（嘉瑞福段）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龙墩路（半岛中路至阳光大道）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 </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439779.73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11597.00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8772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投标总价</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大写人民币：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highlight w:val="none"/>
                <w:u w:val="none"/>
              </w:rPr>
            </w:pPr>
          </w:p>
        </w:tc>
        <w:tc>
          <w:tcPr>
            <w:tcW w:w="13499"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说明：列表间逻辑关系：⑥=④</w:t>
            </w:r>
            <w:r>
              <w:rPr>
                <w:rStyle w:val="62"/>
                <w:rFonts w:hint="eastAsia" w:ascii="宋体" w:hAnsi="宋体" w:eastAsia="宋体" w:cs="宋体"/>
                <w:sz w:val="21"/>
                <w:szCs w:val="21"/>
                <w:highlight w:val="none"/>
                <w:lang w:val="en-US" w:eastAsia="zh-CN" w:bidi="ar"/>
              </w:rPr>
              <w:t>×</w:t>
            </w:r>
            <w:r>
              <w:rPr>
                <w:rStyle w:val="59"/>
                <w:rFonts w:hint="eastAsia" w:ascii="宋体" w:hAnsi="宋体" w:eastAsia="宋体" w:cs="宋体"/>
                <w:sz w:val="21"/>
                <w:szCs w:val="21"/>
                <w:highlight w:val="none"/>
                <w:lang w:val="en-US" w:eastAsia="zh-CN" w:bidi="ar"/>
              </w:rPr>
              <w:t>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tbl>
      <w:tblPr>
        <w:tblStyle w:val="27"/>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1575"/>
        <w:gridCol w:w="548"/>
        <w:gridCol w:w="712"/>
        <w:gridCol w:w="918"/>
        <w:gridCol w:w="660"/>
        <w:gridCol w:w="1015"/>
        <w:gridCol w:w="809"/>
        <w:gridCol w:w="933"/>
        <w:gridCol w:w="603"/>
        <w:gridCol w:w="671"/>
        <w:gridCol w:w="674"/>
        <w:gridCol w:w="699"/>
        <w:gridCol w:w="506"/>
        <w:gridCol w:w="523"/>
        <w:gridCol w:w="576"/>
        <w:gridCol w:w="893"/>
        <w:gridCol w:w="57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3917" w:type="dxa"/>
            <w:gridSpan w:val="1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标段划分明细表  标段五(即报价明细表)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①序号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②路名</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③养护类别</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绿化灌木</w:t>
            </w: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割草</w:t>
            </w:r>
          </w:p>
        </w:tc>
        <w:tc>
          <w:tcPr>
            <w:tcW w:w="1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直径&lt;15CM树</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直径≥15CM树</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一年养护费总价报价⑯</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折算月养护费价格（元/月）⑰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养护期限⑱</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报价合价⑲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金额（元/年）⑥</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数量(平方米)⑦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金额（元/年）⑫</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数量(棵)⑬</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单价(元/棵/年)⑭</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金额（元/年）⑮</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浒溪党校前段滨河路景观设计工程（兰庭公馆段）</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28156.8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112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灵峰北路（阳光大道至吉庆桥）待移交</w:t>
            </w:r>
          </w:p>
        </w:tc>
        <w:tc>
          <w:tcPr>
            <w:tcW w:w="5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80000.00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23433.57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609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龙墩路（阳光大道至夹溪路）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6246.7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112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瑞竹路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6059.7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211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瑞竹路（夹溪路至苕秀东路）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1678.0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夹溪路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4699.2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98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苕秀东路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5121.5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132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广苕路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5092.9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雾山寺路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11949.1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183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雾山寺路（青青家园南大门小公园）待移交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2286.00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万华路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6037.0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清政路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3434.0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131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半岛东路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49756.8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137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半岛东路（靠近吉庆桥村零星绿化）</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1706.00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半岛西路丁家坝苗圃</w:t>
            </w:r>
          </w:p>
        </w:tc>
        <w:tc>
          <w:tcPr>
            <w:tcW w:w="5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12404.0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2091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半岛西路停车场（恒林段）待移交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5504.00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171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半岛西路</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开发区园区绿化提升（半岛西路）待移交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14827.00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融信悦江府周边景观绿化</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1298.0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浒溪公园（半岛酒店段）待移交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翡翠湾北部公园1</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71768.0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538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翡翠湾北部公园2</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51885.0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1764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浒溪北岸（上村小区段）公园</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56700.0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1099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429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浒溪北岸景观绿化（苕秀东路至天荒坪北路）待移交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44000.00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608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436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华府晶园二期周边绿化待移交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1460.00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竹漾路待移交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162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越都西路（阳光大道至苕秀路）待移交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21734.00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456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558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城北小学东侧道路待移交</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古鄣路（翡翠湾南边）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28502.8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385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593 </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534766.45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63933.57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8593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6913 </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投标总价</w:t>
            </w:r>
          </w:p>
        </w:tc>
        <w:tc>
          <w:tcPr>
            <w:tcW w:w="1131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大写人民币：</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9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highlight w:val="none"/>
                <w:u w:val="none"/>
              </w:rPr>
            </w:pPr>
          </w:p>
        </w:tc>
        <w:tc>
          <w:tcPr>
            <w:tcW w:w="13425"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说明：列表间逻辑关系：⑥=④×⑤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tbl>
      <w:tblPr>
        <w:tblStyle w:val="27"/>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575"/>
        <w:gridCol w:w="585"/>
        <w:gridCol w:w="795"/>
        <w:gridCol w:w="780"/>
        <w:gridCol w:w="630"/>
        <w:gridCol w:w="1020"/>
        <w:gridCol w:w="855"/>
        <w:gridCol w:w="855"/>
        <w:gridCol w:w="645"/>
        <w:gridCol w:w="735"/>
        <w:gridCol w:w="645"/>
        <w:gridCol w:w="690"/>
        <w:gridCol w:w="675"/>
        <w:gridCol w:w="795"/>
        <w:gridCol w:w="630"/>
        <w:gridCol w:w="675"/>
        <w:gridCol w:w="874"/>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535" w:type="dxa"/>
            <w:gridSpan w:val="1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标段划分明细表  标段六(即报价明细表)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①序号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②路名</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③养护类别</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绿化灌木</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割草</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直径&lt;15CM树</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直径≥15CM树</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一年养护费总价报价⑯</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折算月养护费价格（元/月）⑰</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养护期限⑱</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报价合价⑲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数量(平方米)⑦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单价(元/平方米/年)⑧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数量(棵)⑬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单价(元/棵/年)⑭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金额（元/年）⑮</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常乐路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5436.6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绕城北路（阳光大道至绕城东路）待移交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1285.00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渚溪路（拥军路至阳光大道）</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天目北路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225.00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齐云路（古鄣路至灵芝路）待移交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520.00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齐云路（阳光大道至古鄣路）待移交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176.00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古鄣路待移交</w:t>
            </w:r>
          </w:p>
        </w:tc>
        <w:tc>
          <w:tcPr>
            <w:tcW w:w="5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1767.00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三港路（阳光大道至古鄣路）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4981.8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272.00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六官里路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3162.1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拥军路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拥军路（渚溪路至绕城北路）待移交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404.00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规划一号路（含苎麻墩路绿化）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1301.3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绕城东线</w:t>
            </w:r>
          </w:p>
        </w:tc>
        <w:tc>
          <w:tcPr>
            <w:tcW w:w="5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55528.0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1740.00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天荒坪北路（广济桥至古鄣路）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6429.9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雾山寺管理处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3302.5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天鹅湾公园1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28558.0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天鹅湾公园2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33102.0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798.00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307.00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天鹅湾公园3待移交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林语香溪南侧绿化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南北庄互通沿线绿化待移交</w:t>
            </w:r>
          </w:p>
        </w:tc>
        <w:tc>
          <w:tcPr>
            <w:tcW w:w="5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89000.00 </w:t>
            </w: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1680.00 </w:t>
            </w:r>
          </w:p>
        </w:tc>
        <w:tc>
          <w:tcPr>
            <w:tcW w:w="7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130.00 </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10个月</w:t>
            </w:r>
          </w:p>
        </w:tc>
        <w:tc>
          <w:tcPr>
            <w:tcW w:w="5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省道阳光茶厂至垃圾场段临时苗圃</w:t>
            </w:r>
          </w:p>
        </w:tc>
        <w:tc>
          <w:tcPr>
            <w:tcW w:w="585"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11507.0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2900.00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15个月</w:t>
            </w:r>
          </w:p>
        </w:tc>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407162.06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1590.00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8992.00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7654.00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0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投标总价</w:t>
            </w:r>
          </w:p>
        </w:tc>
        <w:tc>
          <w:tcPr>
            <w:tcW w:w="11884"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大写人民币：</w:t>
            </w:r>
          </w:p>
        </w:tc>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535"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说明：列表间逻辑关系：⑥=④×⑤   ⑨=⑦×⑧    ⑫=⑩×⑪    ⑮=⑬×⑭    ⑯=⑥+⑨+⑫+⑮     ⑰= ⑯/12    ⑲= ⑰×⑱</w:t>
            </w:r>
          </w:p>
        </w:tc>
      </w:tr>
    </w:tbl>
    <w:p>
      <w:pPr>
        <w:pStyle w:val="35"/>
        <w:spacing w:beforeLines="0" w:after="0" w:line="360" w:lineRule="exact"/>
        <w:ind w:firstLine="0"/>
        <w:rPr>
          <w:rFonts w:hint="eastAsia" w:ascii="宋体" w:hAnsi="宋体" w:cs="宋体"/>
          <w:b/>
          <w:sz w:val="32"/>
          <w:szCs w:val="32"/>
        </w:rPr>
        <w:sectPr>
          <w:pgSz w:w="16838" w:h="11906" w:orient="landscape"/>
          <w:pgMar w:top="1531" w:right="1559" w:bottom="1531" w:left="1400" w:header="851" w:footer="850" w:gutter="0"/>
          <w:pgNumType w:fmt="decimal"/>
          <w:cols w:space="0" w:num="1"/>
          <w:docGrid w:linePitch="312" w:charSpace="0"/>
        </w:sectPr>
      </w:pPr>
    </w:p>
    <w:p>
      <w:pPr>
        <w:snapToGrid w:val="0"/>
        <w:spacing w:beforeLines="50" w:after="50"/>
        <w:jc w:val="center"/>
        <w:rPr>
          <w:rFonts w:hint="eastAsia" w:ascii="宋体" w:hAnsi="宋体" w:cs="宋体"/>
          <w:b/>
          <w:sz w:val="32"/>
          <w:szCs w:val="32"/>
        </w:rPr>
      </w:pPr>
      <w:r>
        <w:rPr>
          <w:rFonts w:hint="eastAsia" w:ascii="宋体" w:hAnsi="宋体" w:cs="宋体"/>
          <w:b/>
          <w:sz w:val="32"/>
          <w:szCs w:val="32"/>
        </w:rPr>
        <w:t>投标人自评表及所在页码</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843"/>
        <w:gridCol w:w="161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序号</w:t>
            </w:r>
          </w:p>
        </w:tc>
        <w:tc>
          <w:tcPr>
            <w:tcW w:w="4843" w:type="dxa"/>
          </w:tcPr>
          <w:p>
            <w:pPr>
              <w:snapToGrid w:val="0"/>
              <w:spacing w:beforeLines="50" w:after="50"/>
              <w:jc w:val="center"/>
              <w:rPr>
                <w:rFonts w:hint="eastAsia" w:ascii="宋体" w:hAnsi="宋体" w:cs="宋体"/>
                <w:szCs w:val="21"/>
              </w:rPr>
            </w:pPr>
            <w:r>
              <w:rPr>
                <w:rFonts w:hint="eastAsia" w:ascii="宋体" w:hAnsi="宋体" w:cs="宋体"/>
                <w:szCs w:val="21"/>
              </w:rPr>
              <w:t>评分标准内容</w:t>
            </w:r>
          </w:p>
        </w:tc>
        <w:tc>
          <w:tcPr>
            <w:tcW w:w="1618" w:type="dxa"/>
          </w:tcPr>
          <w:p>
            <w:pPr>
              <w:snapToGrid w:val="0"/>
              <w:spacing w:beforeLines="50" w:after="50"/>
              <w:jc w:val="center"/>
              <w:rPr>
                <w:rFonts w:hint="eastAsia" w:ascii="宋体" w:hAnsi="宋体" w:cs="宋体"/>
                <w:szCs w:val="21"/>
              </w:rPr>
            </w:pPr>
            <w:r>
              <w:rPr>
                <w:rFonts w:hint="eastAsia" w:ascii="宋体" w:hAnsi="宋体" w:cs="宋体"/>
                <w:szCs w:val="21"/>
              </w:rPr>
              <w:t>自评分</w:t>
            </w:r>
          </w:p>
        </w:tc>
        <w:tc>
          <w:tcPr>
            <w:tcW w:w="1867" w:type="dxa"/>
          </w:tcPr>
          <w:p>
            <w:pPr>
              <w:snapToGrid w:val="0"/>
              <w:spacing w:beforeLines="50" w:after="50"/>
              <w:jc w:val="center"/>
              <w:rPr>
                <w:rFonts w:hint="eastAsia" w:ascii="宋体" w:hAnsi="宋体" w:cs="宋体"/>
                <w:szCs w:val="21"/>
              </w:rPr>
            </w:pPr>
            <w:r>
              <w:rPr>
                <w:rFonts w:hint="eastAsia" w:ascii="宋体" w:hAnsi="宋体" w:cs="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1</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2</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3</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4</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5</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bl>
    <w:p>
      <w:pPr>
        <w:snapToGrid w:val="0"/>
        <w:spacing w:beforeLines="50" w:after="50"/>
        <w:rPr>
          <w:rFonts w:hint="eastAsia" w:ascii="宋体" w:hAnsi="宋体" w:cs="宋体"/>
          <w:szCs w:val="21"/>
        </w:rPr>
      </w:pPr>
      <w:r>
        <w:rPr>
          <w:rFonts w:hint="eastAsia" w:ascii="宋体" w:hAnsi="宋体" w:cs="宋体"/>
          <w:szCs w:val="21"/>
        </w:rPr>
        <w:t>备注：</w:t>
      </w:r>
    </w:p>
    <w:p>
      <w:pPr>
        <w:numPr>
          <w:ilvl w:val="0"/>
          <w:numId w:val="12"/>
        </w:numPr>
        <w:snapToGrid w:val="0"/>
        <w:spacing w:beforeLines="50" w:after="50"/>
        <w:rPr>
          <w:rFonts w:hint="eastAsia" w:ascii="宋体" w:hAnsi="宋体" w:cs="宋体"/>
          <w:szCs w:val="21"/>
        </w:rPr>
      </w:pPr>
      <w:r>
        <w:rPr>
          <w:rFonts w:hint="eastAsia" w:ascii="宋体" w:hAnsi="宋体" w:cs="宋体"/>
          <w:szCs w:val="21"/>
        </w:rPr>
        <w:t>该项由投标人根据评分标准自行打分，并按要求提供相应内容所在页码。</w:t>
      </w:r>
    </w:p>
    <w:p>
      <w:pPr>
        <w:numPr>
          <w:ilvl w:val="0"/>
          <w:numId w:val="12"/>
        </w:numPr>
        <w:snapToGrid w:val="0"/>
        <w:spacing w:beforeLines="50" w:after="50" w:line="360" w:lineRule="auto"/>
        <w:rPr>
          <w:rFonts w:hint="eastAsia" w:ascii="宋体" w:hAnsi="宋体" w:cs="宋体"/>
          <w:szCs w:val="21"/>
        </w:rPr>
      </w:pPr>
      <w:r>
        <w:rPr>
          <w:rFonts w:hint="eastAsia" w:ascii="宋体" w:hAnsi="宋体" w:cs="宋体"/>
          <w:szCs w:val="21"/>
        </w:rPr>
        <w:t>对于客观分自评中与评审打分不一致的，评标委员会可以根据情况组织供应商进行询标，说明不一致的原因。</w:t>
      </w:r>
    </w:p>
    <w:p>
      <w:pPr>
        <w:numPr>
          <w:ilvl w:val="0"/>
          <w:numId w:val="12"/>
        </w:numPr>
        <w:snapToGrid w:val="0"/>
        <w:spacing w:beforeLines="50" w:after="50" w:line="360" w:lineRule="auto"/>
        <w:rPr>
          <w:rFonts w:hint="eastAsia" w:ascii="宋体" w:hAnsi="宋体" w:cs="宋体"/>
          <w:szCs w:val="21"/>
        </w:rPr>
      </w:pPr>
      <w:r>
        <w:rPr>
          <w:rFonts w:hint="eastAsia" w:ascii="宋体" w:hAnsi="宋体" w:cs="宋体"/>
          <w:szCs w:val="21"/>
        </w:rPr>
        <w:t>对于根据供应商情况进行横向比较打分的评审内容自评分可不填写。</w:t>
      </w:r>
    </w:p>
    <w:p>
      <w:pPr>
        <w:numPr>
          <w:ilvl w:val="0"/>
          <w:numId w:val="12"/>
        </w:numPr>
        <w:snapToGrid w:val="0"/>
        <w:spacing w:beforeLines="50" w:after="50" w:line="360" w:lineRule="auto"/>
        <w:rPr>
          <w:rFonts w:hint="eastAsia" w:ascii="宋体" w:hAnsi="宋体" w:cs="宋体"/>
          <w:szCs w:val="21"/>
        </w:rPr>
      </w:pPr>
      <w:r>
        <w:rPr>
          <w:rFonts w:hint="eastAsia" w:ascii="宋体" w:hAnsi="宋体" w:cs="宋体"/>
          <w:szCs w:val="21"/>
        </w:rPr>
        <w:t>此表各供应商可以根据实际情况拟定格式。</w:t>
      </w: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sectPr>
      <w:pgSz w:w="11906" w:h="16838"/>
      <w:pgMar w:top="1559" w:right="1531" w:bottom="1400" w:left="1531" w:header="851"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9"/>
                            <w:jc w:val="center"/>
                          </w:pPr>
                          <w:r>
                            <w:fldChar w:fldCharType="begin"/>
                          </w:r>
                          <w:r>
                            <w:instrText xml:space="preserve"> PAGE   \* MERGEFORMAT </w:instrText>
                          </w:r>
                          <w:r>
                            <w:fldChar w:fldCharType="separate"/>
                          </w:r>
                          <w:r>
                            <w:rPr>
                              <w:lang w:val="zh-CN" w:eastAsia="zh-CN"/>
                            </w:rP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eastAsia="zh-CN"/>
                      </w:rPr>
                      <w:t>15</w:t>
                    </w:r>
                    <w:r>
                      <w:fldChar w:fldCharType="end"/>
                    </w:r>
                  </w:p>
                </w:txbxContent>
              </v:textbox>
            </v:shape>
          </w:pict>
        </mc:Fallback>
      </mc:AlternateContent>
    </w:r>
  </w:p>
  <w:p>
    <w:pPr>
      <w:pStyle w:val="19"/>
      <w:tabs>
        <w:tab w:val="left" w:pos="5300"/>
        <w:tab w:val="clear" w:pos="4153"/>
      </w:tabs>
      <w:ind w:right="360"/>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3xpLNQAAAADAQAADwAAAAAAAAABACAAAAAi&#10;AAAAZHJzL2Rvd25yZXYueG1sUEsBAhQAFAAAAAgAh07iQLaR4RPVAQAApQ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112A829"/>
    <w:multiLevelType w:val="singleLevel"/>
    <w:tmpl w:val="C112A829"/>
    <w:lvl w:ilvl="0" w:tentative="0">
      <w:start w:val="1"/>
      <w:numFmt w:val="decimal"/>
      <w:suff w:val="nothing"/>
      <w:lvlText w:val="%1、"/>
      <w:lvlJc w:val="left"/>
      <w:pPr>
        <w:ind w:left="-62"/>
      </w:p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00000007"/>
    <w:multiLevelType w:val="singleLevel"/>
    <w:tmpl w:val="00000007"/>
    <w:lvl w:ilvl="0" w:tentative="0">
      <w:start w:val="1"/>
      <w:numFmt w:val="decimal"/>
      <w:pStyle w:val="36"/>
      <w:lvlText w:val="%1."/>
      <w:lvlJc w:val="left"/>
      <w:pPr>
        <w:tabs>
          <w:tab w:val="left" w:pos="1200"/>
        </w:tabs>
        <w:ind w:left="1200" w:hanging="360"/>
      </w:pPr>
    </w:lvl>
  </w:abstractNum>
  <w:abstractNum w:abstractNumId="4">
    <w:nsid w:val="0C9D24FE"/>
    <w:multiLevelType w:val="singleLevel"/>
    <w:tmpl w:val="0C9D24FE"/>
    <w:lvl w:ilvl="0" w:tentative="0">
      <w:start w:val="1"/>
      <w:numFmt w:val="decimal"/>
      <w:lvlText w:val="%1."/>
      <w:lvlJc w:val="left"/>
      <w:pPr>
        <w:tabs>
          <w:tab w:val="left" w:pos="312"/>
        </w:tabs>
      </w:pPr>
    </w:lvl>
  </w:abstractNum>
  <w:abstractNum w:abstractNumId="5">
    <w:nsid w:val="148A248F"/>
    <w:multiLevelType w:val="multilevel"/>
    <w:tmpl w:val="148A248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7A9620A"/>
    <w:multiLevelType w:val="multilevel"/>
    <w:tmpl w:val="17A9620A"/>
    <w:lvl w:ilvl="0" w:tentative="0">
      <w:start w:val="5"/>
      <w:numFmt w:val="japaneseCounting"/>
      <w:lvlText w:val="第%1章"/>
      <w:lvlJc w:val="left"/>
      <w:pPr>
        <w:tabs>
          <w:tab w:val="left" w:pos="1440"/>
        </w:tabs>
        <w:ind w:left="1440" w:hanging="14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294D6D"/>
    <w:multiLevelType w:val="singleLevel"/>
    <w:tmpl w:val="2C294D6D"/>
    <w:lvl w:ilvl="0" w:tentative="0">
      <w:start w:val="1"/>
      <w:numFmt w:val="decimal"/>
      <w:suff w:val="nothing"/>
      <w:lvlText w:val="%1、"/>
      <w:lvlJc w:val="left"/>
    </w:lvl>
  </w:abstractNum>
  <w:abstractNum w:abstractNumId="8">
    <w:nsid w:val="5343D8EB"/>
    <w:multiLevelType w:val="singleLevel"/>
    <w:tmpl w:val="5343D8EB"/>
    <w:lvl w:ilvl="0" w:tentative="0">
      <w:start w:val="1"/>
      <w:numFmt w:val="decimal"/>
      <w:suff w:val="nothing"/>
      <w:lvlText w:val="%1."/>
      <w:lvlJc w:val="left"/>
    </w:lvl>
  </w:abstractNum>
  <w:abstractNum w:abstractNumId="9">
    <w:nsid w:val="5343DB53"/>
    <w:multiLevelType w:val="singleLevel"/>
    <w:tmpl w:val="5343DB53"/>
    <w:lvl w:ilvl="0" w:tentative="0">
      <w:start w:val="2"/>
      <w:numFmt w:val="chineseCounting"/>
      <w:suff w:val="nothing"/>
      <w:lvlText w:val="（%1）"/>
      <w:lvlJc w:val="left"/>
      <w:pPr>
        <w:ind w:left="-2"/>
      </w:pPr>
    </w:lvl>
  </w:abstractNum>
  <w:abstractNum w:abstractNumId="10">
    <w:nsid w:val="6F344DF8"/>
    <w:multiLevelType w:val="singleLevel"/>
    <w:tmpl w:val="6F344DF8"/>
    <w:lvl w:ilvl="0" w:tentative="0">
      <w:start w:val="1"/>
      <w:numFmt w:val="decimal"/>
      <w:suff w:val="space"/>
      <w:lvlText w:val="%1."/>
      <w:lvlJc w:val="left"/>
    </w:lvl>
  </w:abstractNum>
  <w:abstractNum w:abstractNumId="11">
    <w:nsid w:val="7A101E89"/>
    <w:multiLevelType w:val="singleLevel"/>
    <w:tmpl w:val="7A101E89"/>
    <w:lvl w:ilvl="0" w:tentative="0">
      <w:start w:val="1"/>
      <w:numFmt w:val="decimal"/>
      <w:suff w:val="nothing"/>
      <w:lvlText w:val="%1、"/>
      <w:lvlJc w:val="left"/>
    </w:lvl>
  </w:abstractNum>
  <w:num w:numId="1">
    <w:abstractNumId w:val="3"/>
  </w:num>
  <w:num w:numId="2">
    <w:abstractNumId w:val="2"/>
  </w:num>
  <w:num w:numId="3">
    <w:abstractNumId w:val="0"/>
  </w:num>
  <w:num w:numId="4">
    <w:abstractNumId w:val="7"/>
  </w:num>
  <w:num w:numId="5">
    <w:abstractNumId w:val="9"/>
  </w:num>
  <w:num w:numId="6">
    <w:abstractNumId w:val="5"/>
  </w:num>
  <w:num w:numId="7">
    <w:abstractNumId w:val="11"/>
  </w:num>
  <w:num w:numId="8">
    <w:abstractNumId w:val="1"/>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MzOTQ1N2NjZjFmMmI5MDFiYmVlODBmZGNhNzYifQ=="/>
    <w:docVar w:name="KSO_WPS_MARK_KEY" w:val="7c199a64-e724-4d49-8f4a-9e8a4967af2c"/>
  </w:docVars>
  <w:rsids>
    <w:rsidRoot w:val="00271E00"/>
    <w:rsid w:val="00021B0F"/>
    <w:rsid w:val="00045A91"/>
    <w:rsid w:val="00073394"/>
    <w:rsid w:val="0008106A"/>
    <w:rsid w:val="00093751"/>
    <w:rsid w:val="000A0700"/>
    <w:rsid w:val="000B3CD0"/>
    <w:rsid w:val="000D43BD"/>
    <w:rsid w:val="00103B0D"/>
    <w:rsid w:val="00154024"/>
    <w:rsid w:val="00171332"/>
    <w:rsid w:val="001B4E2B"/>
    <w:rsid w:val="001C51DF"/>
    <w:rsid w:val="00220FF0"/>
    <w:rsid w:val="002651F9"/>
    <w:rsid w:val="00271E00"/>
    <w:rsid w:val="002730E3"/>
    <w:rsid w:val="002778D7"/>
    <w:rsid w:val="00280E6D"/>
    <w:rsid w:val="00293A4E"/>
    <w:rsid w:val="002E37B9"/>
    <w:rsid w:val="002E504C"/>
    <w:rsid w:val="00301F39"/>
    <w:rsid w:val="003111D2"/>
    <w:rsid w:val="0031293C"/>
    <w:rsid w:val="003136B4"/>
    <w:rsid w:val="003367BE"/>
    <w:rsid w:val="003428DB"/>
    <w:rsid w:val="0039194F"/>
    <w:rsid w:val="003B5C1C"/>
    <w:rsid w:val="00406A4D"/>
    <w:rsid w:val="00412948"/>
    <w:rsid w:val="00433976"/>
    <w:rsid w:val="00477F64"/>
    <w:rsid w:val="004B2F4E"/>
    <w:rsid w:val="004D603C"/>
    <w:rsid w:val="004F2CA3"/>
    <w:rsid w:val="005160B7"/>
    <w:rsid w:val="00556643"/>
    <w:rsid w:val="005A1A1E"/>
    <w:rsid w:val="00605222"/>
    <w:rsid w:val="00624974"/>
    <w:rsid w:val="006314B9"/>
    <w:rsid w:val="006514ED"/>
    <w:rsid w:val="00677934"/>
    <w:rsid w:val="00680625"/>
    <w:rsid w:val="00687608"/>
    <w:rsid w:val="006C5FBE"/>
    <w:rsid w:val="006D7715"/>
    <w:rsid w:val="006E393A"/>
    <w:rsid w:val="00711C54"/>
    <w:rsid w:val="007242D2"/>
    <w:rsid w:val="0074394C"/>
    <w:rsid w:val="0075439F"/>
    <w:rsid w:val="00755B77"/>
    <w:rsid w:val="00775A57"/>
    <w:rsid w:val="007814C0"/>
    <w:rsid w:val="00785177"/>
    <w:rsid w:val="00794D08"/>
    <w:rsid w:val="00795BBE"/>
    <w:rsid w:val="007C051D"/>
    <w:rsid w:val="007E5530"/>
    <w:rsid w:val="007F271C"/>
    <w:rsid w:val="00805B8D"/>
    <w:rsid w:val="00812F00"/>
    <w:rsid w:val="008257B8"/>
    <w:rsid w:val="0084521E"/>
    <w:rsid w:val="008610B6"/>
    <w:rsid w:val="00861DF8"/>
    <w:rsid w:val="00864650"/>
    <w:rsid w:val="008A105E"/>
    <w:rsid w:val="008C2606"/>
    <w:rsid w:val="008D18F2"/>
    <w:rsid w:val="008D1D6E"/>
    <w:rsid w:val="008E2D2D"/>
    <w:rsid w:val="008E360C"/>
    <w:rsid w:val="00915EC5"/>
    <w:rsid w:val="009229F4"/>
    <w:rsid w:val="00937C2F"/>
    <w:rsid w:val="00962760"/>
    <w:rsid w:val="0099022C"/>
    <w:rsid w:val="009B71A1"/>
    <w:rsid w:val="009C2B5E"/>
    <w:rsid w:val="00A1124B"/>
    <w:rsid w:val="00A27FD4"/>
    <w:rsid w:val="00A95B55"/>
    <w:rsid w:val="00AA31F1"/>
    <w:rsid w:val="00AD5312"/>
    <w:rsid w:val="00B029A1"/>
    <w:rsid w:val="00B102FC"/>
    <w:rsid w:val="00B12F7D"/>
    <w:rsid w:val="00B25D6C"/>
    <w:rsid w:val="00B51185"/>
    <w:rsid w:val="00B54E22"/>
    <w:rsid w:val="00B6123B"/>
    <w:rsid w:val="00B632C9"/>
    <w:rsid w:val="00B8339B"/>
    <w:rsid w:val="00B85B72"/>
    <w:rsid w:val="00BA112F"/>
    <w:rsid w:val="00BC27A9"/>
    <w:rsid w:val="00BE055D"/>
    <w:rsid w:val="00BE567E"/>
    <w:rsid w:val="00BF370F"/>
    <w:rsid w:val="00C14E31"/>
    <w:rsid w:val="00C370DD"/>
    <w:rsid w:val="00C44922"/>
    <w:rsid w:val="00C60D8D"/>
    <w:rsid w:val="00C77840"/>
    <w:rsid w:val="00CA3592"/>
    <w:rsid w:val="00CB011F"/>
    <w:rsid w:val="00CC02EB"/>
    <w:rsid w:val="00CE1C0E"/>
    <w:rsid w:val="00CF670E"/>
    <w:rsid w:val="00D147A8"/>
    <w:rsid w:val="00D26E70"/>
    <w:rsid w:val="00D37744"/>
    <w:rsid w:val="00D57DC2"/>
    <w:rsid w:val="00D63324"/>
    <w:rsid w:val="00D668D3"/>
    <w:rsid w:val="00D704A0"/>
    <w:rsid w:val="00D86C14"/>
    <w:rsid w:val="00DC3515"/>
    <w:rsid w:val="00DC4735"/>
    <w:rsid w:val="00DC5D7F"/>
    <w:rsid w:val="00DE2623"/>
    <w:rsid w:val="00DF3A97"/>
    <w:rsid w:val="00E05629"/>
    <w:rsid w:val="00E1594E"/>
    <w:rsid w:val="00E35F5E"/>
    <w:rsid w:val="00E36A82"/>
    <w:rsid w:val="00E36EF4"/>
    <w:rsid w:val="00E50205"/>
    <w:rsid w:val="00E720CA"/>
    <w:rsid w:val="00EB697C"/>
    <w:rsid w:val="00F16040"/>
    <w:rsid w:val="00F36E0C"/>
    <w:rsid w:val="00F866E5"/>
    <w:rsid w:val="00FA4246"/>
    <w:rsid w:val="00FC0ABB"/>
    <w:rsid w:val="00FD6310"/>
    <w:rsid w:val="010E6385"/>
    <w:rsid w:val="014E28CE"/>
    <w:rsid w:val="01C00A40"/>
    <w:rsid w:val="01FA1013"/>
    <w:rsid w:val="025F4A76"/>
    <w:rsid w:val="03227A44"/>
    <w:rsid w:val="03260BD5"/>
    <w:rsid w:val="03270D3B"/>
    <w:rsid w:val="0335654C"/>
    <w:rsid w:val="034D57DD"/>
    <w:rsid w:val="036327B2"/>
    <w:rsid w:val="037A0922"/>
    <w:rsid w:val="039C1E69"/>
    <w:rsid w:val="044340F7"/>
    <w:rsid w:val="04E046E7"/>
    <w:rsid w:val="05037DA4"/>
    <w:rsid w:val="051E6F90"/>
    <w:rsid w:val="0545431D"/>
    <w:rsid w:val="05542165"/>
    <w:rsid w:val="05572DBC"/>
    <w:rsid w:val="05CE27F3"/>
    <w:rsid w:val="060F77A6"/>
    <w:rsid w:val="064E542A"/>
    <w:rsid w:val="06886D6A"/>
    <w:rsid w:val="076D5C46"/>
    <w:rsid w:val="07A7712F"/>
    <w:rsid w:val="08551DA2"/>
    <w:rsid w:val="091171B2"/>
    <w:rsid w:val="095A78F7"/>
    <w:rsid w:val="096B63AC"/>
    <w:rsid w:val="09886352"/>
    <w:rsid w:val="09F357ED"/>
    <w:rsid w:val="0AB13976"/>
    <w:rsid w:val="0B864B73"/>
    <w:rsid w:val="0BE04F3A"/>
    <w:rsid w:val="0BF82BBB"/>
    <w:rsid w:val="0C2D3AF6"/>
    <w:rsid w:val="0C4112FF"/>
    <w:rsid w:val="0C4703B3"/>
    <w:rsid w:val="0C687AAC"/>
    <w:rsid w:val="0CBF6A1A"/>
    <w:rsid w:val="0CDE2E87"/>
    <w:rsid w:val="0D2F79FF"/>
    <w:rsid w:val="0D5278C3"/>
    <w:rsid w:val="0DC825F1"/>
    <w:rsid w:val="0DDC1D74"/>
    <w:rsid w:val="0DDD312E"/>
    <w:rsid w:val="0DF2473E"/>
    <w:rsid w:val="0DF51C5D"/>
    <w:rsid w:val="0DFE3586"/>
    <w:rsid w:val="0EAA3AE3"/>
    <w:rsid w:val="0EEE0A5C"/>
    <w:rsid w:val="0EFD2494"/>
    <w:rsid w:val="0F1877D0"/>
    <w:rsid w:val="0F86672C"/>
    <w:rsid w:val="0FD74943"/>
    <w:rsid w:val="0FE755C2"/>
    <w:rsid w:val="103056A4"/>
    <w:rsid w:val="117A2313"/>
    <w:rsid w:val="1192416E"/>
    <w:rsid w:val="11C224EE"/>
    <w:rsid w:val="11CE70D8"/>
    <w:rsid w:val="11F513C3"/>
    <w:rsid w:val="126402F0"/>
    <w:rsid w:val="12F57D37"/>
    <w:rsid w:val="132E3798"/>
    <w:rsid w:val="136524DB"/>
    <w:rsid w:val="13FF36BF"/>
    <w:rsid w:val="142F773E"/>
    <w:rsid w:val="146B5E5D"/>
    <w:rsid w:val="14910212"/>
    <w:rsid w:val="149F058F"/>
    <w:rsid w:val="14B31175"/>
    <w:rsid w:val="150428D8"/>
    <w:rsid w:val="15415330"/>
    <w:rsid w:val="155C4EB0"/>
    <w:rsid w:val="156A6E84"/>
    <w:rsid w:val="15807721"/>
    <w:rsid w:val="15B72A6F"/>
    <w:rsid w:val="15DE5743"/>
    <w:rsid w:val="163B0AE0"/>
    <w:rsid w:val="164E69A6"/>
    <w:rsid w:val="16ED3645"/>
    <w:rsid w:val="179D4709"/>
    <w:rsid w:val="17B30DA4"/>
    <w:rsid w:val="17C71583"/>
    <w:rsid w:val="17C750AB"/>
    <w:rsid w:val="1802673E"/>
    <w:rsid w:val="18906E28"/>
    <w:rsid w:val="191A7DB2"/>
    <w:rsid w:val="192905EE"/>
    <w:rsid w:val="199E7D91"/>
    <w:rsid w:val="19C61144"/>
    <w:rsid w:val="1A7B516E"/>
    <w:rsid w:val="1AA26EAC"/>
    <w:rsid w:val="1AF6432D"/>
    <w:rsid w:val="1B0B5EE9"/>
    <w:rsid w:val="1C961996"/>
    <w:rsid w:val="1D0143DD"/>
    <w:rsid w:val="1D570384"/>
    <w:rsid w:val="1D9A138A"/>
    <w:rsid w:val="1DB90A88"/>
    <w:rsid w:val="1DDA6C0B"/>
    <w:rsid w:val="1E486E35"/>
    <w:rsid w:val="1E77756A"/>
    <w:rsid w:val="1FA85792"/>
    <w:rsid w:val="1FE06DC3"/>
    <w:rsid w:val="1FF63C5C"/>
    <w:rsid w:val="20376C9F"/>
    <w:rsid w:val="20446FF4"/>
    <w:rsid w:val="207F184C"/>
    <w:rsid w:val="208A03B1"/>
    <w:rsid w:val="216726E8"/>
    <w:rsid w:val="21800838"/>
    <w:rsid w:val="219A79E7"/>
    <w:rsid w:val="21DD6DA2"/>
    <w:rsid w:val="21F62798"/>
    <w:rsid w:val="220204EC"/>
    <w:rsid w:val="224C7A71"/>
    <w:rsid w:val="2260200F"/>
    <w:rsid w:val="228B2A32"/>
    <w:rsid w:val="229D57EF"/>
    <w:rsid w:val="230B5C6F"/>
    <w:rsid w:val="232D55EF"/>
    <w:rsid w:val="24283A08"/>
    <w:rsid w:val="24686203"/>
    <w:rsid w:val="25331C0B"/>
    <w:rsid w:val="25D86582"/>
    <w:rsid w:val="268E3E94"/>
    <w:rsid w:val="26C07EFD"/>
    <w:rsid w:val="26C6723F"/>
    <w:rsid w:val="272D65E7"/>
    <w:rsid w:val="27425C94"/>
    <w:rsid w:val="28911C5D"/>
    <w:rsid w:val="28F57C21"/>
    <w:rsid w:val="292471AA"/>
    <w:rsid w:val="2973560C"/>
    <w:rsid w:val="2A0305E6"/>
    <w:rsid w:val="2AA2605F"/>
    <w:rsid w:val="2B3D1C04"/>
    <w:rsid w:val="2BAC0A30"/>
    <w:rsid w:val="2BB85AEC"/>
    <w:rsid w:val="2C34045D"/>
    <w:rsid w:val="2C5549B7"/>
    <w:rsid w:val="2CD77C36"/>
    <w:rsid w:val="2DA416E5"/>
    <w:rsid w:val="2DEE12CD"/>
    <w:rsid w:val="2E232093"/>
    <w:rsid w:val="2F206317"/>
    <w:rsid w:val="2F2A1D86"/>
    <w:rsid w:val="2F752F4B"/>
    <w:rsid w:val="301F19F4"/>
    <w:rsid w:val="309A303C"/>
    <w:rsid w:val="313E169F"/>
    <w:rsid w:val="319F37E5"/>
    <w:rsid w:val="31CD0A32"/>
    <w:rsid w:val="31ED3960"/>
    <w:rsid w:val="320E1B73"/>
    <w:rsid w:val="322B664D"/>
    <w:rsid w:val="32607485"/>
    <w:rsid w:val="327A1181"/>
    <w:rsid w:val="33461026"/>
    <w:rsid w:val="33A8387F"/>
    <w:rsid w:val="33EB7D41"/>
    <w:rsid w:val="340D77AF"/>
    <w:rsid w:val="34371FB5"/>
    <w:rsid w:val="344A7B6F"/>
    <w:rsid w:val="34F9395D"/>
    <w:rsid w:val="35191084"/>
    <w:rsid w:val="35742789"/>
    <w:rsid w:val="35836955"/>
    <w:rsid w:val="35DF5D80"/>
    <w:rsid w:val="35EF1DD6"/>
    <w:rsid w:val="36204A54"/>
    <w:rsid w:val="368B14B7"/>
    <w:rsid w:val="36E32CDF"/>
    <w:rsid w:val="36E913F0"/>
    <w:rsid w:val="37203F2E"/>
    <w:rsid w:val="372C1B5A"/>
    <w:rsid w:val="37C34928"/>
    <w:rsid w:val="38636DE4"/>
    <w:rsid w:val="38A3784F"/>
    <w:rsid w:val="3909161E"/>
    <w:rsid w:val="39751ABD"/>
    <w:rsid w:val="39B87393"/>
    <w:rsid w:val="3A025C85"/>
    <w:rsid w:val="3A7766C0"/>
    <w:rsid w:val="3AD920A9"/>
    <w:rsid w:val="3B417A1A"/>
    <w:rsid w:val="3B527190"/>
    <w:rsid w:val="3C243176"/>
    <w:rsid w:val="3C291F53"/>
    <w:rsid w:val="3C3D3C43"/>
    <w:rsid w:val="3C683C73"/>
    <w:rsid w:val="3CB1609C"/>
    <w:rsid w:val="3CC27C7A"/>
    <w:rsid w:val="3D1752D2"/>
    <w:rsid w:val="3D650523"/>
    <w:rsid w:val="3D6D1814"/>
    <w:rsid w:val="3E183067"/>
    <w:rsid w:val="3E40386D"/>
    <w:rsid w:val="3E481B07"/>
    <w:rsid w:val="3E494C64"/>
    <w:rsid w:val="3E4A0E47"/>
    <w:rsid w:val="3E5B5866"/>
    <w:rsid w:val="3E632729"/>
    <w:rsid w:val="3EE60851"/>
    <w:rsid w:val="3F3253BD"/>
    <w:rsid w:val="3F4E54BA"/>
    <w:rsid w:val="40482747"/>
    <w:rsid w:val="411663E0"/>
    <w:rsid w:val="41531E45"/>
    <w:rsid w:val="41654990"/>
    <w:rsid w:val="41BE1FE2"/>
    <w:rsid w:val="428D1F20"/>
    <w:rsid w:val="42AD6AAF"/>
    <w:rsid w:val="42B0018D"/>
    <w:rsid w:val="42D20222"/>
    <w:rsid w:val="42EB7D4F"/>
    <w:rsid w:val="431E0014"/>
    <w:rsid w:val="437379C0"/>
    <w:rsid w:val="44176CAA"/>
    <w:rsid w:val="44646693"/>
    <w:rsid w:val="44D028CC"/>
    <w:rsid w:val="44DF7977"/>
    <w:rsid w:val="45E809FB"/>
    <w:rsid w:val="461764DB"/>
    <w:rsid w:val="461E6662"/>
    <w:rsid w:val="46411ABE"/>
    <w:rsid w:val="464852E0"/>
    <w:rsid w:val="46EE5629"/>
    <w:rsid w:val="471B4804"/>
    <w:rsid w:val="47B60623"/>
    <w:rsid w:val="47D56579"/>
    <w:rsid w:val="47F6584A"/>
    <w:rsid w:val="48115FEF"/>
    <w:rsid w:val="48464210"/>
    <w:rsid w:val="487C7BDC"/>
    <w:rsid w:val="489F6AB0"/>
    <w:rsid w:val="48CE41F1"/>
    <w:rsid w:val="48EC64CB"/>
    <w:rsid w:val="49731868"/>
    <w:rsid w:val="49A3795E"/>
    <w:rsid w:val="4A82100C"/>
    <w:rsid w:val="4A8740D8"/>
    <w:rsid w:val="4AAB4A52"/>
    <w:rsid w:val="4AFB03EA"/>
    <w:rsid w:val="4B681789"/>
    <w:rsid w:val="4B880C54"/>
    <w:rsid w:val="4BD656D7"/>
    <w:rsid w:val="4BE90D9B"/>
    <w:rsid w:val="4D451AF1"/>
    <w:rsid w:val="4D4A3555"/>
    <w:rsid w:val="4D6B5803"/>
    <w:rsid w:val="4DD348FE"/>
    <w:rsid w:val="4DD3628F"/>
    <w:rsid w:val="4E1E5378"/>
    <w:rsid w:val="4E3D7914"/>
    <w:rsid w:val="4E623F93"/>
    <w:rsid w:val="4E6538DC"/>
    <w:rsid w:val="4F2522E1"/>
    <w:rsid w:val="4FA37F2B"/>
    <w:rsid w:val="4FB32E94"/>
    <w:rsid w:val="4FC8243C"/>
    <w:rsid w:val="5086134B"/>
    <w:rsid w:val="50AD4477"/>
    <w:rsid w:val="50AE37C4"/>
    <w:rsid w:val="510B6C6A"/>
    <w:rsid w:val="51B63DCC"/>
    <w:rsid w:val="51D45BAA"/>
    <w:rsid w:val="52D506D0"/>
    <w:rsid w:val="52DE3E91"/>
    <w:rsid w:val="53933738"/>
    <w:rsid w:val="53E82A0D"/>
    <w:rsid w:val="53E912E3"/>
    <w:rsid w:val="53F52E33"/>
    <w:rsid w:val="54EC7E5F"/>
    <w:rsid w:val="54ED6FF2"/>
    <w:rsid w:val="54FE6FD8"/>
    <w:rsid w:val="557E4989"/>
    <w:rsid w:val="55874FAD"/>
    <w:rsid w:val="55AC68A6"/>
    <w:rsid w:val="56EA7FD2"/>
    <w:rsid w:val="56FB38BF"/>
    <w:rsid w:val="570C45C9"/>
    <w:rsid w:val="5722167B"/>
    <w:rsid w:val="57BA2F50"/>
    <w:rsid w:val="57CC197D"/>
    <w:rsid w:val="57F81013"/>
    <w:rsid w:val="582E1A66"/>
    <w:rsid w:val="58AF200F"/>
    <w:rsid w:val="590D2ECA"/>
    <w:rsid w:val="59292E23"/>
    <w:rsid w:val="59402E7C"/>
    <w:rsid w:val="59AC3900"/>
    <w:rsid w:val="59B02B91"/>
    <w:rsid w:val="5A122E59"/>
    <w:rsid w:val="5A5D7518"/>
    <w:rsid w:val="5ADB7C95"/>
    <w:rsid w:val="5AE12BB9"/>
    <w:rsid w:val="5B2969BD"/>
    <w:rsid w:val="5B7D0CFF"/>
    <w:rsid w:val="5C724B20"/>
    <w:rsid w:val="5D3374E5"/>
    <w:rsid w:val="5D871C84"/>
    <w:rsid w:val="5DA243BC"/>
    <w:rsid w:val="5E5C61AD"/>
    <w:rsid w:val="5EB74B03"/>
    <w:rsid w:val="5F3C443C"/>
    <w:rsid w:val="5F8C4F92"/>
    <w:rsid w:val="5FD64687"/>
    <w:rsid w:val="604675E9"/>
    <w:rsid w:val="6054156F"/>
    <w:rsid w:val="61002499"/>
    <w:rsid w:val="614A122A"/>
    <w:rsid w:val="61753BCF"/>
    <w:rsid w:val="61B23C2A"/>
    <w:rsid w:val="62A346F5"/>
    <w:rsid w:val="62C450A6"/>
    <w:rsid w:val="641E2784"/>
    <w:rsid w:val="64425949"/>
    <w:rsid w:val="64697E50"/>
    <w:rsid w:val="64EF365D"/>
    <w:rsid w:val="65AA74EE"/>
    <w:rsid w:val="66011337"/>
    <w:rsid w:val="67506A93"/>
    <w:rsid w:val="67590D78"/>
    <w:rsid w:val="67802075"/>
    <w:rsid w:val="67F325A0"/>
    <w:rsid w:val="67FC7B91"/>
    <w:rsid w:val="68224C9F"/>
    <w:rsid w:val="684B05AE"/>
    <w:rsid w:val="68555D6C"/>
    <w:rsid w:val="688C7ED1"/>
    <w:rsid w:val="698C6377"/>
    <w:rsid w:val="6AD10700"/>
    <w:rsid w:val="6B057A01"/>
    <w:rsid w:val="6B4231D3"/>
    <w:rsid w:val="6BA35A94"/>
    <w:rsid w:val="6BE337EB"/>
    <w:rsid w:val="6BF130D6"/>
    <w:rsid w:val="6C6733BB"/>
    <w:rsid w:val="6CB067C9"/>
    <w:rsid w:val="6CE728F3"/>
    <w:rsid w:val="6CEC0630"/>
    <w:rsid w:val="6D514121"/>
    <w:rsid w:val="6D69074C"/>
    <w:rsid w:val="6DCD1D4A"/>
    <w:rsid w:val="6E5073FB"/>
    <w:rsid w:val="6E6B6B09"/>
    <w:rsid w:val="6E725B7C"/>
    <w:rsid w:val="6EEF2CAB"/>
    <w:rsid w:val="6F0946CD"/>
    <w:rsid w:val="70613ABF"/>
    <w:rsid w:val="7076156C"/>
    <w:rsid w:val="710841E0"/>
    <w:rsid w:val="714B670E"/>
    <w:rsid w:val="71601EC0"/>
    <w:rsid w:val="71F20CE5"/>
    <w:rsid w:val="72F930CE"/>
    <w:rsid w:val="73AE43AA"/>
    <w:rsid w:val="741B6D1F"/>
    <w:rsid w:val="742A7C48"/>
    <w:rsid w:val="7453487A"/>
    <w:rsid w:val="74B55F80"/>
    <w:rsid w:val="74DF155B"/>
    <w:rsid w:val="753744AF"/>
    <w:rsid w:val="75582CE4"/>
    <w:rsid w:val="756F71AF"/>
    <w:rsid w:val="7571429D"/>
    <w:rsid w:val="757832FB"/>
    <w:rsid w:val="75B47417"/>
    <w:rsid w:val="75B4798B"/>
    <w:rsid w:val="763235CF"/>
    <w:rsid w:val="76B51CD8"/>
    <w:rsid w:val="77252A24"/>
    <w:rsid w:val="772C685C"/>
    <w:rsid w:val="773149E5"/>
    <w:rsid w:val="774F69E1"/>
    <w:rsid w:val="777F1147"/>
    <w:rsid w:val="778D677F"/>
    <w:rsid w:val="783A38D3"/>
    <w:rsid w:val="78C22C3C"/>
    <w:rsid w:val="79E63674"/>
    <w:rsid w:val="7A09625D"/>
    <w:rsid w:val="7A323394"/>
    <w:rsid w:val="7A4C3E24"/>
    <w:rsid w:val="7A71731B"/>
    <w:rsid w:val="7A845DFB"/>
    <w:rsid w:val="7AD6298E"/>
    <w:rsid w:val="7AFF5EF3"/>
    <w:rsid w:val="7B06068E"/>
    <w:rsid w:val="7B2956F3"/>
    <w:rsid w:val="7B8710D1"/>
    <w:rsid w:val="7B9A2995"/>
    <w:rsid w:val="7BCF0396"/>
    <w:rsid w:val="7BD25C17"/>
    <w:rsid w:val="7BE00B38"/>
    <w:rsid w:val="7C1E4119"/>
    <w:rsid w:val="7C4C488D"/>
    <w:rsid w:val="7D0A7F18"/>
    <w:rsid w:val="7D760458"/>
    <w:rsid w:val="7D9116F6"/>
    <w:rsid w:val="7DA75656"/>
    <w:rsid w:val="7E0E193A"/>
    <w:rsid w:val="7E0E7650"/>
    <w:rsid w:val="7E7A7AFA"/>
    <w:rsid w:val="7EE12C71"/>
    <w:rsid w:val="7F24295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4">
    <w:name w:val="heading 2"/>
    <w:basedOn w:val="1"/>
    <w:next w:val="1"/>
    <w:unhideWhenUsed/>
    <w:qFormat/>
    <w:uiPriority w:val="0"/>
    <w:pPr>
      <w:keepNext/>
      <w:keepLines/>
      <w:spacing w:before="500" w:after="500" w:line="415" w:lineRule="auto"/>
      <w:jc w:val="left"/>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1"/>
    <w:link w:val="46"/>
    <w:semiHidden/>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pPr>
      <w:spacing w:beforeLines="50" w:afterLines="50" w:line="400" w:lineRule="exact"/>
    </w:pPr>
    <w:rPr>
      <w:rFonts w:ascii="宋体" w:hAnsi="Courier New"/>
      <w:sz w:val="24"/>
      <w:szCs w:val="24"/>
    </w:rPr>
  </w:style>
  <w:style w:type="paragraph" w:styleId="8">
    <w:name w:val="Normal Indent"/>
    <w:basedOn w:val="1"/>
    <w:next w:val="1"/>
    <w:qFormat/>
    <w:uiPriority w:val="0"/>
    <w:pPr>
      <w:ind w:firstLine="420"/>
    </w:p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annotation text"/>
    <w:basedOn w:val="1"/>
    <w:link w:val="5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qFormat/>
    <w:uiPriority w:val="0"/>
    <w:pPr>
      <w:spacing w:after="120"/>
    </w:pPr>
  </w:style>
  <w:style w:type="paragraph" w:styleId="13">
    <w:name w:val="Body Text First Indent"/>
    <w:basedOn w:val="12"/>
    <w:qFormat/>
    <w:uiPriority w:val="0"/>
    <w:pPr>
      <w:ind w:firstLine="420" w:firstLineChars="100"/>
    </w:pPr>
  </w:style>
  <w:style w:type="paragraph" w:styleId="14">
    <w:name w:val="Body Text Indent"/>
    <w:basedOn w:val="1"/>
    <w:next w:val="15"/>
    <w:qFormat/>
    <w:uiPriority w:val="99"/>
    <w:pPr>
      <w:spacing w:after="120"/>
      <w:ind w:left="420" w:leftChars="200"/>
    </w:pPr>
  </w:style>
  <w:style w:type="paragraph" w:styleId="15">
    <w:name w:val="Body Text First Indent 2"/>
    <w:basedOn w:val="14"/>
    <w:unhideWhenUsed/>
    <w:qFormat/>
    <w:uiPriority w:val="0"/>
    <w:pPr>
      <w:ind w:firstLine="420" w:firstLineChars="200"/>
    </w:pPr>
    <w:rPr>
      <w:rFonts w:eastAsia="Times New Roman"/>
    </w:rPr>
  </w:style>
  <w:style w:type="paragraph" w:styleId="16">
    <w:name w:val="Date"/>
    <w:basedOn w:val="1"/>
    <w:next w:val="1"/>
    <w:qFormat/>
    <w:uiPriority w:val="0"/>
    <w:pPr>
      <w:ind w:left="100" w:leftChars="2500"/>
    </w:pPr>
    <w:rPr>
      <w:szCs w:val="24"/>
    </w:rPr>
  </w:style>
  <w:style w:type="paragraph" w:styleId="17">
    <w:name w:val="Body Text Indent 2"/>
    <w:basedOn w:val="1"/>
    <w:qFormat/>
    <w:uiPriority w:val="0"/>
    <w:pPr>
      <w:spacing w:line="320" w:lineRule="atLeast"/>
      <w:ind w:firstLine="600" w:firstLineChars="250"/>
    </w:pPr>
    <w:rPr>
      <w:rFonts w:ascii="宋体" w:hAnsi="宋体"/>
      <w:sz w:val="24"/>
    </w:rPr>
  </w:style>
  <w:style w:type="paragraph" w:styleId="18">
    <w:name w:val="Balloon Text"/>
    <w:basedOn w:val="1"/>
    <w:link w:val="50"/>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jc w:val="left"/>
    </w:pPr>
    <w:rPr>
      <w:sz w:val="24"/>
    </w:rPr>
  </w:style>
  <w:style w:type="paragraph" w:styleId="22">
    <w:name w:val="List"/>
    <w:basedOn w:val="1"/>
    <w:qFormat/>
    <w:uiPriority w:val="0"/>
    <w:pPr>
      <w:ind w:left="200" w:hanging="200" w:hangingChars="200"/>
    </w:pPr>
    <w:rPr>
      <w:szCs w:val="24"/>
    </w:rPr>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qFormat/>
    <w:uiPriority w:val="0"/>
    <w:pPr>
      <w:widowControl/>
      <w:spacing w:beforeAutospacing="1" w:afterAutospacing="1"/>
      <w:jc w:val="left"/>
    </w:pPr>
    <w:rPr>
      <w:rFonts w:ascii="宋体" w:hAnsi="宋体"/>
      <w:color w:val="000000"/>
      <w:kern w:val="0"/>
      <w:sz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annotation subject"/>
    <w:basedOn w:val="10"/>
    <w:next w:val="10"/>
    <w:link w:val="52"/>
    <w:semiHidden/>
    <w:unhideWhenUsed/>
    <w:qFormat/>
    <w:uiPriority w:val="0"/>
    <w:rPr>
      <w:b/>
      <w:bCs/>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basedOn w:val="29"/>
    <w:semiHidden/>
    <w:unhideWhenUsed/>
    <w:qFormat/>
    <w:uiPriority w:val="0"/>
    <w:rPr>
      <w:sz w:val="21"/>
      <w:szCs w:val="21"/>
    </w:rPr>
  </w:style>
  <w:style w:type="paragraph" w:customStyle="1" w:styleId="35">
    <w:name w:val="章正文"/>
    <w:basedOn w:val="1"/>
    <w:qFormat/>
    <w:locked/>
    <w:uiPriority w:val="0"/>
    <w:pPr>
      <w:spacing w:beforeLines="50" w:after="120" w:line="300" w:lineRule="auto"/>
      <w:ind w:firstLine="480"/>
    </w:pPr>
    <w:rPr>
      <w:rFonts w:ascii="Helvetica" w:hAnsi="Helvetica"/>
      <w:kern w:val="0"/>
    </w:rPr>
  </w:style>
  <w:style w:type="paragraph" w:customStyle="1" w:styleId="36">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7">
    <w:name w:val="font41"/>
    <w:basedOn w:val="29"/>
    <w:qFormat/>
    <w:uiPriority w:val="0"/>
    <w:rPr>
      <w:rFonts w:hint="eastAsia" w:ascii="宋体" w:hAnsi="宋体" w:eastAsia="宋体" w:cs="宋体"/>
      <w:color w:val="000000"/>
      <w:sz w:val="16"/>
      <w:szCs w:val="16"/>
      <w:u w:val="none"/>
    </w:rPr>
  </w:style>
  <w:style w:type="paragraph" w:customStyle="1" w:styleId="38">
    <w:name w:val="列出段落1"/>
    <w:basedOn w:val="1"/>
    <w:qFormat/>
    <w:uiPriority w:val="0"/>
    <w:pPr>
      <w:ind w:firstLine="420" w:firstLineChars="200"/>
    </w:pPr>
    <w:rPr>
      <w:rFonts w:asciiTheme="minorHAnsi" w:hAnsiTheme="minorHAnsi" w:eastAsiaTheme="minorEastAsia" w:cstheme="minorBidi"/>
    </w:rPr>
  </w:style>
  <w:style w:type="paragraph" w:customStyle="1" w:styleId="39">
    <w:name w:val="正文（缩进）"/>
    <w:basedOn w:val="1"/>
    <w:qFormat/>
    <w:uiPriority w:val="0"/>
    <w:pPr>
      <w:spacing w:before="156" w:after="156"/>
      <w:ind w:firstLine="480" w:firstLineChars="200"/>
    </w:pPr>
  </w:style>
  <w:style w:type="paragraph" w:customStyle="1" w:styleId="40">
    <w:name w:val="Normal Indent1"/>
    <w:basedOn w:val="1"/>
    <w:qFormat/>
    <w:uiPriority w:val="0"/>
    <w:pPr>
      <w:ind w:firstLine="420"/>
    </w:pPr>
  </w:style>
  <w:style w:type="paragraph" w:customStyle="1" w:styleId="41">
    <w:name w:val="0Y--正文"/>
    <w:basedOn w:val="1"/>
    <w:qFormat/>
    <w:uiPriority w:val="0"/>
    <w:pPr>
      <w:spacing w:line="360" w:lineRule="auto"/>
      <w:ind w:firstLine="200" w:firstLineChars="200"/>
    </w:pPr>
    <w:rPr>
      <w:rFonts w:cstheme="minorBidi"/>
      <w:color w:val="000000" w:themeColor="text1"/>
      <w:sz w:val="28"/>
      <w:szCs w:val="22"/>
      <w14:textFill>
        <w14:solidFill>
          <w14:schemeClr w14:val="tx1"/>
        </w14:solidFill>
      </w14:textFill>
    </w:rPr>
  </w:style>
  <w:style w:type="character" w:customStyle="1" w:styleId="42">
    <w:name w:val="标题 4 Char Char Char Char"/>
    <w:qFormat/>
    <w:uiPriority w:val="0"/>
    <w:rPr>
      <w:rFonts w:hint="eastAsia" w:ascii="楷体_GB2312" w:eastAsia="楷体_GB2312"/>
      <w:b/>
      <w:snapToGrid w:val="0"/>
      <w:sz w:val="24"/>
      <w:lang w:val="en-US" w:eastAsia="zh-CN" w:bidi="ar-SA"/>
    </w:rPr>
  </w:style>
  <w:style w:type="paragraph" w:customStyle="1" w:styleId="43">
    <w:name w:val="5Y--图表标题"/>
    <w:basedOn w:val="41"/>
    <w:next w:val="41"/>
    <w:qFormat/>
    <w:uiPriority w:val="0"/>
    <w:pPr>
      <w:ind w:firstLine="0" w:firstLineChars="0"/>
      <w:jc w:val="center"/>
    </w:pPr>
    <w:rPr>
      <w:b/>
    </w:rPr>
  </w:style>
  <w:style w:type="paragraph" w:customStyle="1" w:styleId="44">
    <w:name w:val="6Y--表内文字"/>
    <w:basedOn w:val="41"/>
    <w:next w:val="41"/>
    <w:qFormat/>
    <w:uiPriority w:val="0"/>
    <w:pPr>
      <w:spacing w:line="240" w:lineRule="auto"/>
      <w:ind w:firstLine="0" w:firstLineChars="0"/>
      <w:jc w:val="center"/>
    </w:pPr>
    <w:rPr>
      <w:sz w:val="24"/>
    </w:rPr>
  </w:style>
  <w:style w:type="character" w:customStyle="1" w:styleId="45">
    <w:name w:val="5级"/>
    <w:basedOn w:val="46"/>
    <w:qFormat/>
    <w:uiPriority w:val="0"/>
    <w:rPr>
      <w:rFonts w:hint="eastAsia" w:ascii="宋体" w:hAnsi="宋体" w:eastAsia="宋体" w:cs="宋体"/>
      <w:color w:val="000000"/>
      <w:kern w:val="0"/>
      <w:sz w:val="21"/>
      <w:szCs w:val="21"/>
      <w:u w:val="none"/>
    </w:rPr>
  </w:style>
  <w:style w:type="character" w:customStyle="1" w:styleId="46">
    <w:name w:val="标题 5 Char"/>
    <w:basedOn w:val="29"/>
    <w:link w:val="7"/>
    <w:qFormat/>
    <w:uiPriority w:val="9"/>
    <w:rPr>
      <w:b/>
      <w:bCs/>
      <w:sz w:val="28"/>
      <w:szCs w:val="28"/>
    </w:rPr>
  </w:style>
  <w:style w:type="paragraph" w:customStyle="1" w:styleId="47">
    <w:name w:val="4Y--4级节"/>
    <w:basedOn w:val="6"/>
    <w:next w:val="41"/>
    <w:qFormat/>
    <w:uiPriority w:val="0"/>
    <w:pPr>
      <w:spacing w:before="0" w:after="0" w:line="360" w:lineRule="auto"/>
    </w:pPr>
    <w:rPr>
      <w:rFonts w:ascii="Times New Roman" w:hAnsi="Times New Roman" w:eastAsia="宋体"/>
      <w:color w:val="000000" w:themeColor="text1"/>
      <w14:textFill>
        <w14:solidFill>
          <w14:schemeClr w14:val="tx1"/>
        </w14:solidFill>
      </w14:textFill>
    </w:rPr>
  </w:style>
  <w:style w:type="paragraph" w:customStyle="1" w:styleId="48">
    <w:name w:val="标题5"/>
    <w:basedOn w:val="1"/>
    <w:next w:val="1"/>
    <w:qFormat/>
    <w:uiPriority w:val="0"/>
    <w:pPr>
      <w:adjustRightInd w:val="0"/>
      <w:snapToGrid w:val="0"/>
      <w:spacing w:beforeLines="50" w:line="360" w:lineRule="auto"/>
      <w:outlineLvl w:val="4"/>
    </w:pPr>
    <w:rPr>
      <w:rFonts w:hAnsiTheme="minorHAnsi" w:cstheme="minorBidi"/>
      <w:b/>
      <w:sz w:val="28"/>
      <w:szCs w:val="22"/>
    </w:rPr>
  </w:style>
  <w:style w:type="paragraph" w:customStyle="1" w:styleId="49">
    <w:name w:val="3Y--3级节"/>
    <w:basedOn w:val="5"/>
    <w:next w:val="41"/>
    <w:qFormat/>
    <w:uiPriority w:val="0"/>
    <w:pPr>
      <w:spacing w:before="0" w:after="0" w:line="360" w:lineRule="auto"/>
    </w:pPr>
    <w:rPr>
      <w:rFonts w:cstheme="minorBidi"/>
      <w:color w:val="000000" w:themeColor="text1"/>
      <w:sz w:val="28"/>
      <w14:textFill>
        <w14:solidFill>
          <w14:schemeClr w14:val="tx1"/>
        </w14:solidFill>
      </w14:textFill>
    </w:rPr>
  </w:style>
  <w:style w:type="character" w:customStyle="1" w:styleId="50">
    <w:name w:val="批注框文本 Char"/>
    <w:basedOn w:val="29"/>
    <w:link w:val="18"/>
    <w:qFormat/>
    <w:uiPriority w:val="0"/>
    <w:rPr>
      <w:kern w:val="2"/>
      <w:sz w:val="18"/>
      <w:szCs w:val="18"/>
    </w:rPr>
  </w:style>
  <w:style w:type="character" w:customStyle="1" w:styleId="51">
    <w:name w:val="批注文字 Char"/>
    <w:basedOn w:val="29"/>
    <w:link w:val="10"/>
    <w:qFormat/>
    <w:uiPriority w:val="0"/>
    <w:rPr>
      <w:kern w:val="2"/>
      <w:sz w:val="21"/>
    </w:rPr>
  </w:style>
  <w:style w:type="character" w:customStyle="1" w:styleId="52">
    <w:name w:val="批注主题 Char"/>
    <w:basedOn w:val="51"/>
    <w:link w:val="26"/>
    <w:semiHidden/>
    <w:qFormat/>
    <w:uiPriority w:val="0"/>
    <w:rPr>
      <w:b/>
      <w:bCs/>
      <w:kern w:val="2"/>
      <w:sz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styleId="54">
    <w:name w:val="List Paragraph"/>
    <w:basedOn w:val="1"/>
    <w:qFormat/>
    <w:uiPriority w:val="99"/>
    <w:pPr>
      <w:ind w:firstLine="420" w:firstLineChars="200"/>
    </w:pPr>
  </w:style>
  <w:style w:type="paragraph" w:customStyle="1" w:styleId="55">
    <w:name w:val="纯文本1"/>
    <w:basedOn w:val="56"/>
    <w:qFormat/>
    <w:uiPriority w:val="0"/>
    <w:pPr>
      <w:widowControl/>
      <w:jc w:val="left"/>
    </w:pPr>
    <w:rPr>
      <w:rFonts w:hAnsi="Courier New"/>
    </w:rPr>
  </w:style>
  <w:style w:type="paragraph" w:customStyle="1" w:styleId="56">
    <w:name w:val="正文1"/>
    <w:basedOn w:val="1"/>
    <w:qFormat/>
    <w:uiPriority w:val="0"/>
    <w:pPr>
      <w:spacing w:beforeLines="50" w:line="360" w:lineRule="auto"/>
      <w:ind w:firstLine="420" w:firstLineChars="200"/>
    </w:pPr>
    <w:rPr>
      <w:rFonts w:ascii="宋体" w:hAnsi="宋体"/>
      <w:iCs/>
      <w:kern w:val="0"/>
      <w:sz w:val="24"/>
      <w:szCs w:val="21"/>
    </w:rPr>
  </w:style>
  <w:style w:type="character" w:customStyle="1" w:styleId="57">
    <w:name w:val="font81"/>
    <w:basedOn w:val="29"/>
    <w:uiPriority w:val="0"/>
    <w:rPr>
      <w:rFonts w:hint="eastAsia" w:ascii="宋体" w:hAnsi="宋体" w:eastAsia="宋体" w:cs="宋体"/>
      <w:b/>
      <w:bCs/>
      <w:color w:val="000000"/>
      <w:sz w:val="24"/>
      <w:szCs w:val="24"/>
      <w:u w:val="none"/>
    </w:rPr>
  </w:style>
  <w:style w:type="character" w:customStyle="1" w:styleId="58">
    <w:name w:val="font51"/>
    <w:basedOn w:val="29"/>
    <w:qFormat/>
    <w:uiPriority w:val="0"/>
    <w:rPr>
      <w:rFonts w:hint="eastAsia" w:ascii="宋体" w:hAnsi="宋体" w:eastAsia="宋体" w:cs="宋体"/>
      <w:color w:val="FF0000"/>
      <w:sz w:val="24"/>
      <w:szCs w:val="24"/>
      <w:u w:val="none"/>
    </w:rPr>
  </w:style>
  <w:style w:type="character" w:customStyle="1" w:styleId="59">
    <w:name w:val="font21"/>
    <w:basedOn w:val="29"/>
    <w:qFormat/>
    <w:uiPriority w:val="0"/>
    <w:rPr>
      <w:rFonts w:hint="eastAsia" w:ascii="宋体" w:hAnsi="宋体" w:eastAsia="宋体" w:cs="宋体"/>
      <w:color w:val="000000"/>
      <w:sz w:val="24"/>
      <w:szCs w:val="24"/>
      <w:u w:val="none"/>
    </w:rPr>
  </w:style>
  <w:style w:type="character" w:customStyle="1" w:styleId="60">
    <w:name w:val="font91"/>
    <w:basedOn w:val="29"/>
    <w:qFormat/>
    <w:uiPriority w:val="0"/>
    <w:rPr>
      <w:rFonts w:ascii="Arial" w:hAnsi="Arial" w:cs="Arial"/>
      <w:color w:val="000000"/>
      <w:sz w:val="16"/>
      <w:szCs w:val="16"/>
      <w:u w:val="none"/>
    </w:rPr>
  </w:style>
  <w:style w:type="character" w:customStyle="1" w:styleId="61">
    <w:name w:val="font11"/>
    <w:basedOn w:val="29"/>
    <w:qFormat/>
    <w:uiPriority w:val="0"/>
    <w:rPr>
      <w:rFonts w:hint="eastAsia" w:ascii="宋体" w:hAnsi="宋体" w:eastAsia="宋体" w:cs="宋体"/>
      <w:color w:val="000000"/>
      <w:sz w:val="16"/>
      <w:szCs w:val="16"/>
      <w:u w:val="none"/>
    </w:rPr>
  </w:style>
  <w:style w:type="character" w:customStyle="1" w:styleId="62">
    <w:name w:val="font61"/>
    <w:basedOn w:val="29"/>
    <w:qFormat/>
    <w:uiPriority w:val="0"/>
    <w:rPr>
      <w:rFonts w:ascii="Arial" w:hAnsi="Arial" w:cs="Arial"/>
      <w:color w:val="000000"/>
      <w:sz w:val="16"/>
      <w:szCs w:val="16"/>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5.xml"/>
  <Relationship Id="rId11" Type="http://schemas.openxmlformats.org/officeDocument/2006/relationships/theme" Target="theme/theme1.xml"/>
  <Relationship Id="rId12" Type="http://schemas.openxmlformats.org/officeDocument/2006/relationships/customXml" Target="../customXml/item1.xml"/>
  <Relationship Id="rId13" Type="http://schemas.openxmlformats.org/officeDocument/2006/relationships/numbering" Target="numbering.xml"/>
  <Relationship Id="rId14" Type="http://schemas.openxmlformats.org/officeDocument/2006/relationships/customXml" Target="../customXml/item2.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header" Target="header2.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F585A-8945-4971-8A12-A19E9E32D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81</Pages>
  <Words>40319</Words>
  <Characters>46406</Characters>
  <Lines>787</Lines>
  <Paragraphs>221</Paragraphs>
  <TotalTime>1</TotalTime>
  <ScaleCrop>false</ScaleCrop>
  <LinksUpToDate>false</LinksUpToDate>
  <CharactersWithSpaces>50308</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2021-06-25T02:21:00Z</dcterms:created>
  <dc:creator>Administrator</dc:creator>
  <lastModifiedBy>R</lastModifiedBy>
  <lastPrinted>2022-12-21T06:08:00Z</lastPrinted>
  <dcterms:modified xsi:type="dcterms:W3CDTF">2022-12-22T06:07:20Z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CA643D6FED56497B8E203B82BDB55C02</vt:lpwstr>
  </property>
</Properties>
</file>