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2024年德清县塑料一次性餐饮具产品质量监督抽查实施细则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szCs w:val="21"/>
        </w:rPr>
      </w:pPr>
      <w:r>
        <w:rPr>
          <w:rFonts w:hint="eastAsia"/>
          <w:szCs w:val="21"/>
        </w:rPr>
        <w:t>随机数一般可使用随机数表等方法产生。</w:t>
      </w:r>
    </w:p>
    <w:p>
      <w:pPr>
        <w:adjustRightInd w:val="0"/>
        <w:snapToGrid w:val="0"/>
        <w:spacing w:line="440" w:lineRule="exact"/>
        <w:outlineLvl w:val="1"/>
        <w:rPr>
          <w:szCs w:val="21"/>
        </w:rPr>
      </w:pPr>
      <w:r>
        <w:rPr>
          <w:rFonts w:hint="eastAsia"/>
          <w:szCs w:val="21"/>
        </w:rPr>
        <w:t>食品接触用工具：</w:t>
      </w:r>
    </w:p>
    <w:p>
      <w:pPr>
        <w:adjustRightInd w:val="0"/>
        <w:snapToGrid w:val="0"/>
        <w:spacing w:line="440" w:lineRule="exact"/>
        <w:jc w:val="center"/>
        <w:outlineLvl w:val="1"/>
        <w:rPr>
          <w:szCs w:val="21"/>
        </w:rPr>
      </w:pPr>
      <w:r>
        <w:rPr>
          <w:rFonts w:hint="eastAsia"/>
          <w:color w:val="000000"/>
          <w:szCs w:val="21"/>
        </w:rPr>
        <w:t>表1 抽取样品数量</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333"/>
        <w:gridCol w:w="1989"/>
        <w:gridCol w:w="194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序号</w:t>
            </w:r>
          </w:p>
        </w:tc>
        <w:tc>
          <w:tcPr>
            <w:tcW w:w="2333" w:type="dxa"/>
            <w:vAlign w:val="center"/>
          </w:tcPr>
          <w:p>
            <w:pPr>
              <w:snapToGrid w:val="0"/>
              <w:jc w:val="center"/>
              <w:rPr>
                <w:color w:val="000000"/>
                <w:szCs w:val="21"/>
              </w:rPr>
            </w:pPr>
            <w:r>
              <w:rPr>
                <w:rFonts w:hint="eastAsia"/>
                <w:szCs w:val="21"/>
              </w:rPr>
              <w:t>产品种类</w:t>
            </w:r>
          </w:p>
        </w:tc>
        <w:tc>
          <w:tcPr>
            <w:tcW w:w="1989" w:type="dxa"/>
            <w:vAlign w:val="center"/>
          </w:tcPr>
          <w:p>
            <w:pPr>
              <w:snapToGrid w:val="0"/>
              <w:jc w:val="center"/>
              <w:rPr>
                <w:color w:val="000000"/>
                <w:szCs w:val="21"/>
              </w:rPr>
            </w:pPr>
            <w:r>
              <w:rPr>
                <w:rFonts w:hint="eastAsia"/>
                <w:color w:val="000000"/>
                <w:szCs w:val="21"/>
              </w:rPr>
              <w:t xml:space="preserve">抽样数量 </w:t>
            </w:r>
          </w:p>
        </w:tc>
        <w:tc>
          <w:tcPr>
            <w:tcW w:w="1944" w:type="dxa"/>
            <w:vAlign w:val="center"/>
          </w:tcPr>
          <w:p>
            <w:pPr>
              <w:snapToGrid w:val="0"/>
              <w:jc w:val="center"/>
              <w:rPr>
                <w:color w:val="000000"/>
                <w:szCs w:val="21"/>
              </w:rPr>
            </w:pPr>
            <w:r>
              <w:rPr>
                <w:color w:val="000000"/>
                <w:szCs w:val="21"/>
              </w:rPr>
              <w:t>检验样品</w:t>
            </w:r>
            <w:r>
              <w:rPr>
                <w:rFonts w:hint="eastAsia"/>
                <w:color w:val="000000"/>
                <w:szCs w:val="21"/>
              </w:rPr>
              <w:t xml:space="preserve">数量 </w:t>
            </w:r>
          </w:p>
        </w:tc>
        <w:tc>
          <w:tcPr>
            <w:tcW w:w="2074" w:type="dxa"/>
            <w:vAlign w:val="center"/>
          </w:tcPr>
          <w:p>
            <w:pPr>
              <w:snapToGrid w:val="0"/>
              <w:jc w:val="center"/>
              <w:rPr>
                <w:color w:val="000000"/>
                <w:szCs w:val="21"/>
              </w:rPr>
            </w:pPr>
            <w:r>
              <w:rPr>
                <w:rFonts w:hint="eastAsia"/>
                <w:color w:val="000000"/>
                <w:szCs w:val="21"/>
              </w:rPr>
              <w:t xml:space="preserve">备用样品数量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698" w:type="dxa"/>
            <w:vAlign w:val="center"/>
          </w:tcPr>
          <w:p>
            <w:pPr>
              <w:snapToGrid w:val="0"/>
              <w:jc w:val="center"/>
              <w:rPr>
                <w:szCs w:val="21"/>
              </w:rPr>
            </w:pPr>
            <w:r>
              <w:rPr>
                <w:rFonts w:hint="eastAsia"/>
                <w:szCs w:val="21"/>
              </w:rPr>
              <w:t>1</w:t>
            </w:r>
          </w:p>
        </w:tc>
        <w:tc>
          <w:tcPr>
            <w:tcW w:w="2333" w:type="dxa"/>
            <w:vAlign w:val="center"/>
          </w:tcPr>
          <w:p>
            <w:pPr>
              <w:snapToGrid w:val="0"/>
              <w:jc w:val="center"/>
              <w:rPr>
                <w:szCs w:val="21"/>
              </w:rPr>
            </w:pPr>
            <w:r>
              <w:rPr>
                <w:rFonts w:hint="eastAsia"/>
                <w:szCs w:val="21"/>
              </w:rPr>
              <w:t>密胺塑料餐具</w:t>
            </w:r>
          </w:p>
        </w:tc>
        <w:tc>
          <w:tcPr>
            <w:tcW w:w="1989" w:type="dxa"/>
            <w:vAlign w:val="center"/>
          </w:tcPr>
          <w:p>
            <w:pPr>
              <w:snapToGrid w:val="0"/>
              <w:jc w:val="center"/>
              <w:rPr>
                <w:color w:val="000000"/>
                <w:szCs w:val="21"/>
              </w:rPr>
            </w:pPr>
            <w:r>
              <w:rPr>
                <w:rFonts w:hint="eastAsia"/>
                <w:color w:val="000000"/>
                <w:szCs w:val="21"/>
              </w:rPr>
              <w:t>筷子：80支</w:t>
            </w:r>
          </w:p>
          <w:p>
            <w:pPr>
              <w:snapToGrid w:val="0"/>
              <w:jc w:val="center"/>
              <w:rPr>
                <w:color w:val="000000"/>
                <w:szCs w:val="21"/>
              </w:rPr>
            </w:pPr>
            <w:r>
              <w:rPr>
                <w:rFonts w:hint="eastAsia"/>
                <w:color w:val="000000"/>
                <w:szCs w:val="21"/>
              </w:rPr>
              <w:t>其它产品：60个</w:t>
            </w:r>
          </w:p>
        </w:tc>
        <w:tc>
          <w:tcPr>
            <w:tcW w:w="1944" w:type="dxa"/>
            <w:vAlign w:val="center"/>
          </w:tcPr>
          <w:p>
            <w:pPr>
              <w:snapToGrid w:val="0"/>
              <w:jc w:val="center"/>
              <w:rPr>
                <w:color w:val="000000"/>
                <w:szCs w:val="21"/>
              </w:rPr>
            </w:pPr>
            <w:r>
              <w:rPr>
                <w:rFonts w:hint="eastAsia"/>
                <w:color w:val="000000"/>
                <w:szCs w:val="21"/>
              </w:rPr>
              <w:t>60支</w:t>
            </w:r>
          </w:p>
          <w:p>
            <w:pPr>
              <w:snapToGrid w:val="0"/>
              <w:jc w:val="center"/>
              <w:rPr>
                <w:color w:val="000000"/>
                <w:szCs w:val="21"/>
              </w:rPr>
            </w:pPr>
            <w:r>
              <w:rPr>
                <w:rFonts w:hint="eastAsia"/>
                <w:color w:val="000000"/>
                <w:szCs w:val="21"/>
              </w:rPr>
              <w:t>其它产品：40个</w:t>
            </w:r>
          </w:p>
        </w:tc>
        <w:tc>
          <w:tcPr>
            <w:tcW w:w="2074" w:type="dxa"/>
            <w:vAlign w:val="center"/>
          </w:tcPr>
          <w:p>
            <w:pPr>
              <w:snapToGrid w:val="0"/>
              <w:jc w:val="center"/>
              <w:rPr>
                <w:color w:val="000000"/>
                <w:szCs w:val="21"/>
              </w:rPr>
            </w:pPr>
            <w:r>
              <w:rPr>
                <w:rFonts w:hint="eastAsia"/>
                <w:color w:val="000000"/>
                <w:szCs w:val="21"/>
              </w:rPr>
              <w:t>20支</w:t>
            </w:r>
          </w:p>
          <w:p>
            <w:pPr>
              <w:snapToGrid w:val="0"/>
              <w:jc w:val="center"/>
              <w:rPr>
                <w:color w:val="000000"/>
                <w:szCs w:val="21"/>
              </w:rPr>
            </w:pPr>
            <w:r>
              <w:rPr>
                <w:rFonts w:hint="eastAsia"/>
                <w:color w:val="000000"/>
                <w:szCs w:val="21"/>
              </w:rPr>
              <w:t>其它产品：20个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2</w:t>
            </w:r>
          </w:p>
        </w:tc>
        <w:tc>
          <w:tcPr>
            <w:tcW w:w="2333" w:type="dxa"/>
            <w:vAlign w:val="center"/>
          </w:tcPr>
          <w:p>
            <w:pPr>
              <w:snapToGrid w:val="0"/>
              <w:jc w:val="center"/>
              <w:rPr>
                <w:szCs w:val="21"/>
              </w:rPr>
            </w:pPr>
            <w:r>
              <w:rPr>
                <w:rFonts w:hint="eastAsia"/>
                <w:szCs w:val="21"/>
              </w:rPr>
              <w:t>塑料菜板</w:t>
            </w:r>
          </w:p>
        </w:tc>
        <w:tc>
          <w:tcPr>
            <w:tcW w:w="1989" w:type="dxa"/>
            <w:vAlign w:val="center"/>
          </w:tcPr>
          <w:p>
            <w:pPr>
              <w:snapToGrid w:val="0"/>
              <w:jc w:val="center"/>
              <w:rPr>
                <w:szCs w:val="21"/>
              </w:rPr>
            </w:pPr>
            <w:r>
              <w:rPr>
                <w:rFonts w:hint="eastAsia"/>
                <w:szCs w:val="21"/>
              </w:rPr>
              <w:t>16个</w:t>
            </w:r>
          </w:p>
        </w:tc>
        <w:tc>
          <w:tcPr>
            <w:tcW w:w="1944" w:type="dxa"/>
            <w:vAlign w:val="center"/>
          </w:tcPr>
          <w:p>
            <w:pPr>
              <w:snapToGrid w:val="0"/>
              <w:jc w:val="center"/>
              <w:rPr>
                <w:szCs w:val="21"/>
              </w:rPr>
            </w:pPr>
            <w:r>
              <w:rPr>
                <w:rFonts w:hint="eastAsia"/>
                <w:szCs w:val="21"/>
              </w:rPr>
              <w:t>12个</w:t>
            </w:r>
          </w:p>
        </w:tc>
        <w:tc>
          <w:tcPr>
            <w:tcW w:w="2074" w:type="dxa"/>
            <w:vAlign w:val="center"/>
          </w:tcPr>
          <w:p>
            <w:pPr>
              <w:snapToGrid w:val="0"/>
              <w:jc w:val="center"/>
              <w:rPr>
                <w:szCs w:val="21"/>
              </w:rPr>
            </w:pPr>
            <w:r>
              <w:rPr>
                <w:rFonts w:hint="eastAsia"/>
                <w:szCs w:val="21"/>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3</w:t>
            </w:r>
          </w:p>
        </w:tc>
        <w:tc>
          <w:tcPr>
            <w:tcW w:w="2333" w:type="dxa"/>
            <w:vAlign w:val="center"/>
          </w:tcPr>
          <w:p>
            <w:pPr>
              <w:snapToGrid w:val="0"/>
              <w:jc w:val="center"/>
              <w:rPr>
                <w:szCs w:val="21"/>
              </w:rPr>
            </w:pPr>
            <w:r>
              <w:rPr>
                <w:rFonts w:hint="eastAsia"/>
                <w:szCs w:val="21"/>
              </w:rPr>
              <w:t>饮用吸管</w:t>
            </w:r>
          </w:p>
        </w:tc>
        <w:tc>
          <w:tcPr>
            <w:tcW w:w="1989" w:type="dxa"/>
            <w:vAlign w:val="center"/>
          </w:tcPr>
          <w:p>
            <w:pPr>
              <w:snapToGrid w:val="0"/>
              <w:jc w:val="center"/>
              <w:rPr>
                <w:szCs w:val="21"/>
              </w:rPr>
            </w:pPr>
            <w:r>
              <w:rPr>
                <w:rFonts w:hint="eastAsia"/>
                <w:szCs w:val="21"/>
              </w:rPr>
              <w:t>150个</w:t>
            </w:r>
          </w:p>
        </w:tc>
        <w:tc>
          <w:tcPr>
            <w:tcW w:w="1944" w:type="dxa"/>
            <w:vAlign w:val="center"/>
          </w:tcPr>
          <w:p>
            <w:pPr>
              <w:snapToGrid w:val="0"/>
              <w:jc w:val="center"/>
              <w:rPr>
                <w:szCs w:val="21"/>
              </w:rPr>
            </w:pPr>
            <w:r>
              <w:rPr>
                <w:rFonts w:hint="eastAsia"/>
                <w:szCs w:val="21"/>
              </w:rPr>
              <w:t>100个</w:t>
            </w:r>
          </w:p>
        </w:tc>
        <w:tc>
          <w:tcPr>
            <w:tcW w:w="2074" w:type="dxa"/>
            <w:vAlign w:val="center"/>
          </w:tcPr>
          <w:p>
            <w:pPr>
              <w:snapToGrid w:val="0"/>
              <w:jc w:val="center"/>
              <w:rPr>
                <w:szCs w:val="21"/>
              </w:rPr>
            </w:pPr>
            <w:r>
              <w:rPr>
                <w:rFonts w:hint="eastAsia"/>
                <w:szCs w:val="21"/>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4</w:t>
            </w:r>
          </w:p>
        </w:tc>
        <w:tc>
          <w:tcPr>
            <w:tcW w:w="2333" w:type="dxa"/>
            <w:vAlign w:val="center"/>
          </w:tcPr>
          <w:p>
            <w:pPr>
              <w:snapToGrid w:val="0"/>
              <w:jc w:val="center"/>
              <w:rPr>
                <w:szCs w:val="21"/>
              </w:rPr>
            </w:pPr>
            <w:r>
              <w:rPr>
                <w:rFonts w:hint="eastAsia"/>
                <w:szCs w:val="21"/>
              </w:rPr>
              <w:t>塑料一次性餐饮具</w:t>
            </w:r>
          </w:p>
        </w:tc>
        <w:tc>
          <w:tcPr>
            <w:tcW w:w="1989" w:type="dxa"/>
            <w:vAlign w:val="center"/>
          </w:tcPr>
          <w:p>
            <w:pPr>
              <w:snapToGrid w:val="0"/>
              <w:jc w:val="center"/>
              <w:rPr>
                <w:szCs w:val="21"/>
              </w:rPr>
            </w:pPr>
            <w:r>
              <w:rPr>
                <w:rFonts w:hint="eastAsia"/>
                <w:szCs w:val="21"/>
              </w:rPr>
              <w:t>70个</w:t>
            </w:r>
          </w:p>
        </w:tc>
        <w:tc>
          <w:tcPr>
            <w:tcW w:w="1944" w:type="dxa"/>
            <w:vAlign w:val="center"/>
          </w:tcPr>
          <w:p>
            <w:pPr>
              <w:snapToGrid w:val="0"/>
              <w:jc w:val="center"/>
              <w:rPr>
                <w:szCs w:val="21"/>
              </w:rPr>
            </w:pPr>
            <w:r>
              <w:rPr>
                <w:rFonts w:hint="eastAsia"/>
                <w:szCs w:val="21"/>
              </w:rPr>
              <w:t>50个</w:t>
            </w:r>
          </w:p>
        </w:tc>
        <w:tc>
          <w:tcPr>
            <w:tcW w:w="2074" w:type="dxa"/>
            <w:vAlign w:val="center"/>
          </w:tcPr>
          <w:p>
            <w:pPr>
              <w:snapToGrid w:val="0"/>
              <w:jc w:val="center"/>
              <w:rPr>
                <w:szCs w:val="21"/>
              </w:rPr>
            </w:pPr>
            <w:r>
              <w:rPr>
                <w:rFonts w:hint="eastAsia"/>
                <w:szCs w:val="21"/>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698" w:type="dxa"/>
            <w:vAlign w:val="center"/>
          </w:tcPr>
          <w:p>
            <w:pPr>
              <w:snapToGrid w:val="0"/>
              <w:jc w:val="center"/>
              <w:rPr>
                <w:szCs w:val="21"/>
              </w:rPr>
            </w:pPr>
            <w:r>
              <w:rPr>
                <w:rFonts w:hint="eastAsia"/>
                <w:szCs w:val="21"/>
              </w:rPr>
              <w:t>5</w:t>
            </w:r>
          </w:p>
        </w:tc>
        <w:tc>
          <w:tcPr>
            <w:tcW w:w="2333" w:type="dxa"/>
            <w:vAlign w:val="center"/>
          </w:tcPr>
          <w:p>
            <w:pPr>
              <w:snapToGrid w:val="0"/>
              <w:jc w:val="center"/>
              <w:rPr>
                <w:szCs w:val="21"/>
              </w:rPr>
            </w:pPr>
            <w:r>
              <w:rPr>
                <w:rFonts w:hint="eastAsia"/>
                <w:szCs w:val="21"/>
              </w:rPr>
              <w:t>可重复使用塑料餐饮具</w:t>
            </w:r>
          </w:p>
        </w:tc>
        <w:tc>
          <w:tcPr>
            <w:tcW w:w="1989" w:type="dxa"/>
            <w:vAlign w:val="center"/>
          </w:tcPr>
          <w:p>
            <w:pPr>
              <w:snapToGrid w:val="0"/>
              <w:jc w:val="center"/>
              <w:rPr>
                <w:szCs w:val="21"/>
              </w:rPr>
            </w:pPr>
            <w:r>
              <w:rPr>
                <w:rFonts w:hint="eastAsia"/>
                <w:szCs w:val="21"/>
              </w:rPr>
              <w:t>30个</w:t>
            </w:r>
          </w:p>
        </w:tc>
        <w:tc>
          <w:tcPr>
            <w:tcW w:w="1944" w:type="dxa"/>
            <w:vAlign w:val="center"/>
          </w:tcPr>
          <w:p>
            <w:pPr>
              <w:snapToGrid w:val="0"/>
              <w:jc w:val="center"/>
              <w:rPr>
                <w:szCs w:val="21"/>
              </w:rPr>
            </w:pPr>
            <w:r>
              <w:rPr>
                <w:rFonts w:hint="eastAsia"/>
                <w:szCs w:val="21"/>
              </w:rPr>
              <w:t>20个</w:t>
            </w:r>
          </w:p>
        </w:tc>
        <w:tc>
          <w:tcPr>
            <w:tcW w:w="2074" w:type="dxa"/>
            <w:vAlign w:val="center"/>
          </w:tcPr>
          <w:p>
            <w:pPr>
              <w:snapToGrid w:val="0"/>
              <w:jc w:val="center"/>
              <w:rPr>
                <w:szCs w:val="21"/>
              </w:rPr>
            </w:pPr>
            <w:r>
              <w:rPr>
                <w:rFonts w:hint="eastAsia"/>
                <w:szCs w:val="21"/>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blHeader/>
          <w:jc w:val="center"/>
        </w:trPr>
        <w:tc>
          <w:tcPr>
            <w:tcW w:w="698" w:type="dxa"/>
            <w:vAlign w:val="center"/>
          </w:tcPr>
          <w:p>
            <w:pPr>
              <w:snapToGrid w:val="0"/>
              <w:jc w:val="center"/>
              <w:rPr>
                <w:szCs w:val="21"/>
              </w:rPr>
            </w:pPr>
            <w:r>
              <w:rPr>
                <w:rFonts w:hint="eastAsia"/>
                <w:szCs w:val="21"/>
              </w:rPr>
              <w:t>6</w:t>
            </w:r>
          </w:p>
        </w:tc>
        <w:tc>
          <w:tcPr>
            <w:tcW w:w="2333" w:type="dxa"/>
            <w:vAlign w:val="center"/>
          </w:tcPr>
          <w:p>
            <w:pPr>
              <w:snapToGrid w:val="0"/>
              <w:jc w:val="center"/>
              <w:rPr>
                <w:szCs w:val="21"/>
              </w:rPr>
            </w:pPr>
            <w:r>
              <w:rPr>
                <w:rFonts w:hint="eastAsia"/>
                <w:szCs w:val="21"/>
              </w:rPr>
              <w:t>食品接触用特定工具及塑料件</w:t>
            </w:r>
          </w:p>
        </w:tc>
        <w:tc>
          <w:tcPr>
            <w:tcW w:w="1989" w:type="dxa"/>
            <w:vAlign w:val="center"/>
          </w:tcPr>
          <w:p>
            <w:pPr>
              <w:snapToGrid w:val="0"/>
              <w:jc w:val="center"/>
              <w:rPr>
                <w:szCs w:val="21"/>
              </w:rPr>
            </w:pPr>
            <w:r>
              <w:rPr>
                <w:rFonts w:hint="eastAsia"/>
                <w:szCs w:val="21"/>
              </w:rPr>
              <w:t>70个</w:t>
            </w:r>
          </w:p>
        </w:tc>
        <w:tc>
          <w:tcPr>
            <w:tcW w:w="1944" w:type="dxa"/>
            <w:vAlign w:val="center"/>
          </w:tcPr>
          <w:p>
            <w:pPr>
              <w:snapToGrid w:val="0"/>
              <w:jc w:val="center"/>
              <w:rPr>
                <w:szCs w:val="21"/>
              </w:rPr>
            </w:pPr>
            <w:r>
              <w:rPr>
                <w:rFonts w:hint="eastAsia"/>
                <w:szCs w:val="21"/>
              </w:rPr>
              <w:t>50个</w:t>
            </w:r>
          </w:p>
        </w:tc>
        <w:tc>
          <w:tcPr>
            <w:tcW w:w="2074" w:type="dxa"/>
            <w:vAlign w:val="center"/>
          </w:tcPr>
          <w:p>
            <w:pPr>
              <w:snapToGrid w:val="0"/>
              <w:jc w:val="center"/>
              <w:rPr>
                <w:szCs w:val="21"/>
              </w:rPr>
            </w:pPr>
            <w:r>
              <w:rPr>
                <w:rFonts w:hint="eastAsia"/>
                <w:szCs w:val="21"/>
              </w:rPr>
              <w:t>20个</w:t>
            </w:r>
          </w:p>
        </w:tc>
      </w:tr>
    </w:tbl>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表2 塑料一次性餐饮具</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1</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w:t>
            </w:r>
            <w:r>
              <w:rPr>
                <w:rFonts w:hint="eastAsia"/>
                <w:szCs w:val="21"/>
              </w:rPr>
              <w:t>1-</w:t>
            </w:r>
            <w:r>
              <w:rPr>
                <w:szCs w:val="21"/>
              </w:rPr>
              <w:t>2016</w:t>
            </w:r>
          </w:p>
          <w:p>
            <w:pPr>
              <w:widowControl/>
              <w:jc w:val="center"/>
              <w:textAlignment w:val="center"/>
              <w:rPr>
                <w:rFonts w:ascii="宋体" w:hAnsi="宋体" w:cs="宋体"/>
                <w:color w:val="000000"/>
                <w:szCs w:val="21"/>
              </w:rPr>
            </w:pPr>
            <w:r>
              <w:rPr>
                <w:rFonts w:hint="eastAsia"/>
                <w:szCs w:val="21"/>
              </w:rPr>
              <w:t>GB 4806.6-2016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2</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感官要求</w:t>
            </w:r>
          </w:p>
        </w:tc>
        <w:tc>
          <w:tcPr>
            <w:tcW w:w="2373" w:type="pct"/>
            <w:vAlign w:val="center"/>
          </w:tcPr>
          <w:p>
            <w:pPr>
              <w:snapToGrid w:val="0"/>
              <w:jc w:val="center"/>
              <w:rPr>
                <w:szCs w:val="21"/>
              </w:rPr>
            </w:pPr>
            <w:r>
              <w:rPr>
                <w:rFonts w:hint="eastAsia"/>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3</w:t>
            </w:r>
          </w:p>
        </w:tc>
        <w:tc>
          <w:tcPr>
            <w:tcW w:w="1594" w:type="pct"/>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总迁移量</w:t>
            </w:r>
          </w:p>
        </w:tc>
        <w:tc>
          <w:tcPr>
            <w:tcW w:w="2373" w:type="pct"/>
            <w:vAlign w:val="center"/>
          </w:tcPr>
          <w:p>
            <w:pPr>
              <w:snapToGrid w:val="0"/>
              <w:jc w:val="center"/>
              <w:rPr>
                <w:szCs w:val="21"/>
              </w:rPr>
            </w:pPr>
            <w:r>
              <w:rPr>
                <w:rFonts w:hint="eastAsia"/>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4</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高锰酸钾消耗量</w:t>
            </w:r>
          </w:p>
        </w:tc>
        <w:tc>
          <w:tcPr>
            <w:tcW w:w="2373" w:type="pct"/>
            <w:vAlign w:val="center"/>
          </w:tcPr>
          <w:p>
            <w:pPr>
              <w:snapToGrid w:val="0"/>
              <w:jc w:val="center"/>
              <w:rPr>
                <w:szCs w:val="21"/>
              </w:rPr>
            </w:pPr>
            <w:r>
              <w:rPr>
                <w:rFonts w:hint="eastAsia"/>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5</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重金属（以Pb计）</w:t>
            </w:r>
          </w:p>
        </w:tc>
        <w:tc>
          <w:tcPr>
            <w:tcW w:w="2373" w:type="pct"/>
            <w:vAlign w:val="center"/>
          </w:tcPr>
          <w:p>
            <w:pPr>
              <w:snapToGrid w:val="0"/>
              <w:jc w:val="center"/>
              <w:rPr>
                <w:szCs w:val="21"/>
              </w:rPr>
            </w:pPr>
            <w:r>
              <w:rPr>
                <w:rFonts w:hint="eastAsia"/>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6</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脱色试验（仅适用于添加着色剂产品）</w:t>
            </w:r>
          </w:p>
        </w:tc>
        <w:tc>
          <w:tcPr>
            <w:tcW w:w="2373" w:type="pct"/>
            <w:vAlign w:val="center"/>
          </w:tcPr>
          <w:p>
            <w:pPr>
              <w:snapToGrid w:val="0"/>
              <w:jc w:val="center"/>
              <w:rPr>
                <w:szCs w:val="21"/>
              </w:rPr>
            </w:pPr>
            <w:r>
              <w:rPr>
                <w:rFonts w:hint="eastAsia"/>
                <w:szCs w:val="21"/>
              </w:rPr>
              <w:t>GB 31604.7-2016</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rFonts w:hint="eastAsia"/>
          <w:color w:val="000000"/>
          <w:szCs w:val="21"/>
        </w:rPr>
      </w:pPr>
      <w:r>
        <w:rPr>
          <w:rFonts w:hint="eastAsia"/>
          <w:color w:val="000000"/>
          <w:szCs w:val="21"/>
        </w:rPr>
        <w:t>复检时所检测的样品为备用样品。</w:t>
      </w:r>
    </w:p>
    <w:p>
      <w:pPr>
        <w:snapToGrid w:val="0"/>
        <w:spacing w:line="440" w:lineRule="exact"/>
        <w:ind w:firstLine="420" w:firstLineChars="200"/>
        <w:rPr>
          <w:rFonts w:hint="eastAsia"/>
          <w:color w:val="000000"/>
          <w:szCs w:val="21"/>
        </w:rPr>
      </w:pPr>
      <w:bookmarkStart w:id="0" w:name="_GoBack"/>
      <w:bookmarkEnd w:id="0"/>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spacing w:line="440" w:lineRule="exact"/>
        <w:ind w:firstLine="420" w:firstLineChars="200"/>
        <w:rPr>
          <w:szCs w:val="21"/>
        </w:rPr>
      </w:pPr>
      <w:r>
        <w:rPr>
          <w:szCs w:val="21"/>
        </w:rPr>
        <w:t>GB/T 18006.1-2009   塑料一次性餐饮具通用技术要求</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snapToGrid w:val="0"/>
        <w:spacing w:line="440" w:lineRule="exact"/>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A0C5A"/>
    <w:rsid w:val="000A2FA9"/>
    <w:rsid w:val="000D0B7A"/>
    <w:rsid w:val="000F0172"/>
    <w:rsid w:val="001001F2"/>
    <w:rsid w:val="00102FBF"/>
    <w:rsid w:val="00104D1A"/>
    <w:rsid w:val="00111BFA"/>
    <w:rsid w:val="00126B4B"/>
    <w:rsid w:val="0013492D"/>
    <w:rsid w:val="00136614"/>
    <w:rsid w:val="00146B5F"/>
    <w:rsid w:val="001515C4"/>
    <w:rsid w:val="00173D62"/>
    <w:rsid w:val="00176766"/>
    <w:rsid w:val="00185563"/>
    <w:rsid w:val="0019080C"/>
    <w:rsid w:val="001C3CE2"/>
    <w:rsid w:val="001E7D67"/>
    <w:rsid w:val="001F5A89"/>
    <w:rsid w:val="002333DE"/>
    <w:rsid w:val="00245D87"/>
    <w:rsid w:val="00262E0C"/>
    <w:rsid w:val="00263965"/>
    <w:rsid w:val="002657A4"/>
    <w:rsid w:val="002961CD"/>
    <w:rsid w:val="002A2353"/>
    <w:rsid w:val="002D2966"/>
    <w:rsid w:val="002F3CE5"/>
    <w:rsid w:val="00313811"/>
    <w:rsid w:val="00316ED3"/>
    <w:rsid w:val="00322C70"/>
    <w:rsid w:val="0033027F"/>
    <w:rsid w:val="00345C28"/>
    <w:rsid w:val="003462B4"/>
    <w:rsid w:val="0035010F"/>
    <w:rsid w:val="003507DD"/>
    <w:rsid w:val="00384D3B"/>
    <w:rsid w:val="003A1F5F"/>
    <w:rsid w:val="003B0BC4"/>
    <w:rsid w:val="003B5A03"/>
    <w:rsid w:val="003C4ABE"/>
    <w:rsid w:val="003D5388"/>
    <w:rsid w:val="003F71AC"/>
    <w:rsid w:val="003F7705"/>
    <w:rsid w:val="004064D4"/>
    <w:rsid w:val="00421E58"/>
    <w:rsid w:val="004447C9"/>
    <w:rsid w:val="00460651"/>
    <w:rsid w:val="0048431A"/>
    <w:rsid w:val="004A0B0A"/>
    <w:rsid w:val="004A673D"/>
    <w:rsid w:val="004D349C"/>
    <w:rsid w:val="004D79DF"/>
    <w:rsid w:val="004E7F45"/>
    <w:rsid w:val="005025AF"/>
    <w:rsid w:val="0051209D"/>
    <w:rsid w:val="00532F8D"/>
    <w:rsid w:val="00536DCA"/>
    <w:rsid w:val="0054077C"/>
    <w:rsid w:val="00543BC5"/>
    <w:rsid w:val="005468BC"/>
    <w:rsid w:val="00553E9A"/>
    <w:rsid w:val="0056405C"/>
    <w:rsid w:val="00571A64"/>
    <w:rsid w:val="00575C42"/>
    <w:rsid w:val="0059759C"/>
    <w:rsid w:val="005A608E"/>
    <w:rsid w:val="005A736C"/>
    <w:rsid w:val="005E6927"/>
    <w:rsid w:val="0061295A"/>
    <w:rsid w:val="006133E0"/>
    <w:rsid w:val="0061369D"/>
    <w:rsid w:val="00614A91"/>
    <w:rsid w:val="006219F8"/>
    <w:rsid w:val="00637B14"/>
    <w:rsid w:val="00640574"/>
    <w:rsid w:val="006430D7"/>
    <w:rsid w:val="00646A2D"/>
    <w:rsid w:val="0065579C"/>
    <w:rsid w:val="00661A1E"/>
    <w:rsid w:val="0068760D"/>
    <w:rsid w:val="006A74D7"/>
    <w:rsid w:val="006C56E0"/>
    <w:rsid w:val="006D42AD"/>
    <w:rsid w:val="006E42C6"/>
    <w:rsid w:val="00705024"/>
    <w:rsid w:val="00741FDC"/>
    <w:rsid w:val="007543E6"/>
    <w:rsid w:val="007624B0"/>
    <w:rsid w:val="00783AFE"/>
    <w:rsid w:val="007A4F3E"/>
    <w:rsid w:val="007A570E"/>
    <w:rsid w:val="007B4B62"/>
    <w:rsid w:val="007E6AED"/>
    <w:rsid w:val="0082334C"/>
    <w:rsid w:val="00826B7A"/>
    <w:rsid w:val="00853F74"/>
    <w:rsid w:val="008717BF"/>
    <w:rsid w:val="0088061A"/>
    <w:rsid w:val="0088588D"/>
    <w:rsid w:val="008A4290"/>
    <w:rsid w:val="008C2AA1"/>
    <w:rsid w:val="008D4A5A"/>
    <w:rsid w:val="008D6E31"/>
    <w:rsid w:val="00902C4C"/>
    <w:rsid w:val="0091647C"/>
    <w:rsid w:val="0092508E"/>
    <w:rsid w:val="009371D2"/>
    <w:rsid w:val="00957421"/>
    <w:rsid w:val="009833AD"/>
    <w:rsid w:val="00983FDC"/>
    <w:rsid w:val="009A74F5"/>
    <w:rsid w:val="009C7CAB"/>
    <w:rsid w:val="009E75BC"/>
    <w:rsid w:val="009F096A"/>
    <w:rsid w:val="009F1D5A"/>
    <w:rsid w:val="009F5F85"/>
    <w:rsid w:val="00A00D3B"/>
    <w:rsid w:val="00A0139B"/>
    <w:rsid w:val="00A068B9"/>
    <w:rsid w:val="00A133AE"/>
    <w:rsid w:val="00A37628"/>
    <w:rsid w:val="00A42486"/>
    <w:rsid w:val="00A850CD"/>
    <w:rsid w:val="00A95981"/>
    <w:rsid w:val="00AC1FA9"/>
    <w:rsid w:val="00AD41D6"/>
    <w:rsid w:val="00AD4FA6"/>
    <w:rsid w:val="00AD527D"/>
    <w:rsid w:val="00AE0D56"/>
    <w:rsid w:val="00AE1E0E"/>
    <w:rsid w:val="00AF46D5"/>
    <w:rsid w:val="00B009E6"/>
    <w:rsid w:val="00B0505D"/>
    <w:rsid w:val="00B118A5"/>
    <w:rsid w:val="00B24BD0"/>
    <w:rsid w:val="00B44E4C"/>
    <w:rsid w:val="00B61C35"/>
    <w:rsid w:val="00B702AE"/>
    <w:rsid w:val="00B9056E"/>
    <w:rsid w:val="00B942CB"/>
    <w:rsid w:val="00BA4D5F"/>
    <w:rsid w:val="00BB1D93"/>
    <w:rsid w:val="00BD0C1B"/>
    <w:rsid w:val="00BD20D1"/>
    <w:rsid w:val="00BD6ACE"/>
    <w:rsid w:val="00C17DF2"/>
    <w:rsid w:val="00C2557D"/>
    <w:rsid w:val="00C25CB5"/>
    <w:rsid w:val="00C3154A"/>
    <w:rsid w:val="00C463AB"/>
    <w:rsid w:val="00C50932"/>
    <w:rsid w:val="00C83926"/>
    <w:rsid w:val="00C87D52"/>
    <w:rsid w:val="00CB2D82"/>
    <w:rsid w:val="00CD2515"/>
    <w:rsid w:val="00CF0013"/>
    <w:rsid w:val="00D04D99"/>
    <w:rsid w:val="00D10543"/>
    <w:rsid w:val="00D10BD4"/>
    <w:rsid w:val="00D51A92"/>
    <w:rsid w:val="00D541C8"/>
    <w:rsid w:val="00D7775F"/>
    <w:rsid w:val="00D867EF"/>
    <w:rsid w:val="00D87670"/>
    <w:rsid w:val="00D925BD"/>
    <w:rsid w:val="00D92B63"/>
    <w:rsid w:val="00D950EE"/>
    <w:rsid w:val="00DA52B0"/>
    <w:rsid w:val="00DB6656"/>
    <w:rsid w:val="00DB7271"/>
    <w:rsid w:val="00DD7453"/>
    <w:rsid w:val="00DF4DCE"/>
    <w:rsid w:val="00E424E7"/>
    <w:rsid w:val="00E864B9"/>
    <w:rsid w:val="00E93AD3"/>
    <w:rsid w:val="00EB3B67"/>
    <w:rsid w:val="00EB60D6"/>
    <w:rsid w:val="00F07ACA"/>
    <w:rsid w:val="00F32904"/>
    <w:rsid w:val="00F3784D"/>
    <w:rsid w:val="00F40AD6"/>
    <w:rsid w:val="00F76949"/>
    <w:rsid w:val="00F848CF"/>
    <w:rsid w:val="00F85554"/>
    <w:rsid w:val="00F933A2"/>
    <w:rsid w:val="00F94DCB"/>
    <w:rsid w:val="00F96EB7"/>
    <w:rsid w:val="00FA3F24"/>
    <w:rsid w:val="00FC7B9E"/>
    <w:rsid w:val="00FF2630"/>
    <w:rsid w:val="00FF3DB8"/>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41C1900"/>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20"/>
    <w:qFormat/>
    <w:uiPriority w:val="0"/>
    <w:pPr>
      <w:spacing w:after="120"/>
    </w:pPr>
  </w:style>
  <w:style w:type="paragraph" w:styleId="4">
    <w:name w:val="Body Text Indent"/>
    <w:basedOn w:val="1"/>
    <w:qFormat/>
    <w:uiPriority w:val="0"/>
    <w:pPr>
      <w:ind w:firstLine="600" w:firstLineChars="200"/>
    </w:pPr>
    <w:rPr>
      <w:rFonts w:eastAsia="仿宋_GB2312"/>
      <w:sz w:val="30"/>
      <w:szCs w:val="24"/>
    </w:rPr>
  </w:style>
  <w:style w:type="paragraph" w:styleId="5">
    <w:name w:val="Plain Text"/>
    <w:basedOn w:val="1"/>
    <w:link w:val="21"/>
    <w:qFormat/>
    <w:uiPriority w:val="0"/>
    <w:rPr>
      <w:rFonts w:ascii="宋体" w:hAnsi="Courier New"/>
      <w:szCs w:val="21"/>
    </w:rPr>
  </w:style>
  <w:style w:type="paragraph" w:styleId="6">
    <w:name w:val="Balloon Text"/>
    <w:basedOn w:val="1"/>
    <w:link w:val="22"/>
    <w:autoRedefine/>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uiPriority w:val="99"/>
    <w:rPr>
      <w:color w:val="0000FF"/>
      <w:u w:val="single"/>
    </w:rPr>
  </w:style>
  <w:style w:type="character" w:styleId="14">
    <w:name w:val="annotation reference"/>
    <w:uiPriority w:val="0"/>
    <w:rPr>
      <w:sz w:val="21"/>
      <w:szCs w:val="21"/>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99"/>
    <w:pPr>
      <w:ind w:firstLine="420" w:firstLineChars="200"/>
    </w:p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qFormat/>
    <w:uiPriority w:val="0"/>
    <w:pPr>
      <w:widowControl/>
    </w:pPr>
    <w:rPr>
      <w:color w:val="000000"/>
      <w:kern w:val="0"/>
      <w:szCs w:val="21"/>
    </w:rPr>
  </w:style>
  <w:style w:type="character" w:customStyle="1" w:styleId="19">
    <w:name w:val="批注文字 Char"/>
    <w:link w:val="2"/>
    <w:uiPriority w:val="99"/>
    <w:rPr>
      <w:kern w:val="2"/>
      <w:sz w:val="21"/>
      <w:szCs w:val="22"/>
    </w:rPr>
  </w:style>
  <w:style w:type="character" w:customStyle="1" w:styleId="20">
    <w:name w:val="正文文本 Char"/>
    <w:link w:val="3"/>
    <w:autoRedefine/>
    <w:uiPriority w:val="0"/>
    <w:rPr>
      <w:kern w:val="2"/>
      <w:sz w:val="21"/>
      <w:szCs w:val="22"/>
    </w:rPr>
  </w:style>
  <w:style w:type="character" w:customStyle="1" w:styleId="21">
    <w:name w:val="纯文本 Char2"/>
    <w:link w:val="5"/>
    <w:uiPriority w:val="0"/>
    <w:rPr>
      <w:rFonts w:ascii="宋体" w:hAnsi="Courier New" w:cs="Courier New"/>
      <w:kern w:val="2"/>
      <w:sz w:val="21"/>
      <w:szCs w:val="21"/>
    </w:rPr>
  </w:style>
  <w:style w:type="character" w:customStyle="1" w:styleId="22">
    <w:name w:val="批注框文本 Char"/>
    <w:link w:val="6"/>
    <w:uiPriority w:val="0"/>
    <w:rPr>
      <w:kern w:val="2"/>
      <w:sz w:val="18"/>
      <w:szCs w:val="18"/>
    </w:rPr>
  </w:style>
  <w:style w:type="character" w:customStyle="1" w:styleId="23">
    <w:name w:val="批注主题 Char"/>
    <w:link w:val="9"/>
    <w:uiPriority w:val="0"/>
  </w:style>
  <w:style w:type="character" w:customStyle="1" w:styleId="24">
    <w:name w:val="fontstyle01"/>
    <w:qFormat/>
    <w:uiPriority w:val="0"/>
    <w:rPr>
      <w:rFonts w:ascii="黑体" w:hAnsi="宋体" w:eastAsia="黑体" w:cs="黑体"/>
      <w:color w:val="000000"/>
      <w:sz w:val="32"/>
      <w:szCs w:val="32"/>
    </w:rPr>
  </w:style>
  <w:style w:type="character" w:customStyle="1" w:styleId="25">
    <w:name w:val="纯文本 Char"/>
    <w:qFormat/>
    <w:uiPriority w:val="0"/>
    <w:rPr>
      <w:rFonts w:ascii="宋体" w:hAnsi="Courier New" w:cs="Courier New"/>
      <w:kern w:val="2"/>
      <w:sz w:val="21"/>
      <w:szCs w:val="21"/>
    </w:rPr>
  </w:style>
  <w:style w:type="character" w:customStyle="1" w:styleId="26">
    <w:name w:val="纯文本 Char1"/>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203</Words>
  <Characters>1160</Characters>
  <Lines>9</Lines>
  <Paragraphs>2</Paragraphs>
  <TotalTime>3</TotalTime>
  <ScaleCrop>false</ScaleCrop>
  <LinksUpToDate>false</LinksUpToDate>
  <CharactersWithSpaces>1361</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2024-03-21T08:38:00Z</dcterms:created>
  <dc:creator>wee</dc:creator>
  <lastModifiedBy>菠萝啵啵</lastModifiedBy>
  <lastPrinted>2021-02-23T06:17:00Z</lastPrinted>
  <dcterms:modified xsi:type="dcterms:W3CDTF">2024-03-25T05:30:27Z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