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eastAsia="方正小标宋简体" w:cs="方正仿宋简体"/>
          <w:color w:val="000000"/>
          <w:sz w:val="32"/>
          <w:szCs w:val="32"/>
        </w:rPr>
      </w:pPr>
      <w:r>
        <w:rPr>
          <w:rFonts w:hint="eastAsia" w:eastAsia="方正小标宋简体" w:cs="方正仿宋简体"/>
          <w:color w:val="000000"/>
          <w:sz w:val="32"/>
          <w:szCs w:val="32"/>
        </w:rPr>
        <w:t>2024年德清县食品接触用塑料容器产品</w:t>
      </w:r>
    </w:p>
    <w:p>
      <w:pPr>
        <w:spacing w:line="440"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质量监督抽查实施细则</w:t>
      </w:r>
    </w:p>
    <w:p>
      <w:pPr>
        <w:adjustRightInd w:val="0"/>
        <w:snapToGrid w:val="0"/>
        <w:spacing w:line="594" w:lineRule="exact"/>
        <w:jc w:val="center"/>
        <w:rPr>
          <w:rFonts w:eastAsia="方正小标宋简体" w:cs="方正仿宋简体"/>
          <w:color w:val="000000"/>
          <w:sz w:val="32"/>
          <w:szCs w:val="32"/>
        </w:rPr>
      </w:pPr>
    </w:p>
    <w:p>
      <w:pPr>
        <w:adjustRightInd w:val="0"/>
        <w:snapToGrid w:val="0"/>
        <w:spacing w:line="360" w:lineRule="auto"/>
        <w:outlineLvl w:val="1"/>
        <w:rPr>
          <w:rFonts w:eastAsia="黑体" w:cs="黑体"/>
          <w:szCs w:val="21"/>
        </w:rPr>
      </w:pPr>
      <w:r>
        <w:rPr>
          <w:rFonts w:hint="eastAsia" w:eastAsia="黑体" w:cs="黑体"/>
          <w:szCs w:val="21"/>
        </w:rPr>
        <w:t>1 抽样方法</w:t>
      </w:r>
    </w:p>
    <w:p>
      <w:pPr>
        <w:adjustRightInd w:val="0"/>
        <w:snapToGrid w:val="0"/>
        <w:spacing w:line="440" w:lineRule="exact"/>
        <w:ind w:firstLine="420" w:firstLineChars="200"/>
        <w:outlineLvl w:val="1"/>
        <w:rPr>
          <w:rFonts w:asciiTheme="minorEastAsia" w:hAnsiTheme="minorEastAsia" w:eastAsiaTheme="minorEastAsia"/>
          <w:szCs w:val="21"/>
        </w:rPr>
      </w:pPr>
      <w:r>
        <w:rPr>
          <w:rFonts w:asciiTheme="minorEastAsia" w:hAnsiTheme="minorEastAsia" w:eastAsiaTheme="minorEastAsia"/>
          <w:szCs w:val="21"/>
        </w:rPr>
        <w:t>样品</w:t>
      </w:r>
      <w:r>
        <w:rPr>
          <w:rFonts w:hint="eastAsia" w:asciiTheme="minorEastAsia" w:hAnsiTheme="minorEastAsia" w:eastAsiaTheme="minorEastAsia"/>
          <w:szCs w:val="21"/>
        </w:rPr>
        <w:t>应由抽样人员在被抽样生产者、销售者的待销产品或者生产线末端经检验合格的产品中随机抽样</w:t>
      </w:r>
      <w:r>
        <w:rPr>
          <w:rFonts w:asciiTheme="minorEastAsia" w:hAnsiTheme="minorEastAsia" w:eastAsiaTheme="minorEastAsia"/>
          <w:szCs w:val="21"/>
        </w:rPr>
        <w:t>。抽样基数满足抽样数量即可</w:t>
      </w:r>
      <w:r>
        <w:rPr>
          <w:rFonts w:hint="eastAsia" w:asciiTheme="minorEastAsia" w:hAnsiTheme="minorEastAsia" w:eastAsiaTheme="minorEastAsia"/>
          <w:szCs w:val="21"/>
        </w:rPr>
        <w:t>。</w:t>
      </w:r>
    </w:p>
    <w:p>
      <w:pPr>
        <w:adjustRightInd w:val="0"/>
        <w:snapToGrid w:val="0"/>
        <w:spacing w:line="440" w:lineRule="exact"/>
        <w:ind w:firstLine="420" w:firstLineChars="200"/>
        <w:outlineLvl w:val="1"/>
        <w:rPr>
          <w:szCs w:val="21"/>
        </w:rPr>
      </w:pPr>
      <w:r>
        <w:rPr>
          <w:rFonts w:hint="eastAsia"/>
          <w:szCs w:val="21"/>
        </w:rPr>
        <w:t>随机数一般可使用随机数表等方法产生。</w:t>
      </w:r>
    </w:p>
    <w:p>
      <w:pPr>
        <w:adjustRightInd w:val="0"/>
        <w:snapToGrid w:val="0"/>
        <w:spacing w:line="440" w:lineRule="exact"/>
        <w:rPr>
          <w:szCs w:val="21"/>
        </w:rPr>
      </w:pPr>
      <w:r>
        <w:rPr>
          <w:rFonts w:hint="eastAsia"/>
          <w:szCs w:val="21"/>
        </w:rPr>
        <w:t>食品接触用塑料容器：</w:t>
      </w:r>
    </w:p>
    <w:p>
      <w:pPr>
        <w:pStyle w:val="5"/>
        <w:spacing w:line="440" w:lineRule="exact"/>
        <w:ind w:firstLine="420"/>
        <w:rPr>
          <w:color w:val="000000"/>
        </w:rPr>
      </w:pPr>
      <w:r>
        <w:rPr>
          <w:rFonts w:hint="eastAsia"/>
          <w:color w:val="000000"/>
        </w:rPr>
        <w:t>软塑折叠包装容器：同一生产者同一标准生产的同一商标、同一规格型号的产品40个（配相同数量的盖），其中30个作为检样，10个作为备样。</w:t>
      </w:r>
    </w:p>
    <w:p>
      <w:pPr>
        <w:pStyle w:val="5"/>
        <w:spacing w:line="440" w:lineRule="exact"/>
        <w:ind w:firstLine="400"/>
        <w:rPr>
          <w:color w:val="000000"/>
        </w:rPr>
      </w:pPr>
      <w:r>
        <w:rPr>
          <w:rFonts w:hint="eastAsia"/>
          <w:color w:val="000000"/>
        </w:rPr>
        <w:t>聚烯烃注塑包装桶：同一生产者同一标准生产的同一商标、同一规格型号的产品40个（配相同数量的盖），其中30个作为检样，10个作为备样。</w:t>
      </w:r>
    </w:p>
    <w:p>
      <w:pPr>
        <w:pStyle w:val="5"/>
        <w:spacing w:line="440" w:lineRule="exact"/>
        <w:ind w:firstLine="400"/>
        <w:rPr>
          <w:color w:val="000000"/>
        </w:rPr>
      </w:pPr>
      <w:r>
        <w:rPr>
          <w:rFonts w:hint="eastAsia"/>
          <w:color w:val="000000"/>
        </w:rPr>
        <w:t>聚酯（PET）无汽饮料瓶：同一生产者同一标准生产的同一商标、同一规格型号的产品60个（配相同数量的盖），其中50个作为检样，10个作为备样。</w:t>
      </w:r>
    </w:p>
    <w:p>
      <w:pPr>
        <w:pStyle w:val="5"/>
        <w:spacing w:line="440" w:lineRule="exact"/>
        <w:ind w:firstLine="400"/>
        <w:rPr>
          <w:color w:val="000000"/>
        </w:rPr>
      </w:pPr>
      <w:r>
        <w:rPr>
          <w:rFonts w:hint="eastAsia"/>
          <w:color w:val="000000"/>
        </w:rPr>
        <w:t>聚碳酸酯（PC）饮用水罐：同一生产者同一标准生产的同一商标、同一规格型号的产品16个（配相同数量的盖），其中12个作为检样4个作为备样。</w:t>
      </w:r>
    </w:p>
    <w:p>
      <w:pPr>
        <w:pStyle w:val="5"/>
        <w:spacing w:line="440" w:lineRule="exact"/>
        <w:ind w:firstLine="400"/>
        <w:rPr>
          <w:color w:val="000000"/>
        </w:rPr>
      </w:pPr>
      <w:r>
        <w:rPr>
          <w:rFonts w:hint="eastAsia"/>
          <w:color w:val="000000"/>
        </w:rPr>
        <w:t>双层口杯、塑料饮水口杯、塑料保鲜盒：同一生产者同一标准生产的同一商标、同一规格型号的产品50个，其中40个作为检样，10个作为备样。</w:t>
      </w:r>
    </w:p>
    <w:p>
      <w:pPr>
        <w:pStyle w:val="5"/>
        <w:spacing w:line="440" w:lineRule="exact"/>
        <w:ind w:firstLine="400"/>
        <w:rPr>
          <w:color w:val="000000"/>
        </w:rPr>
      </w:pPr>
      <w:r>
        <w:rPr>
          <w:rFonts w:hint="eastAsia"/>
          <w:color w:val="000000"/>
        </w:rPr>
        <w:t>聚对苯二甲酸乙二醇酯（PET）瓶坯、食品接触用特定塑料瓶坯、食品接触用特定塑料容器：同一生产者同一标准生产的同一商标、同一规格型号的产品40个，其中30个作为检样，10个作为备样。</w:t>
      </w:r>
    </w:p>
    <w:p>
      <w:pPr>
        <w:pStyle w:val="5"/>
        <w:spacing w:line="440" w:lineRule="exact"/>
        <w:ind w:firstLine="400"/>
        <w:rPr>
          <w:color w:val="000000"/>
        </w:rPr>
      </w:pPr>
      <w:r>
        <w:rPr>
          <w:rFonts w:hint="eastAsia"/>
          <w:color w:val="000000"/>
        </w:rPr>
        <w:t>塑料防盗瓶盖、组合式防伪瓶盖：同一生产者同一标准生产的同一商标、同一规格型号的产品150个（配10个瓶），其中100个作为检样（配5个瓶），50个作为备样（配5个瓶）。</w:t>
      </w:r>
    </w:p>
    <w:p>
      <w:pPr>
        <w:pStyle w:val="5"/>
        <w:spacing w:line="440" w:lineRule="exact"/>
        <w:ind w:firstLine="420"/>
        <w:rPr>
          <w:color w:val="000000"/>
        </w:rPr>
      </w:pPr>
      <w:r>
        <w:rPr>
          <w:rFonts w:hint="eastAsia"/>
          <w:color w:val="000000"/>
        </w:rPr>
        <w:t>食品接触用特定塑料瓶盖：同一生产者同一标准生产的同一商标、同一规格型号的产品65个，其中50个作为检样，15个作为备样。</w:t>
      </w:r>
    </w:p>
    <w:p>
      <w:pPr>
        <w:adjustRightInd w:val="0"/>
        <w:snapToGrid w:val="0"/>
        <w:spacing w:line="440" w:lineRule="exact"/>
        <w:rPr>
          <w:szCs w:val="21"/>
        </w:rPr>
      </w:pPr>
      <w:r>
        <w:rPr>
          <w:rFonts w:hint="eastAsia"/>
          <w:color w:val="000000"/>
        </w:rPr>
        <w:t>瓶盖垫片：同一生产者同一标准生产的同一商标、同一规格型号的产品110个，其中80个作为检样，30个作为备样。</w:t>
      </w:r>
    </w:p>
    <w:p>
      <w:pPr>
        <w:adjustRightInd w:val="0"/>
        <w:snapToGrid w:val="0"/>
        <w:spacing w:line="440" w:lineRule="exact"/>
        <w:outlineLvl w:val="1"/>
        <w:rPr>
          <w:szCs w:val="21"/>
        </w:rPr>
      </w:pPr>
      <w:r>
        <w:rPr>
          <w:rFonts w:hint="eastAsia"/>
          <w:szCs w:val="21"/>
        </w:rPr>
        <w:t>注：</w:t>
      </w:r>
      <w:r>
        <w:rPr>
          <w:rFonts w:hint="eastAsia"/>
          <w:color w:val="000000"/>
          <w:szCs w:val="21"/>
        </w:rPr>
        <w:t>在满足检测用量的情况下，可以适当减少抽样量。</w:t>
      </w:r>
    </w:p>
    <w:p>
      <w:pPr>
        <w:adjustRightInd w:val="0"/>
        <w:snapToGrid w:val="0"/>
        <w:spacing w:line="440" w:lineRule="exact"/>
        <w:outlineLvl w:val="1"/>
        <w:rPr>
          <w:rFonts w:eastAsia="黑体" w:cs="黑体"/>
          <w:szCs w:val="21"/>
        </w:rPr>
      </w:pPr>
      <w:bookmarkStart w:id="0" w:name="_GoBack"/>
      <w:bookmarkEnd w:id="0"/>
    </w:p>
    <w:p>
      <w:pPr>
        <w:adjustRightInd w:val="0"/>
        <w:snapToGrid w:val="0"/>
        <w:spacing w:line="360" w:lineRule="auto"/>
        <w:outlineLvl w:val="1"/>
        <w:rPr>
          <w:rFonts w:eastAsia="黑体" w:cs="黑体"/>
          <w:szCs w:val="21"/>
        </w:rPr>
      </w:pPr>
      <w:r>
        <w:rPr>
          <w:rFonts w:hint="eastAsia" w:eastAsia="黑体" w:cs="黑体"/>
          <w:szCs w:val="21"/>
        </w:rPr>
        <w:t>2 检验依据</w:t>
      </w:r>
    </w:p>
    <w:p>
      <w:pPr>
        <w:adjustRightInd w:val="0"/>
        <w:snapToGrid w:val="0"/>
        <w:ind w:firstLine="420" w:firstLineChars="200"/>
        <w:jc w:val="center"/>
        <w:rPr>
          <w:szCs w:val="21"/>
        </w:rPr>
      </w:pPr>
      <w:r>
        <w:rPr>
          <w:rFonts w:hint="eastAsia"/>
          <w:szCs w:val="21"/>
        </w:rPr>
        <w:t>表1 食品相关产品（塑料）</w:t>
      </w:r>
    </w:p>
    <w:tbl>
      <w:tblPr>
        <w:tblStyle w:val="10"/>
        <w:tblW w:w="42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502"/>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blHeader/>
          <w:jc w:val="center"/>
        </w:trPr>
        <w:tc>
          <w:tcPr>
            <w:tcW w:w="1033" w:type="pct"/>
            <w:vAlign w:val="center"/>
          </w:tcPr>
          <w:p>
            <w:pPr>
              <w:snapToGrid w:val="0"/>
              <w:spacing w:line="440" w:lineRule="exact"/>
              <w:jc w:val="center"/>
              <w:rPr>
                <w:color w:val="000000"/>
                <w:szCs w:val="21"/>
              </w:rPr>
            </w:pPr>
            <w:r>
              <w:rPr>
                <w:color w:val="000000"/>
                <w:szCs w:val="21"/>
              </w:rPr>
              <w:t>序</w:t>
            </w:r>
            <w:r>
              <w:rPr>
                <w:rFonts w:hint="eastAsia"/>
                <w:color w:val="000000"/>
                <w:szCs w:val="21"/>
              </w:rPr>
              <w:t>号</w:t>
            </w:r>
          </w:p>
        </w:tc>
        <w:tc>
          <w:tcPr>
            <w:tcW w:w="1594" w:type="pct"/>
            <w:vAlign w:val="center"/>
          </w:tcPr>
          <w:p>
            <w:pPr>
              <w:snapToGrid w:val="0"/>
              <w:spacing w:line="440" w:lineRule="exact"/>
              <w:jc w:val="center"/>
              <w:rPr>
                <w:color w:val="000000"/>
                <w:szCs w:val="21"/>
              </w:rPr>
            </w:pPr>
            <w:r>
              <w:rPr>
                <w:color w:val="000000"/>
                <w:szCs w:val="21"/>
              </w:rPr>
              <w:t>检验项目</w:t>
            </w:r>
          </w:p>
        </w:tc>
        <w:tc>
          <w:tcPr>
            <w:tcW w:w="2373" w:type="pct"/>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1</w:t>
            </w:r>
          </w:p>
        </w:tc>
        <w:tc>
          <w:tcPr>
            <w:tcW w:w="1594" w:type="pct"/>
            <w:vAlign w:val="center"/>
          </w:tcPr>
          <w:p>
            <w:pPr>
              <w:adjustRightInd w:val="0"/>
              <w:snapToGrid w:val="0"/>
              <w:jc w:val="center"/>
              <w:rPr>
                <w:rFonts w:ascii="宋体" w:hAnsi="宋体"/>
                <w:color w:val="000000"/>
              </w:rPr>
            </w:pPr>
            <w:r>
              <w:rPr>
                <w:rFonts w:hint="eastAsia" w:ascii="宋体" w:hAnsi="宋体" w:cs="宋体"/>
                <w:color w:val="000000"/>
                <w:kern w:val="0"/>
                <w:szCs w:val="21"/>
              </w:rPr>
              <w:t>标签标识（标识内容、符合性声明、食品接触标识及特殊使用要求信息、标识位置、树脂名称）</w:t>
            </w:r>
          </w:p>
        </w:tc>
        <w:tc>
          <w:tcPr>
            <w:tcW w:w="2373" w:type="pct"/>
            <w:vAlign w:val="center"/>
          </w:tcPr>
          <w:p>
            <w:pPr>
              <w:widowControl/>
              <w:jc w:val="center"/>
              <w:textAlignment w:val="center"/>
              <w:rPr>
                <w:szCs w:val="21"/>
              </w:rPr>
            </w:pPr>
            <w:r>
              <w:rPr>
                <w:szCs w:val="21"/>
              </w:rPr>
              <w:t>GB 4806.</w:t>
            </w:r>
            <w:r>
              <w:rPr>
                <w:rFonts w:hint="eastAsia"/>
                <w:szCs w:val="21"/>
              </w:rPr>
              <w:t>1-</w:t>
            </w:r>
            <w:r>
              <w:rPr>
                <w:szCs w:val="21"/>
              </w:rPr>
              <w:t>2016</w:t>
            </w:r>
          </w:p>
          <w:p>
            <w:pPr>
              <w:widowControl/>
              <w:jc w:val="center"/>
              <w:textAlignment w:val="center"/>
              <w:rPr>
                <w:rFonts w:ascii="宋体" w:hAnsi="宋体" w:cs="宋体"/>
                <w:color w:val="000000"/>
                <w:szCs w:val="21"/>
              </w:rPr>
            </w:pPr>
            <w:r>
              <w:rPr>
                <w:rFonts w:hint="eastAsia"/>
                <w:szCs w:val="21"/>
              </w:rPr>
              <w:t>GB 4806.6-2016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2</w:t>
            </w:r>
          </w:p>
        </w:tc>
        <w:tc>
          <w:tcPr>
            <w:tcW w:w="1594" w:type="pct"/>
            <w:vAlign w:val="center"/>
          </w:tcPr>
          <w:p>
            <w:pPr>
              <w:adjustRightInd w:val="0"/>
              <w:snapToGrid w:val="0"/>
              <w:jc w:val="center"/>
              <w:rPr>
                <w:rFonts w:ascii="宋体" w:hAnsi="宋体"/>
                <w:color w:val="000000"/>
              </w:rPr>
            </w:pPr>
            <w:r>
              <w:rPr>
                <w:rFonts w:hint="eastAsia" w:ascii="宋体" w:hAnsi="宋体" w:cs="宋体"/>
                <w:color w:val="000000"/>
                <w:kern w:val="0"/>
                <w:szCs w:val="21"/>
              </w:rPr>
              <w:t>感官要求</w:t>
            </w:r>
          </w:p>
        </w:tc>
        <w:tc>
          <w:tcPr>
            <w:tcW w:w="2373" w:type="pct"/>
            <w:vAlign w:val="center"/>
          </w:tcPr>
          <w:p>
            <w:pPr>
              <w:snapToGrid w:val="0"/>
              <w:jc w:val="center"/>
              <w:rPr>
                <w:szCs w:val="21"/>
              </w:rPr>
            </w:pPr>
            <w:r>
              <w:rPr>
                <w:rFonts w:hint="eastAsia"/>
                <w:szCs w:val="21"/>
              </w:rPr>
              <w:t>GB 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3</w:t>
            </w:r>
          </w:p>
        </w:tc>
        <w:tc>
          <w:tcPr>
            <w:tcW w:w="1594" w:type="pct"/>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总迁移量</w:t>
            </w:r>
          </w:p>
        </w:tc>
        <w:tc>
          <w:tcPr>
            <w:tcW w:w="2373" w:type="pct"/>
            <w:vAlign w:val="center"/>
          </w:tcPr>
          <w:p>
            <w:pPr>
              <w:snapToGrid w:val="0"/>
              <w:jc w:val="center"/>
              <w:rPr>
                <w:szCs w:val="21"/>
              </w:rPr>
            </w:pPr>
            <w:r>
              <w:rPr>
                <w:rFonts w:hint="eastAsia"/>
                <w:szCs w:val="21"/>
              </w:rPr>
              <w:t>GB 31604.8-2021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4</w:t>
            </w:r>
          </w:p>
        </w:tc>
        <w:tc>
          <w:tcPr>
            <w:tcW w:w="1594" w:type="pct"/>
            <w:vAlign w:val="center"/>
          </w:tcPr>
          <w:p>
            <w:pPr>
              <w:adjustRightInd w:val="0"/>
              <w:snapToGrid w:val="0"/>
              <w:jc w:val="center"/>
              <w:rPr>
                <w:rFonts w:ascii="宋体" w:hAnsi="宋体"/>
                <w:color w:val="000000"/>
              </w:rPr>
            </w:pPr>
            <w:r>
              <w:rPr>
                <w:rFonts w:hint="eastAsia" w:ascii="宋体" w:hAnsi="宋体" w:cs="宋体"/>
                <w:color w:val="000000"/>
                <w:kern w:val="0"/>
                <w:szCs w:val="21"/>
              </w:rPr>
              <w:t>高锰酸钾消耗量</w:t>
            </w:r>
          </w:p>
        </w:tc>
        <w:tc>
          <w:tcPr>
            <w:tcW w:w="2373" w:type="pct"/>
            <w:vAlign w:val="center"/>
          </w:tcPr>
          <w:p>
            <w:pPr>
              <w:snapToGrid w:val="0"/>
              <w:jc w:val="center"/>
              <w:rPr>
                <w:szCs w:val="21"/>
              </w:rPr>
            </w:pPr>
            <w:r>
              <w:rPr>
                <w:rFonts w:hint="eastAsia"/>
                <w:szCs w:val="21"/>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5</w:t>
            </w:r>
          </w:p>
        </w:tc>
        <w:tc>
          <w:tcPr>
            <w:tcW w:w="1594" w:type="pct"/>
            <w:vAlign w:val="center"/>
          </w:tcPr>
          <w:p>
            <w:pPr>
              <w:adjustRightInd w:val="0"/>
              <w:snapToGrid w:val="0"/>
              <w:jc w:val="center"/>
              <w:rPr>
                <w:rFonts w:ascii="宋体" w:hAnsi="宋体"/>
                <w:color w:val="000000"/>
              </w:rPr>
            </w:pPr>
            <w:r>
              <w:rPr>
                <w:rFonts w:hint="eastAsia" w:ascii="宋体" w:hAnsi="宋体" w:cs="宋体"/>
                <w:color w:val="000000"/>
                <w:kern w:val="0"/>
                <w:szCs w:val="21"/>
              </w:rPr>
              <w:t>重金属（以Pb计）</w:t>
            </w:r>
          </w:p>
        </w:tc>
        <w:tc>
          <w:tcPr>
            <w:tcW w:w="2373" w:type="pct"/>
            <w:vAlign w:val="center"/>
          </w:tcPr>
          <w:p>
            <w:pPr>
              <w:snapToGrid w:val="0"/>
              <w:jc w:val="center"/>
              <w:rPr>
                <w:szCs w:val="21"/>
              </w:rPr>
            </w:pPr>
            <w:r>
              <w:rPr>
                <w:rFonts w:hint="eastAsia"/>
                <w:szCs w:val="21"/>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blHeader/>
          <w:jc w:val="center"/>
        </w:trPr>
        <w:tc>
          <w:tcPr>
            <w:tcW w:w="1033" w:type="pct"/>
            <w:vAlign w:val="center"/>
          </w:tcPr>
          <w:p>
            <w:pPr>
              <w:pStyle w:val="5"/>
              <w:adjustRightInd w:val="0"/>
              <w:snapToGrid w:val="0"/>
              <w:jc w:val="center"/>
              <w:rPr>
                <w:rFonts w:hAnsi="宋体"/>
                <w:color w:val="000000"/>
              </w:rPr>
            </w:pPr>
            <w:r>
              <w:rPr>
                <w:rFonts w:hint="eastAsia" w:hAnsi="宋体"/>
                <w:color w:val="000000"/>
              </w:rPr>
              <w:t>6</w:t>
            </w:r>
          </w:p>
        </w:tc>
        <w:tc>
          <w:tcPr>
            <w:tcW w:w="1594" w:type="pct"/>
            <w:vAlign w:val="center"/>
          </w:tcPr>
          <w:p>
            <w:pPr>
              <w:adjustRightInd w:val="0"/>
              <w:snapToGrid w:val="0"/>
              <w:jc w:val="center"/>
              <w:rPr>
                <w:rFonts w:ascii="宋体" w:hAnsi="宋体"/>
                <w:color w:val="000000"/>
              </w:rPr>
            </w:pPr>
            <w:r>
              <w:rPr>
                <w:rFonts w:hint="eastAsia" w:ascii="宋体" w:hAnsi="宋体" w:cs="宋体"/>
                <w:color w:val="000000"/>
                <w:kern w:val="0"/>
                <w:szCs w:val="21"/>
              </w:rPr>
              <w:t>脱色试验（仅适用于添加着色剂产品）</w:t>
            </w:r>
          </w:p>
        </w:tc>
        <w:tc>
          <w:tcPr>
            <w:tcW w:w="2373" w:type="pct"/>
            <w:vAlign w:val="center"/>
          </w:tcPr>
          <w:p>
            <w:pPr>
              <w:snapToGrid w:val="0"/>
              <w:jc w:val="center"/>
              <w:rPr>
                <w:szCs w:val="21"/>
              </w:rPr>
            </w:pPr>
            <w:r>
              <w:rPr>
                <w:rFonts w:hint="eastAsia"/>
                <w:szCs w:val="21"/>
              </w:rPr>
              <w:t>GB 31604.7-2016</w:t>
            </w:r>
          </w:p>
        </w:tc>
      </w:tr>
    </w:tbl>
    <w:p>
      <w:pPr>
        <w:adjustRightInd w:val="0"/>
        <w:snapToGrid w:val="0"/>
        <w:ind w:firstLine="420" w:firstLineChars="200"/>
        <w:jc w:val="center"/>
        <w:rPr>
          <w:szCs w:val="21"/>
        </w:rPr>
      </w:pPr>
    </w:p>
    <w:p>
      <w:pPr>
        <w:snapToGrid w:val="0"/>
        <w:spacing w:line="440" w:lineRule="exact"/>
        <w:ind w:firstLine="420" w:firstLineChars="20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20" w:firstLineChars="200"/>
        <w:rPr>
          <w:color w:val="000000"/>
          <w:szCs w:val="21"/>
        </w:rPr>
      </w:pPr>
      <w:r>
        <w:rPr>
          <w:rFonts w:hint="eastAsia"/>
          <w:color w:val="000000"/>
          <w:szCs w:val="21"/>
        </w:rPr>
        <w:t>复检时所检测的样品为备用样品。</w:t>
      </w:r>
    </w:p>
    <w:p>
      <w:pPr>
        <w:snapToGrid w:val="0"/>
        <w:spacing w:line="440" w:lineRule="exact"/>
        <w:ind w:firstLine="359" w:firstLineChars="171"/>
        <w:rPr>
          <w:rFonts w:eastAsia="黑体" w:cs="黑体"/>
          <w:szCs w:val="21"/>
        </w:rPr>
      </w:pPr>
    </w:p>
    <w:p>
      <w:pPr>
        <w:adjustRightInd w:val="0"/>
        <w:snapToGrid w:val="0"/>
        <w:spacing w:line="360" w:lineRule="auto"/>
        <w:outlineLvl w:val="1"/>
        <w:rPr>
          <w:rFonts w:eastAsia="黑体" w:cs="黑体"/>
          <w:szCs w:val="21"/>
        </w:rPr>
      </w:pPr>
      <w:r>
        <w:rPr>
          <w:rFonts w:hint="eastAsia" w:eastAsia="黑体" w:cs="黑体"/>
          <w:szCs w:val="21"/>
        </w:rPr>
        <w:t>3 判定规则</w:t>
      </w:r>
    </w:p>
    <w:p>
      <w:pPr>
        <w:adjustRightInd w:val="0"/>
        <w:snapToGrid w:val="0"/>
        <w:spacing w:line="360" w:lineRule="auto"/>
        <w:rPr>
          <w:color w:val="000000"/>
          <w:szCs w:val="21"/>
        </w:rPr>
      </w:pPr>
      <w:r>
        <w:rPr>
          <w:rFonts w:hint="eastAsia"/>
          <w:color w:val="000000"/>
          <w:szCs w:val="21"/>
        </w:rPr>
        <w:t>3.1依据标准</w:t>
      </w:r>
    </w:p>
    <w:p>
      <w:pPr>
        <w:widowControl/>
        <w:spacing w:line="440" w:lineRule="exact"/>
        <w:ind w:firstLine="420" w:firstLineChars="200"/>
        <w:rPr>
          <w:szCs w:val="21"/>
        </w:rPr>
      </w:pPr>
      <w:r>
        <w:rPr>
          <w:szCs w:val="21"/>
        </w:rPr>
        <w:t>GB 4806.6-2016     食品安全国家标准  食品接触用塑料树脂</w:t>
      </w:r>
    </w:p>
    <w:p>
      <w:pPr>
        <w:widowControl/>
        <w:spacing w:line="440" w:lineRule="exact"/>
        <w:ind w:firstLine="420" w:firstLineChars="200"/>
        <w:rPr>
          <w:szCs w:val="21"/>
        </w:rPr>
      </w:pPr>
      <w:r>
        <w:rPr>
          <w:szCs w:val="21"/>
        </w:rPr>
        <w:t>GB 4806.7-2016     食品安全国家标准  食品接触用塑料材料及制品</w:t>
      </w:r>
    </w:p>
    <w:p>
      <w:pPr>
        <w:snapToGrid w:val="0"/>
        <w:spacing w:line="440" w:lineRule="exact"/>
        <w:ind w:firstLine="420" w:firstLineChars="20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pPr>
        <w:adjustRightInd w:val="0"/>
        <w:snapToGrid w:val="0"/>
        <w:spacing w:line="440" w:lineRule="exact"/>
        <w:jc w:val="left"/>
        <w:rPr>
          <w:rFonts w:hAnsi="宋体"/>
        </w:rPr>
      </w:pPr>
      <w:r>
        <w:rPr>
          <w:rFonts w:hint="eastAsia" w:hAnsi="宋体"/>
        </w:rPr>
        <w:t>3.2判定原则</w:t>
      </w:r>
    </w:p>
    <w:p>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pPr>
        <w:snapToGrid w:val="0"/>
        <w:spacing w:line="440" w:lineRule="exact"/>
        <w:ind w:firstLine="420" w:firstLineChars="200"/>
        <w:rPr>
          <w:color w:val="000000"/>
          <w:szCs w:val="21"/>
        </w:rPr>
      </w:pPr>
      <w:r>
        <w:rPr>
          <w:rFonts w:hint="eastAsia"/>
          <w:color w:val="000000"/>
          <w:szCs w:val="21"/>
        </w:rPr>
        <w:t>经检验，检验项目中任一项或一项以上不合格，判定被抽查产品为“不合格”。</w:t>
      </w:r>
    </w:p>
    <w:p>
      <w:pPr>
        <w:snapToGrid w:val="0"/>
        <w:spacing w:line="440" w:lineRule="exact"/>
        <w:ind w:firstLine="420" w:firstLineChars="20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pPr>
        <w:snapToGrid w:val="0"/>
        <w:spacing w:line="440" w:lineRule="exact"/>
        <w:ind w:firstLine="420" w:firstLineChars="20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pPr>
        <w:adjustRightInd w:val="0"/>
        <w:snapToGrid w:val="0"/>
        <w:spacing w:line="440" w:lineRule="exact"/>
        <w:rPr>
          <w:rFonts w:hAnsi="宋体"/>
        </w:rPr>
      </w:pPr>
    </w:p>
    <w:p>
      <w:pPr>
        <w:adjustRightInd w:val="0"/>
        <w:snapToGrid w:val="0"/>
        <w:spacing w:line="440" w:lineRule="exact"/>
        <w:rPr>
          <w:rFonts w:hAnsi="宋体"/>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lang w:val="zh-CN"/>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zZjVmOTJmMTQ2Y2IwNDdlNmVjOTI4OGYyZTk2NDYifQ=="/>
  </w:docVars>
  <w:rsids>
    <w:rsidRoot w:val="004E7F45"/>
    <w:rsid w:val="000223BA"/>
    <w:rsid w:val="00025E70"/>
    <w:rsid w:val="00026930"/>
    <w:rsid w:val="000600FC"/>
    <w:rsid w:val="000A0C5A"/>
    <w:rsid w:val="000A2FA9"/>
    <w:rsid w:val="000D0B7A"/>
    <w:rsid w:val="000F0172"/>
    <w:rsid w:val="001001F2"/>
    <w:rsid w:val="00102FBF"/>
    <w:rsid w:val="00103B2B"/>
    <w:rsid w:val="00104D1A"/>
    <w:rsid w:val="00111BFA"/>
    <w:rsid w:val="00126B4B"/>
    <w:rsid w:val="0013492D"/>
    <w:rsid w:val="00136614"/>
    <w:rsid w:val="001515C4"/>
    <w:rsid w:val="00173D62"/>
    <w:rsid w:val="00185563"/>
    <w:rsid w:val="0019080C"/>
    <w:rsid w:val="001C3CE2"/>
    <w:rsid w:val="001E1D11"/>
    <w:rsid w:val="001E7D67"/>
    <w:rsid w:val="001F5A89"/>
    <w:rsid w:val="002333DE"/>
    <w:rsid w:val="00262E0C"/>
    <w:rsid w:val="00263965"/>
    <w:rsid w:val="002657A4"/>
    <w:rsid w:val="002961CD"/>
    <w:rsid w:val="002A2353"/>
    <w:rsid w:val="002D2966"/>
    <w:rsid w:val="002F3CE5"/>
    <w:rsid w:val="00313811"/>
    <w:rsid w:val="00316ED3"/>
    <w:rsid w:val="00322C70"/>
    <w:rsid w:val="0033027F"/>
    <w:rsid w:val="00345C28"/>
    <w:rsid w:val="003462B4"/>
    <w:rsid w:val="0035010F"/>
    <w:rsid w:val="003507DD"/>
    <w:rsid w:val="00384D3B"/>
    <w:rsid w:val="003A1F5F"/>
    <w:rsid w:val="003B0BC4"/>
    <w:rsid w:val="003B5A03"/>
    <w:rsid w:val="003C4ABE"/>
    <w:rsid w:val="003D5388"/>
    <w:rsid w:val="003F71AC"/>
    <w:rsid w:val="003F7705"/>
    <w:rsid w:val="004064D4"/>
    <w:rsid w:val="00421E58"/>
    <w:rsid w:val="00460651"/>
    <w:rsid w:val="0048431A"/>
    <w:rsid w:val="004A0B0A"/>
    <w:rsid w:val="004A673D"/>
    <w:rsid w:val="004D349C"/>
    <w:rsid w:val="004D79DF"/>
    <w:rsid w:val="004E7F45"/>
    <w:rsid w:val="005025AF"/>
    <w:rsid w:val="0051209D"/>
    <w:rsid w:val="00532F8D"/>
    <w:rsid w:val="00536DCA"/>
    <w:rsid w:val="0054077C"/>
    <w:rsid w:val="00543BC5"/>
    <w:rsid w:val="005468BC"/>
    <w:rsid w:val="00553E9A"/>
    <w:rsid w:val="0056405C"/>
    <w:rsid w:val="00571A64"/>
    <w:rsid w:val="00575C42"/>
    <w:rsid w:val="0059759C"/>
    <w:rsid w:val="005A4AD2"/>
    <w:rsid w:val="005A608E"/>
    <w:rsid w:val="005A736C"/>
    <w:rsid w:val="005E6927"/>
    <w:rsid w:val="0061295A"/>
    <w:rsid w:val="006133E0"/>
    <w:rsid w:val="0061369D"/>
    <w:rsid w:val="00614A91"/>
    <w:rsid w:val="006219F8"/>
    <w:rsid w:val="00637B14"/>
    <w:rsid w:val="00640574"/>
    <w:rsid w:val="006430D7"/>
    <w:rsid w:val="00646A2D"/>
    <w:rsid w:val="0065579C"/>
    <w:rsid w:val="00661A1E"/>
    <w:rsid w:val="0068760D"/>
    <w:rsid w:val="006A74D7"/>
    <w:rsid w:val="006C56E0"/>
    <w:rsid w:val="006D42AD"/>
    <w:rsid w:val="006E42C6"/>
    <w:rsid w:val="00705024"/>
    <w:rsid w:val="00741FDC"/>
    <w:rsid w:val="007543E6"/>
    <w:rsid w:val="007624B0"/>
    <w:rsid w:val="00783AFE"/>
    <w:rsid w:val="007A4F3E"/>
    <w:rsid w:val="007A570E"/>
    <w:rsid w:val="007B4B62"/>
    <w:rsid w:val="007E6AED"/>
    <w:rsid w:val="0082334C"/>
    <w:rsid w:val="00826B7A"/>
    <w:rsid w:val="00853F74"/>
    <w:rsid w:val="008717BF"/>
    <w:rsid w:val="0088061A"/>
    <w:rsid w:val="0088588D"/>
    <w:rsid w:val="008A4290"/>
    <w:rsid w:val="008C2AA1"/>
    <w:rsid w:val="008D4A5A"/>
    <w:rsid w:val="00902C4C"/>
    <w:rsid w:val="0091647C"/>
    <w:rsid w:val="0092508E"/>
    <w:rsid w:val="009371D2"/>
    <w:rsid w:val="00957421"/>
    <w:rsid w:val="009833AD"/>
    <w:rsid w:val="009A74F5"/>
    <w:rsid w:val="009E75BC"/>
    <w:rsid w:val="009F096A"/>
    <w:rsid w:val="009F1D5A"/>
    <w:rsid w:val="009F5F85"/>
    <w:rsid w:val="00A00D3B"/>
    <w:rsid w:val="00A0139B"/>
    <w:rsid w:val="00A068B9"/>
    <w:rsid w:val="00A133AE"/>
    <w:rsid w:val="00A37628"/>
    <w:rsid w:val="00A42486"/>
    <w:rsid w:val="00A95981"/>
    <w:rsid w:val="00AC1FA9"/>
    <w:rsid w:val="00AD41D6"/>
    <w:rsid w:val="00AD4FA6"/>
    <w:rsid w:val="00AD527D"/>
    <w:rsid w:val="00AE0D56"/>
    <w:rsid w:val="00AE1E0E"/>
    <w:rsid w:val="00AF46D5"/>
    <w:rsid w:val="00B009E6"/>
    <w:rsid w:val="00B0505D"/>
    <w:rsid w:val="00B118A5"/>
    <w:rsid w:val="00B24BD0"/>
    <w:rsid w:val="00B44E4C"/>
    <w:rsid w:val="00B61C35"/>
    <w:rsid w:val="00B702AE"/>
    <w:rsid w:val="00B942CB"/>
    <w:rsid w:val="00BA4D5F"/>
    <w:rsid w:val="00BB1D93"/>
    <w:rsid w:val="00BD0C1B"/>
    <w:rsid w:val="00BD20D1"/>
    <w:rsid w:val="00BD6ACE"/>
    <w:rsid w:val="00C17DF2"/>
    <w:rsid w:val="00C2557D"/>
    <w:rsid w:val="00C25CB5"/>
    <w:rsid w:val="00C3154A"/>
    <w:rsid w:val="00C463AB"/>
    <w:rsid w:val="00C50932"/>
    <w:rsid w:val="00C87D52"/>
    <w:rsid w:val="00CB2D82"/>
    <w:rsid w:val="00CD2515"/>
    <w:rsid w:val="00CF0013"/>
    <w:rsid w:val="00D04D99"/>
    <w:rsid w:val="00D10543"/>
    <w:rsid w:val="00D10BD4"/>
    <w:rsid w:val="00D541C8"/>
    <w:rsid w:val="00D7775F"/>
    <w:rsid w:val="00D86211"/>
    <w:rsid w:val="00D867EF"/>
    <w:rsid w:val="00D87670"/>
    <w:rsid w:val="00D925BD"/>
    <w:rsid w:val="00D92B63"/>
    <w:rsid w:val="00D950EE"/>
    <w:rsid w:val="00DA52B0"/>
    <w:rsid w:val="00DB6656"/>
    <w:rsid w:val="00DB7271"/>
    <w:rsid w:val="00DD7453"/>
    <w:rsid w:val="00DF4DCE"/>
    <w:rsid w:val="00E864B9"/>
    <w:rsid w:val="00E93AD3"/>
    <w:rsid w:val="00EB3B67"/>
    <w:rsid w:val="00F07ACA"/>
    <w:rsid w:val="00F07DFB"/>
    <w:rsid w:val="00F32904"/>
    <w:rsid w:val="00F3784D"/>
    <w:rsid w:val="00F40AD6"/>
    <w:rsid w:val="00F76949"/>
    <w:rsid w:val="00F848CF"/>
    <w:rsid w:val="00F85554"/>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7E279B"/>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 w:val="BB9E3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ody Text"/>
    <w:basedOn w:val="1"/>
    <w:link w:val="20"/>
    <w:qFormat/>
    <w:uiPriority w:val="0"/>
    <w:pPr>
      <w:spacing w:after="120"/>
    </w:pPr>
  </w:style>
  <w:style w:type="paragraph" w:styleId="4">
    <w:name w:val="Body Text Indent"/>
    <w:basedOn w:val="1"/>
    <w:qFormat/>
    <w:uiPriority w:val="0"/>
    <w:pPr>
      <w:ind w:firstLine="600" w:firstLineChars="200"/>
    </w:pPr>
    <w:rPr>
      <w:rFonts w:eastAsia="仿宋_GB2312"/>
      <w:sz w:val="30"/>
      <w:szCs w:val="24"/>
    </w:rPr>
  </w:style>
  <w:style w:type="paragraph" w:styleId="5">
    <w:name w:val="Plain Text"/>
    <w:basedOn w:val="1"/>
    <w:link w:val="21"/>
    <w:qFormat/>
    <w:uiPriority w:val="0"/>
    <w:rPr>
      <w:rFonts w:ascii="宋体" w:hAnsi="Courier New"/>
      <w:szCs w:val="21"/>
    </w:rPr>
  </w:style>
  <w:style w:type="paragraph" w:styleId="6">
    <w:name w:val="Balloon Text"/>
    <w:basedOn w:val="1"/>
    <w:link w:val="22"/>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23"/>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uiPriority w:val="99"/>
    <w:rPr>
      <w:color w:val="0000FF"/>
      <w:u w:val="single"/>
    </w:rPr>
  </w:style>
  <w:style w:type="character" w:styleId="14">
    <w:name w:val="annotation reference"/>
    <w:uiPriority w:val="0"/>
    <w:rPr>
      <w:sz w:val="21"/>
      <w:szCs w:val="21"/>
    </w:rPr>
  </w:style>
  <w:style w:type="paragraph" w:customStyle="1" w:styleId="15">
    <w:name w:val="列出段落1"/>
    <w:basedOn w:val="1"/>
    <w:qFormat/>
    <w:uiPriority w:val="34"/>
    <w:pPr>
      <w:ind w:firstLine="420" w:firstLineChars="200"/>
    </w:p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8">
    <w:name w:val="p17"/>
    <w:basedOn w:val="1"/>
    <w:qFormat/>
    <w:uiPriority w:val="0"/>
    <w:pPr>
      <w:widowControl/>
    </w:pPr>
    <w:rPr>
      <w:color w:val="000000"/>
      <w:kern w:val="0"/>
      <w:szCs w:val="21"/>
    </w:rPr>
  </w:style>
  <w:style w:type="character" w:customStyle="1" w:styleId="19">
    <w:name w:val="批注文字 Char"/>
    <w:link w:val="2"/>
    <w:uiPriority w:val="99"/>
    <w:rPr>
      <w:kern w:val="2"/>
      <w:sz w:val="21"/>
      <w:szCs w:val="22"/>
    </w:rPr>
  </w:style>
  <w:style w:type="character" w:customStyle="1" w:styleId="20">
    <w:name w:val="正文文本 Char"/>
    <w:link w:val="3"/>
    <w:uiPriority w:val="0"/>
    <w:rPr>
      <w:kern w:val="2"/>
      <w:sz w:val="21"/>
      <w:szCs w:val="22"/>
    </w:rPr>
  </w:style>
  <w:style w:type="character" w:customStyle="1" w:styleId="21">
    <w:name w:val="纯文本 Char2"/>
    <w:link w:val="5"/>
    <w:uiPriority w:val="0"/>
    <w:rPr>
      <w:rFonts w:ascii="宋体" w:hAnsi="Courier New" w:cs="Courier New"/>
      <w:kern w:val="2"/>
      <w:sz w:val="21"/>
      <w:szCs w:val="21"/>
    </w:rPr>
  </w:style>
  <w:style w:type="character" w:customStyle="1" w:styleId="22">
    <w:name w:val="批注框文本 Char"/>
    <w:link w:val="6"/>
    <w:uiPriority w:val="0"/>
    <w:rPr>
      <w:kern w:val="2"/>
      <w:sz w:val="18"/>
      <w:szCs w:val="18"/>
    </w:rPr>
  </w:style>
  <w:style w:type="character" w:customStyle="1" w:styleId="23">
    <w:name w:val="批注主题 Char"/>
    <w:link w:val="9"/>
    <w:uiPriority w:val="0"/>
  </w:style>
  <w:style w:type="character" w:customStyle="1" w:styleId="24">
    <w:name w:val="fontstyle01"/>
    <w:qFormat/>
    <w:uiPriority w:val="0"/>
    <w:rPr>
      <w:rFonts w:ascii="黑体" w:hAnsi="宋体" w:eastAsia="黑体" w:cs="黑体"/>
      <w:color w:val="000000"/>
      <w:sz w:val="32"/>
      <w:szCs w:val="32"/>
    </w:rPr>
  </w:style>
  <w:style w:type="character" w:customStyle="1" w:styleId="25">
    <w:name w:val="纯文本 Char"/>
    <w:qFormat/>
    <w:uiPriority w:val="0"/>
    <w:rPr>
      <w:rFonts w:ascii="宋体" w:hAnsi="Courier New" w:cs="Courier New"/>
      <w:kern w:val="2"/>
      <w:sz w:val="21"/>
      <w:szCs w:val="21"/>
    </w:rPr>
  </w:style>
  <w:style w:type="character" w:customStyle="1" w:styleId="26">
    <w:name w:val="纯文本 Char1"/>
    <w:uiPriority w:val="0"/>
    <w:rPr>
      <w:rFonts w:ascii="宋体" w:hAnsi="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262</Words>
  <Characters>1495</Characters>
  <Lines>12</Lines>
  <Paragraphs>3</Paragraphs>
  <TotalTime>1</TotalTime>
  <ScaleCrop>false</ScaleCrop>
  <LinksUpToDate>false</LinksUpToDate>
  <CharactersWithSpaces>1754</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2024-03-21T08:35:00Z</dcterms:created>
  <dc:creator>wee</dc:creator>
  <lastModifiedBy>菠萝啵啵</lastModifiedBy>
  <lastPrinted>2021-02-23T06:17:00Z</lastPrinted>
  <dcterms:modified xsi:type="dcterms:W3CDTF">2024-03-25T05:27:26Z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E67FFB475F4443839E7CFE0B7BB8BFDD_13</vt:lpwstr>
  </property>
</Properties>
</file>