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cs="方正仿宋简体"/>
          <w:color w:val="000000"/>
          <w:sz w:val="32"/>
          <w:szCs w:val="32"/>
        </w:rPr>
      </w:pPr>
      <w:r>
        <w:rPr>
          <w:rFonts w:hint="eastAsia" w:eastAsia="方正小标宋简体" w:cs="方正仿宋简体"/>
          <w:color w:val="000000"/>
          <w:sz w:val="32"/>
          <w:szCs w:val="32"/>
        </w:rPr>
        <w:t>2024年德清县食品接触用工具产品质量监督抽查实施细则</w:t>
      </w:r>
    </w:p>
    <w:p>
      <w:pPr>
        <w:adjustRightInd w:val="0"/>
        <w:snapToGrid w:val="0"/>
        <w:spacing w:line="594" w:lineRule="exact"/>
        <w:jc w:val="center"/>
        <w:rPr>
          <w:rFonts w:eastAsia="方正小标宋简体" w:cs="方正仿宋简体"/>
          <w:color w:val="000000"/>
          <w:sz w:val="32"/>
          <w:szCs w:val="32"/>
        </w:rPr>
      </w:pPr>
    </w:p>
    <w:p>
      <w:pPr>
        <w:adjustRightInd w:val="0"/>
        <w:snapToGrid w:val="0"/>
        <w:spacing w:line="360" w:lineRule="auto"/>
        <w:outlineLvl w:val="1"/>
        <w:rPr>
          <w:rFonts w:eastAsia="黑体" w:cs="黑体"/>
          <w:szCs w:val="21"/>
        </w:rPr>
      </w:pPr>
      <w:r>
        <w:rPr>
          <w:rFonts w:hint="eastAsia" w:eastAsia="黑体" w:cs="黑体"/>
          <w:szCs w:val="21"/>
        </w:rPr>
        <w:t>1 抽样方法</w:t>
      </w:r>
    </w:p>
    <w:p>
      <w:pPr>
        <w:adjustRightInd w:val="0"/>
        <w:snapToGrid w:val="0"/>
        <w:spacing w:line="440" w:lineRule="exact"/>
        <w:ind w:firstLine="420" w:firstLineChars="200"/>
        <w:outlineLvl w:val="1"/>
        <w:rPr>
          <w:rFonts w:asciiTheme="minorEastAsia" w:hAnsiTheme="minorEastAsia" w:eastAsiaTheme="minorEastAsia"/>
          <w:szCs w:val="21"/>
        </w:rPr>
      </w:pPr>
      <w:r>
        <w:rPr>
          <w:rFonts w:asciiTheme="minorEastAsia" w:hAnsiTheme="minorEastAsia" w:eastAsiaTheme="minorEastAsia"/>
          <w:szCs w:val="21"/>
        </w:rPr>
        <w:t>样品</w:t>
      </w:r>
      <w:r>
        <w:rPr>
          <w:rFonts w:hint="eastAsia" w:asciiTheme="minorEastAsia" w:hAnsiTheme="minorEastAsia" w:eastAsiaTheme="minorEastAsia"/>
          <w:szCs w:val="21"/>
        </w:rPr>
        <w:t>应由抽样人员在被抽样生产者、销售者的待销产品或者生产线末端经检验合格的产品中随机抽样</w:t>
      </w:r>
      <w:r>
        <w:rPr>
          <w:rFonts w:asciiTheme="minorEastAsia" w:hAnsiTheme="minorEastAsia" w:eastAsiaTheme="minorEastAsia"/>
          <w:szCs w:val="21"/>
        </w:rPr>
        <w:t>。抽样基数满足抽样数量即可</w:t>
      </w:r>
      <w:r>
        <w:rPr>
          <w:rFonts w:hint="eastAsia" w:asciiTheme="minorEastAsia" w:hAnsiTheme="minorEastAsia" w:eastAsiaTheme="minorEastAsia"/>
          <w:szCs w:val="21"/>
        </w:rPr>
        <w:t>。</w:t>
      </w:r>
    </w:p>
    <w:p>
      <w:pPr>
        <w:adjustRightInd w:val="0"/>
        <w:snapToGrid w:val="0"/>
        <w:spacing w:line="440" w:lineRule="exact"/>
        <w:ind w:firstLine="420" w:firstLineChars="200"/>
        <w:outlineLvl w:val="1"/>
        <w:rPr>
          <w:szCs w:val="21"/>
        </w:rPr>
      </w:pPr>
      <w:r>
        <w:rPr>
          <w:rFonts w:hint="eastAsia"/>
          <w:szCs w:val="21"/>
        </w:rPr>
        <w:t>随机数一般可使用随机数表等方法产生。</w:t>
      </w:r>
    </w:p>
    <w:p>
      <w:pPr>
        <w:adjustRightInd w:val="0"/>
        <w:snapToGrid w:val="0"/>
        <w:spacing w:line="440" w:lineRule="exact"/>
        <w:outlineLvl w:val="1"/>
        <w:rPr>
          <w:szCs w:val="21"/>
        </w:rPr>
      </w:pPr>
      <w:r>
        <w:rPr>
          <w:rFonts w:hint="eastAsia"/>
          <w:szCs w:val="21"/>
        </w:rPr>
        <w:t>食品接触用工具：</w:t>
      </w:r>
    </w:p>
    <w:p>
      <w:pPr>
        <w:adjustRightInd w:val="0"/>
        <w:snapToGrid w:val="0"/>
        <w:spacing w:line="440" w:lineRule="exact"/>
        <w:jc w:val="center"/>
        <w:outlineLvl w:val="1"/>
        <w:rPr>
          <w:szCs w:val="21"/>
        </w:rPr>
      </w:pPr>
      <w:r>
        <w:rPr>
          <w:rFonts w:hint="eastAsia"/>
          <w:color w:val="000000"/>
          <w:szCs w:val="21"/>
        </w:rPr>
        <w:t>表1 抽取样品数量</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333"/>
        <w:gridCol w:w="1989"/>
        <w:gridCol w:w="194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698" w:type="dxa"/>
            <w:vAlign w:val="center"/>
          </w:tcPr>
          <w:p>
            <w:pPr>
              <w:snapToGrid w:val="0"/>
              <w:jc w:val="center"/>
              <w:rPr>
                <w:szCs w:val="21"/>
              </w:rPr>
            </w:pPr>
            <w:r>
              <w:rPr>
                <w:rFonts w:hint="eastAsia"/>
                <w:szCs w:val="21"/>
              </w:rPr>
              <w:t>序号</w:t>
            </w:r>
          </w:p>
        </w:tc>
        <w:tc>
          <w:tcPr>
            <w:tcW w:w="2333" w:type="dxa"/>
            <w:vAlign w:val="center"/>
          </w:tcPr>
          <w:p>
            <w:pPr>
              <w:snapToGrid w:val="0"/>
              <w:jc w:val="center"/>
              <w:rPr>
                <w:color w:val="000000"/>
                <w:szCs w:val="21"/>
              </w:rPr>
            </w:pPr>
            <w:r>
              <w:rPr>
                <w:rFonts w:hint="eastAsia"/>
                <w:szCs w:val="21"/>
              </w:rPr>
              <w:t>产品种类</w:t>
            </w:r>
          </w:p>
        </w:tc>
        <w:tc>
          <w:tcPr>
            <w:tcW w:w="1989" w:type="dxa"/>
            <w:vAlign w:val="center"/>
          </w:tcPr>
          <w:p>
            <w:pPr>
              <w:snapToGrid w:val="0"/>
              <w:jc w:val="center"/>
              <w:rPr>
                <w:color w:val="000000"/>
                <w:szCs w:val="21"/>
              </w:rPr>
            </w:pPr>
            <w:r>
              <w:rPr>
                <w:rFonts w:hint="eastAsia"/>
                <w:color w:val="000000"/>
                <w:szCs w:val="21"/>
              </w:rPr>
              <w:t xml:space="preserve">抽样数量 </w:t>
            </w:r>
          </w:p>
        </w:tc>
        <w:tc>
          <w:tcPr>
            <w:tcW w:w="1944" w:type="dxa"/>
            <w:vAlign w:val="center"/>
          </w:tcPr>
          <w:p>
            <w:pPr>
              <w:snapToGrid w:val="0"/>
              <w:jc w:val="center"/>
              <w:rPr>
                <w:color w:val="000000"/>
                <w:szCs w:val="21"/>
              </w:rPr>
            </w:pPr>
            <w:r>
              <w:rPr>
                <w:color w:val="000000"/>
                <w:szCs w:val="21"/>
              </w:rPr>
              <w:t>检验样品</w:t>
            </w:r>
            <w:r>
              <w:rPr>
                <w:rFonts w:hint="eastAsia"/>
                <w:color w:val="000000"/>
                <w:szCs w:val="21"/>
              </w:rPr>
              <w:t xml:space="preserve">数量 </w:t>
            </w:r>
          </w:p>
        </w:tc>
        <w:tc>
          <w:tcPr>
            <w:tcW w:w="2074" w:type="dxa"/>
            <w:vAlign w:val="center"/>
          </w:tcPr>
          <w:p>
            <w:pPr>
              <w:snapToGrid w:val="0"/>
              <w:jc w:val="center"/>
              <w:rPr>
                <w:color w:val="000000"/>
                <w:szCs w:val="21"/>
              </w:rPr>
            </w:pPr>
            <w:r>
              <w:rPr>
                <w:rFonts w:hint="eastAsia"/>
                <w:color w:val="000000"/>
                <w:szCs w:val="21"/>
              </w:rPr>
              <w:t xml:space="preserve">备用样品数量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blHeader/>
          <w:jc w:val="center"/>
        </w:trPr>
        <w:tc>
          <w:tcPr>
            <w:tcW w:w="698" w:type="dxa"/>
            <w:vAlign w:val="center"/>
          </w:tcPr>
          <w:p>
            <w:pPr>
              <w:snapToGrid w:val="0"/>
              <w:jc w:val="center"/>
              <w:rPr>
                <w:szCs w:val="21"/>
              </w:rPr>
            </w:pPr>
            <w:r>
              <w:rPr>
                <w:rFonts w:hint="eastAsia"/>
                <w:szCs w:val="21"/>
              </w:rPr>
              <w:t>1</w:t>
            </w:r>
          </w:p>
        </w:tc>
        <w:tc>
          <w:tcPr>
            <w:tcW w:w="2333" w:type="dxa"/>
            <w:vAlign w:val="center"/>
          </w:tcPr>
          <w:p>
            <w:pPr>
              <w:snapToGrid w:val="0"/>
              <w:jc w:val="center"/>
              <w:rPr>
                <w:szCs w:val="21"/>
              </w:rPr>
            </w:pPr>
            <w:r>
              <w:rPr>
                <w:rFonts w:hint="eastAsia"/>
                <w:szCs w:val="21"/>
              </w:rPr>
              <w:t>密胺塑料餐具</w:t>
            </w:r>
          </w:p>
        </w:tc>
        <w:tc>
          <w:tcPr>
            <w:tcW w:w="1989" w:type="dxa"/>
            <w:vAlign w:val="center"/>
          </w:tcPr>
          <w:p>
            <w:pPr>
              <w:snapToGrid w:val="0"/>
              <w:jc w:val="center"/>
              <w:rPr>
                <w:color w:val="000000"/>
                <w:szCs w:val="21"/>
              </w:rPr>
            </w:pPr>
            <w:r>
              <w:rPr>
                <w:rFonts w:hint="eastAsia"/>
                <w:color w:val="000000"/>
                <w:szCs w:val="21"/>
              </w:rPr>
              <w:t>筷子：80支</w:t>
            </w:r>
          </w:p>
          <w:p>
            <w:pPr>
              <w:snapToGrid w:val="0"/>
              <w:jc w:val="center"/>
              <w:rPr>
                <w:color w:val="000000"/>
                <w:szCs w:val="21"/>
              </w:rPr>
            </w:pPr>
            <w:r>
              <w:rPr>
                <w:rFonts w:hint="eastAsia"/>
                <w:color w:val="000000"/>
                <w:szCs w:val="21"/>
              </w:rPr>
              <w:t>其它产品：60个</w:t>
            </w:r>
          </w:p>
        </w:tc>
        <w:tc>
          <w:tcPr>
            <w:tcW w:w="1944" w:type="dxa"/>
            <w:vAlign w:val="center"/>
          </w:tcPr>
          <w:p>
            <w:pPr>
              <w:snapToGrid w:val="0"/>
              <w:jc w:val="center"/>
              <w:rPr>
                <w:color w:val="000000"/>
                <w:szCs w:val="21"/>
              </w:rPr>
            </w:pPr>
            <w:r>
              <w:rPr>
                <w:rFonts w:hint="eastAsia"/>
                <w:color w:val="000000"/>
                <w:szCs w:val="21"/>
              </w:rPr>
              <w:t>60支</w:t>
            </w:r>
          </w:p>
          <w:p>
            <w:pPr>
              <w:snapToGrid w:val="0"/>
              <w:jc w:val="center"/>
              <w:rPr>
                <w:color w:val="000000"/>
                <w:szCs w:val="21"/>
              </w:rPr>
            </w:pPr>
            <w:r>
              <w:rPr>
                <w:rFonts w:hint="eastAsia"/>
                <w:color w:val="000000"/>
                <w:szCs w:val="21"/>
              </w:rPr>
              <w:t>其它产品：40个</w:t>
            </w:r>
          </w:p>
        </w:tc>
        <w:tc>
          <w:tcPr>
            <w:tcW w:w="2074" w:type="dxa"/>
            <w:vAlign w:val="center"/>
          </w:tcPr>
          <w:p>
            <w:pPr>
              <w:snapToGrid w:val="0"/>
              <w:jc w:val="center"/>
              <w:rPr>
                <w:color w:val="000000"/>
                <w:szCs w:val="21"/>
              </w:rPr>
            </w:pPr>
            <w:r>
              <w:rPr>
                <w:rFonts w:hint="eastAsia"/>
                <w:color w:val="000000"/>
                <w:szCs w:val="21"/>
              </w:rPr>
              <w:t>20支</w:t>
            </w:r>
          </w:p>
          <w:p>
            <w:pPr>
              <w:snapToGrid w:val="0"/>
              <w:jc w:val="center"/>
              <w:rPr>
                <w:color w:val="000000"/>
                <w:szCs w:val="21"/>
              </w:rPr>
            </w:pPr>
            <w:r>
              <w:rPr>
                <w:rFonts w:hint="eastAsia"/>
                <w:color w:val="000000"/>
                <w:szCs w:val="21"/>
              </w:rPr>
              <w:t>其它产品：20个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698" w:type="dxa"/>
            <w:vAlign w:val="center"/>
          </w:tcPr>
          <w:p>
            <w:pPr>
              <w:snapToGrid w:val="0"/>
              <w:jc w:val="center"/>
              <w:rPr>
                <w:szCs w:val="21"/>
              </w:rPr>
            </w:pPr>
            <w:r>
              <w:rPr>
                <w:rFonts w:hint="eastAsia"/>
                <w:szCs w:val="21"/>
              </w:rPr>
              <w:t>2</w:t>
            </w:r>
          </w:p>
        </w:tc>
        <w:tc>
          <w:tcPr>
            <w:tcW w:w="2333" w:type="dxa"/>
            <w:vAlign w:val="center"/>
          </w:tcPr>
          <w:p>
            <w:pPr>
              <w:snapToGrid w:val="0"/>
              <w:jc w:val="center"/>
              <w:rPr>
                <w:szCs w:val="21"/>
              </w:rPr>
            </w:pPr>
            <w:r>
              <w:rPr>
                <w:rFonts w:hint="eastAsia"/>
                <w:szCs w:val="21"/>
              </w:rPr>
              <w:t>塑料菜板</w:t>
            </w:r>
          </w:p>
        </w:tc>
        <w:tc>
          <w:tcPr>
            <w:tcW w:w="1989" w:type="dxa"/>
            <w:vAlign w:val="center"/>
          </w:tcPr>
          <w:p>
            <w:pPr>
              <w:snapToGrid w:val="0"/>
              <w:jc w:val="center"/>
              <w:rPr>
                <w:szCs w:val="21"/>
              </w:rPr>
            </w:pPr>
            <w:r>
              <w:rPr>
                <w:rFonts w:hint="eastAsia"/>
                <w:szCs w:val="21"/>
              </w:rPr>
              <w:t>16个</w:t>
            </w:r>
          </w:p>
        </w:tc>
        <w:tc>
          <w:tcPr>
            <w:tcW w:w="1944" w:type="dxa"/>
            <w:vAlign w:val="center"/>
          </w:tcPr>
          <w:p>
            <w:pPr>
              <w:snapToGrid w:val="0"/>
              <w:jc w:val="center"/>
              <w:rPr>
                <w:szCs w:val="21"/>
              </w:rPr>
            </w:pPr>
            <w:r>
              <w:rPr>
                <w:rFonts w:hint="eastAsia"/>
                <w:szCs w:val="21"/>
              </w:rPr>
              <w:t>12个</w:t>
            </w:r>
          </w:p>
        </w:tc>
        <w:tc>
          <w:tcPr>
            <w:tcW w:w="2074" w:type="dxa"/>
            <w:vAlign w:val="center"/>
          </w:tcPr>
          <w:p>
            <w:pPr>
              <w:snapToGrid w:val="0"/>
              <w:jc w:val="center"/>
              <w:rPr>
                <w:szCs w:val="21"/>
              </w:rPr>
            </w:pPr>
            <w:r>
              <w:rPr>
                <w:rFonts w:hint="eastAsia"/>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698" w:type="dxa"/>
            <w:vAlign w:val="center"/>
          </w:tcPr>
          <w:p>
            <w:pPr>
              <w:snapToGrid w:val="0"/>
              <w:jc w:val="center"/>
              <w:rPr>
                <w:szCs w:val="21"/>
              </w:rPr>
            </w:pPr>
            <w:r>
              <w:rPr>
                <w:rFonts w:hint="eastAsia"/>
                <w:szCs w:val="21"/>
              </w:rPr>
              <w:t>3</w:t>
            </w:r>
          </w:p>
        </w:tc>
        <w:tc>
          <w:tcPr>
            <w:tcW w:w="2333" w:type="dxa"/>
            <w:vAlign w:val="center"/>
          </w:tcPr>
          <w:p>
            <w:pPr>
              <w:snapToGrid w:val="0"/>
              <w:jc w:val="center"/>
              <w:rPr>
                <w:szCs w:val="21"/>
              </w:rPr>
            </w:pPr>
            <w:r>
              <w:rPr>
                <w:rFonts w:hint="eastAsia"/>
                <w:szCs w:val="21"/>
              </w:rPr>
              <w:t>饮用吸管</w:t>
            </w:r>
          </w:p>
        </w:tc>
        <w:tc>
          <w:tcPr>
            <w:tcW w:w="1989" w:type="dxa"/>
            <w:vAlign w:val="center"/>
          </w:tcPr>
          <w:p>
            <w:pPr>
              <w:snapToGrid w:val="0"/>
              <w:jc w:val="center"/>
              <w:rPr>
                <w:szCs w:val="21"/>
              </w:rPr>
            </w:pPr>
            <w:r>
              <w:rPr>
                <w:rFonts w:hint="eastAsia"/>
                <w:szCs w:val="21"/>
              </w:rPr>
              <w:t>150个</w:t>
            </w:r>
          </w:p>
        </w:tc>
        <w:tc>
          <w:tcPr>
            <w:tcW w:w="1944" w:type="dxa"/>
            <w:vAlign w:val="center"/>
          </w:tcPr>
          <w:p>
            <w:pPr>
              <w:snapToGrid w:val="0"/>
              <w:jc w:val="center"/>
              <w:rPr>
                <w:szCs w:val="21"/>
              </w:rPr>
            </w:pPr>
            <w:r>
              <w:rPr>
                <w:rFonts w:hint="eastAsia"/>
                <w:szCs w:val="21"/>
              </w:rPr>
              <w:t>100个</w:t>
            </w:r>
          </w:p>
        </w:tc>
        <w:tc>
          <w:tcPr>
            <w:tcW w:w="2074" w:type="dxa"/>
            <w:vAlign w:val="center"/>
          </w:tcPr>
          <w:p>
            <w:pPr>
              <w:snapToGrid w:val="0"/>
              <w:jc w:val="center"/>
              <w:rPr>
                <w:szCs w:val="21"/>
              </w:rPr>
            </w:pPr>
            <w:r>
              <w:rPr>
                <w:rFonts w:hint="eastAsia"/>
                <w:szCs w:val="21"/>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698" w:type="dxa"/>
            <w:vAlign w:val="center"/>
          </w:tcPr>
          <w:p>
            <w:pPr>
              <w:snapToGrid w:val="0"/>
              <w:jc w:val="center"/>
              <w:rPr>
                <w:szCs w:val="21"/>
              </w:rPr>
            </w:pPr>
            <w:r>
              <w:rPr>
                <w:rFonts w:hint="eastAsia"/>
                <w:szCs w:val="21"/>
              </w:rPr>
              <w:t>4</w:t>
            </w:r>
          </w:p>
        </w:tc>
        <w:tc>
          <w:tcPr>
            <w:tcW w:w="2333" w:type="dxa"/>
            <w:vAlign w:val="center"/>
          </w:tcPr>
          <w:p>
            <w:pPr>
              <w:snapToGrid w:val="0"/>
              <w:jc w:val="center"/>
              <w:rPr>
                <w:szCs w:val="21"/>
              </w:rPr>
            </w:pPr>
            <w:r>
              <w:rPr>
                <w:rFonts w:hint="eastAsia"/>
                <w:szCs w:val="21"/>
              </w:rPr>
              <w:t>塑料一次性餐饮具</w:t>
            </w:r>
          </w:p>
        </w:tc>
        <w:tc>
          <w:tcPr>
            <w:tcW w:w="1989" w:type="dxa"/>
            <w:vAlign w:val="center"/>
          </w:tcPr>
          <w:p>
            <w:pPr>
              <w:snapToGrid w:val="0"/>
              <w:jc w:val="center"/>
              <w:rPr>
                <w:szCs w:val="21"/>
              </w:rPr>
            </w:pPr>
            <w:r>
              <w:rPr>
                <w:rFonts w:hint="eastAsia"/>
                <w:szCs w:val="21"/>
              </w:rPr>
              <w:t>70个</w:t>
            </w:r>
          </w:p>
        </w:tc>
        <w:tc>
          <w:tcPr>
            <w:tcW w:w="1944" w:type="dxa"/>
            <w:vAlign w:val="center"/>
          </w:tcPr>
          <w:p>
            <w:pPr>
              <w:snapToGrid w:val="0"/>
              <w:jc w:val="center"/>
              <w:rPr>
                <w:szCs w:val="21"/>
              </w:rPr>
            </w:pPr>
            <w:r>
              <w:rPr>
                <w:rFonts w:hint="eastAsia"/>
                <w:szCs w:val="21"/>
              </w:rPr>
              <w:t>50个</w:t>
            </w:r>
          </w:p>
        </w:tc>
        <w:tc>
          <w:tcPr>
            <w:tcW w:w="2074" w:type="dxa"/>
            <w:vAlign w:val="center"/>
          </w:tcPr>
          <w:p>
            <w:pPr>
              <w:snapToGrid w:val="0"/>
              <w:jc w:val="center"/>
              <w:rPr>
                <w:szCs w:val="21"/>
              </w:rPr>
            </w:pPr>
            <w:r>
              <w:rPr>
                <w:rFonts w:hint="eastAsia"/>
                <w:szCs w:val="21"/>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698" w:type="dxa"/>
            <w:vAlign w:val="center"/>
          </w:tcPr>
          <w:p>
            <w:pPr>
              <w:snapToGrid w:val="0"/>
              <w:jc w:val="center"/>
              <w:rPr>
                <w:szCs w:val="21"/>
              </w:rPr>
            </w:pPr>
            <w:r>
              <w:rPr>
                <w:rFonts w:hint="eastAsia"/>
                <w:szCs w:val="21"/>
              </w:rPr>
              <w:t>5</w:t>
            </w:r>
          </w:p>
        </w:tc>
        <w:tc>
          <w:tcPr>
            <w:tcW w:w="2333" w:type="dxa"/>
            <w:vAlign w:val="center"/>
          </w:tcPr>
          <w:p>
            <w:pPr>
              <w:snapToGrid w:val="0"/>
              <w:jc w:val="center"/>
              <w:rPr>
                <w:szCs w:val="21"/>
              </w:rPr>
            </w:pPr>
            <w:r>
              <w:rPr>
                <w:rFonts w:hint="eastAsia"/>
                <w:szCs w:val="21"/>
              </w:rPr>
              <w:t>可重复使用塑料餐饮具</w:t>
            </w:r>
          </w:p>
        </w:tc>
        <w:tc>
          <w:tcPr>
            <w:tcW w:w="1989" w:type="dxa"/>
            <w:vAlign w:val="center"/>
          </w:tcPr>
          <w:p>
            <w:pPr>
              <w:snapToGrid w:val="0"/>
              <w:jc w:val="center"/>
              <w:rPr>
                <w:szCs w:val="21"/>
              </w:rPr>
            </w:pPr>
            <w:r>
              <w:rPr>
                <w:rFonts w:hint="eastAsia"/>
                <w:szCs w:val="21"/>
              </w:rPr>
              <w:t>30个</w:t>
            </w:r>
          </w:p>
        </w:tc>
        <w:tc>
          <w:tcPr>
            <w:tcW w:w="1944" w:type="dxa"/>
            <w:vAlign w:val="center"/>
          </w:tcPr>
          <w:p>
            <w:pPr>
              <w:snapToGrid w:val="0"/>
              <w:jc w:val="center"/>
              <w:rPr>
                <w:szCs w:val="21"/>
              </w:rPr>
            </w:pPr>
            <w:r>
              <w:rPr>
                <w:rFonts w:hint="eastAsia"/>
                <w:szCs w:val="21"/>
              </w:rPr>
              <w:t>20个</w:t>
            </w:r>
          </w:p>
        </w:tc>
        <w:tc>
          <w:tcPr>
            <w:tcW w:w="2074" w:type="dxa"/>
            <w:vAlign w:val="center"/>
          </w:tcPr>
          <w:p>
            <w:pPr>
              <w:snapToGrid w:val="0"/>
              <w:jc w:val="center"/>
              <w:rPr>
                <w:szCs w:val="21"/>
              </w:rPr>
            </w:pPr>
            <w:r>
              <w:rPr>
                <w:rFonts w:hint="eastAsia"/>
                <w:szCs w:val="21"/>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blHeader/>
          <w:jc w:val="center"/>
        </w:trPr>
        <w:tc>
          <w:tcPr>
            <w:tcW w:w="698" w:type="dxa"/>
            <w:vAlign w:val="center"/>
          </w:tcPr>
          <w:p>
            <w:pPr>
              <w:snapToGrid w:val="0"/>
              <w:jc w:val="center"/>
              <w:rPr>
                <w:szCs w:val="21"/>
              </w:rPr>
            </w:pPr>
            <w:r>
              <w:rPr>
                <w:rFonts w:hint="eastAsia"/>
                <w:szCs w:val="21"/>
              </w:rPr>
              <w:t>6</w:t>
            </w:r>
          </w:p>
        </w:tc>
        <w:tc>
          <w:tcPr>
            <w:tcW w:w="2333" w:type="dxa"/>
            <w:vAlign w:val="center"/>
          </w:tcPr>
          <w:p>
            <w:pPr>
              <w:snapToGrid w:val="0"/>
              <w:jc w:val="center"/>
              <w:rPr>
                <w:szCs w:val="21"/>
              </w:rPr>
            </w:pPr>
            <w:r>
              <w:rPr>
                <w:rFonts w:hint="eastAsia"/>
                <w:szCs w:val="21"/>
              </w:rPr>
              <w:t>食品接触用特定工具及塑料件</w:t>
            </w:r>
          </w:p>
        </w:tc>
        <w:tc>
          <w:tcPr>
            <w:tcW w:w="1989" w:type="dxa"/>
            <w:vAlign w:val="center"/>
          </w:tcPr>
          <w:p>
            <w:pPr>
              <w:snapToGrid w:val="0"/>
              <w:jc w:val="center"/>
              <w:rPr>
                <w:szCs w:val="21"/>
              </w:rPr>
            </w:pPr>
            <w:r>
              <w:rPr>
                <w:rFonts w:hint="eastAsia"/>
                <w:szCs w:val="21"/>
              </w:rPr>
              <w:t>70个</w:t>
            </w:r>
          </w:p>
        </w:tc>
        <w:tc>
          <w:tcPr>
            <w:tcW w:w="1944" w:type="dxa"/>
            <w:vAlign w:val="center"/>
          </w:tcPr>
          <w:p>
            <w:pPr>
              <w:snapToGrid w:val="0"/>
              <w:jc w:val="center"/>
              <w:rPr>
                <w:szCs w:val="21"/>
              </w:rPr>
            </w:pPr>
            <w:r>
              <w:rPr>
                <w:rFonts w:hint="eastAsia"/>
                <w:szCs w:val="21"/>
              </w:rPr>
              <w:t>50个</w:t>
            </w:r>
          </w:p>
        </w:tc>
        <w:tc>
          <w:tcPr>
            <w:tcW w:w="2074" w:type="dxa"/>
            <w:vAlign w:val="center"/>
          </w:tcPr>
          <w:p>
            <w:pPr>
              <w:snapToGrid w:val="0"/>
              <w:jc w:val="center"/>
              <w:rPr>
                <w:szCs w:val="21"/>
              </w:rPr>
            </w:pPr>
            <w:r>
              <w:rPr>
                <w:rFonts w:hint="eastAsia"/>
                <w:szCs w:val="21"/>
              </w:rPr>
              <w:t>20个</w:t>
            </w:r>
          </w:p>
        </w:tc>
      </w:tr>
    </w:tbl>
    <w:p>
      <w:pPr>
        <w:adjustRightInd w:val="0"/>
        <w:snapToGrid w:val="0"/>
        <w:spacing w:line="440" w:lineRule="exact"/>
        <w:outlineLvl w:val="1"/>
        <w:rPr>
          <w:szCs w:val="21"/>
        </w:rPr>
      </w:pPr>
      <w:r>
        <w:rPr>
          <w:rFonts w:hint="eastAsia"/>
          <w:szCs w:val="21"/>
        </w:rPr>
        <w:t>注：</w:t>
      </w:r>
      <w:r>
        <w:rPr>
          <w:rFonts w:hint="eastAsia"/>
          <w:color w:val="000000"/>
          <w:szCs w:val="21"/>
        </w:rPr>
        <w:t>在满足检测用量的情况下，可以适当减少抽样量。</w:t>
      </w:r>
    </w:p>
    <w:p>
      <w:pPr>
        <w:adjustRightInd w:val="0"/>
        <w:snapToGrid w:val="0"/>
        <w:spacing w:line="440" w:lineRule="exact"/>
        <w:outlineLvl w:val="1"/>
        <w:rPr>
          <w:rFonts w:eastAsia="黑体" w:cs="黑体"/>
          <w:szCs w:val="21"/>
        </w:rPr>
      </w:pPr>
    </w:p>
    <w:p>
      <w:pPr>
        <w:adjustRightInd w:val="0"/>
        <w:snapToGrid w:val="0"/>
        <w:spacing w:line="360" w:lineRule="auto"/>
        <w:outlineLvl w:val="1"/>
        <w:rPr>
          <w:rFonts w:eastAsia="黑体" w:cs="黑体"/>
          <w:szCs w:val="21"/>
        </w:rPr>
      </w:pPr>
      <w:r>
        <w:rPr>
          <w:rFonts w:hint="eastAsia" w:eastAsia="黑体" w:cs="黑体"/>
          <w:szCs w:val="21"/>
        </w:rPr>
        <w:t>2 检验依据</w:t>
      </w:r>
    </w:p>
    <w:p>
      <w:pPr>
        <w:adjustRightInd w:val="0"/>
        <w:snapToGrid w:val="0"/>
        <w:ind w:firstLine="420" w:firstLineChars="200"/>
        <w:jc w:val="center"/>
        <w:rPr>
          <w:szCs w:val="21"/>
        </w:rPr>
      </w:pPr>
      <w:r>
        <w:rPr>
          <w:rFonts w:hint="eastAsia"/>
          <w:szCs w:val="21"/>
        </w:rPr>
        <w:t>表2 食品相关产品</w:t>
      </w:r>
    </w:p>
    <w:tbl>
      <w:tblPr>
        <w:tblStyle w:val="10"/>
        <w:tblW w:w="42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2502"/>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blHeader/>
          <w:jc w:val="center"/>
        </w:trPr>
        <w:tc>
          <w:tcPr>
            <w:tcW w:w="1033" w:type="pct"/>
            <w:vAlign w:val="center"/>
          </w:tcPr>
          <w:p>
            <w:pPr>
              <w:snapToGrid w:val="0"/>
              <w:spacing w:line="440" w:lineRule="exact"/>
              <w:jc w:val="center"/>
              <w:rPr>
                <w:color w:val="000000"/>
                <w:szCs w:val="21"/>
              </w:rPr>
            </w:pPr>
            <w:r>
              <w:rPr>
                <w:color w:val="000000"/>
                <w:szCs w:val="21"/>
              </w:rPr>
              <w:t>序</w:t>
            </w:r>
            <w:r>
              <w:rPr>
                <w:rFonts w:hint="eastAsia"/>
                <w:color w:val="000000"/>
                <w:szCs w:val="21"/>
              </w:rPr>
              <w:t>号</w:t>
            </w:r>
          </w:p>
        </w:tc>
        <w:tc>
          <w:tcPr>
            <w:tcW w:w="1594" w:type="pct"/>
            <w:vAlign w:val="center"/>
          </w:tcPr>
          <w:p>
            <w:pPr>
              <w:snapToGrid w:val="0"/>
              <w:spacing w:line="440" w:lineRule="exact"/>
              <w:jc w:val="center"/>
              <w:rPr>
                <w:color w:val="000000"/>
                <w:szCs w:val="21"/>
              </w:rPr>
            </w:pPr>
            <w:r>
              <w:rPr>
                <w:color w:val="000000"/>
                <w:szCs w:val="21"/>
              </w:rPr>
              <w:t>检验项目</w:t>
            </w:r>
          </w:p>
        </w:tc>
        <w:tc>
          <w:tcPr>
            <w:tcW w:w="2373" w:type="pct"/>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1</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标签标识（标识内容、符合性声明、食品接触标识及特殊使用要求信息、标识位置、树脂名称）</w:t>
            </w:r>
          </w:p>
        </w:tc>
        <w:tc>
          <w:tcPr>
            <w:tcW w:w="2373" w:type="pct"/>
            <w:vAlign w:val="center"/>
          </w:tcPr>
          <w:p>
            <w:pPr>
              <w:widowControl/>
              <w:jc w:val="center"/>
              <w:textAlignment w:val="center"/>
              <w:rPr>
                <w:szCs w:val="21"/>
              </w:rPr>
            </w:pPr>
            <w:r>
              <w:rPr>
                <w:szCs w:val="21"/>
              </w:rPr>
              <w:t>GB 4806.</w:t>
            </w:r>
            <w:r>
              <w:rPr>
                <w:rFonts w:hint="eastAsia"/>
                <w:szCs w:val="21"/>
              </w:rPr>
              <w:t>1-</w:t>
            </w:r>
            <w:r>
              <w:rPr>
                <w:szCs w:val="21"/>
              </w:rPr>
              <w:t>2016</w:t>
            </w:r>
          </w:p>
          <w:p>
            <w:pPr>
              <w:widowControl/>
              <w:jc w:val="center"/>
              <w:textAlignment w:val="center"/>
              <w:rPr>
                <w:rFonts w:ascii="宋体" w:hAnsi="宋体" w:cs="宋体"/>
                <w:color w:val="000000"/>
                <w:szCs w:val="21"/>
              </w:rPr>
            </w:pPr>
            <w:r>
              <w:rPr>
                <w:rFonts w:hint="eastAsia"/>
                <w:szCs w:val="21"/>
              </w:rPr>
              <w:t>GB 4806.6-2016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2</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感官要求</w:t>
            </w:r>
          </w:p>
        </w:tc>
        <w:tc>
          <w:tcPr>
            <w:tcW w:w="2373" w:type="pct"/>
            <w:vAlign w:val="center"/>
          </w:tcPr>
          <w:p>
            <w:pPr>
              <w:snapToGrid w:val="0"/>
              <w:jc w:val="center"/>
              <w:rPr>
                <w:szCs w:val="21"/>
              </w:rPr>
            </w:pPr>
            <w:r>
              <w:rPr>
                <w:rFonts w:hint="eastAsia"/>
                <w:szCs w:val="21"/>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3</w:t>
            </w:r>
          </w:p>
        </w:tc>
        <w:tc>
          <w:tcPr>
            <w:tcW w:w="1594" w:type="pct"/>
            <w:vAlign w:val="center"/>
          </w:tcPr>
          <w:p>
            <w:pPr>
              <w:adjustRightInd w:val="0"/>
              <w:snapToGrid w:val="0"/>
              <w:jc w:val="center"/>
              <w:rPr>
                <w:rFonts w:ascii="宋体" w:hAnsi="宋体" w:cs="宋体"/>
                <w:color w:val="000000"/>
                <w:kern w:val="0"/>
                <w:szCs w:val="21"/>
              </w:rPr>
            </w:pPr>
            <w:r>
              <w:rPr>
                <w:rFonts w:hint="eastAsia" w:ascii="宋体" w:hAnsi="宋体" w:cs="宋体"/>
                <w:color w:val="000000"/>
                <w:kern w:val="0"/>
                <w:szCs w:val="21"/>
              </w:rPr>
              <w:t>总迁移量</w:t>
            </w:r>
          </w:p>
        </w:tc>
        <w:tc>
          <w:tcPr>
            <w:tcW w:w="2373" w:type="pct"/>
            <w:vAlign w:val="center"/>
          </w:tcPr>
          <w:p>
            <w:pPr>
              <w:snapToGrid w:val="0"/>
              <w:jc w:val="center"/>
              <w:rPr>
                <w:szCs w:val="21"/>
              </w:rPr>
            </w:pPr>
            <w:r>
              <w:rPr>
                <w:rFonts w:hint="eastAsia"/>
                <w:szCs w:val="21"/>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4</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高锰酸钾消耗量</w:t>
            </w:r>
          </w:p>
        </w:tc>
        <w:tc>
          <w:tcPr>
            <w:tcW w:w="2373" w:type="pct"/>
            <w:vAlign w:val="center"/>
          </w:tcPr>
          <w:p>
            <w:pPr>
              <w:snapToGrid w:val="0"/>
              <w:jc w:val="center"/>
              <w:rPr>
                <w:szCs w:val="21"/>
              </w:rPr>
            </w:pPr>
            <w:r>
              <w:rPr>
                <w:rFonts w:hint="eastAsia"/>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5</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重金属（以Pb计）</w:t>
            </w:r>
          </w:p>
        </w:tc>
        <w:tc>
          <w:tcPr>
            <w:tcW w:w="2373" w:type="pct"/>
            <w:vAlign w:val="center"/>
          </w:tcPr>
          <w:p>
            <w:pPr>
              <w:snapToGrid w:val="0"/>
              <w:jc w:val="center"/>
              <w:rPr>
                <w:szCs w:val="21"/>
              </w:rPr>
            </w:pPr>
            <w:r>
              <w:rPr>
                <w:rFonts w:hint="eastAsia"/>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6</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脱色试验（仅适用于添加着色剂产品）</w:t>
            </w:r>
          </w:p>
        </w:tc>
        <w:tc>
          <w:tcPr>
            <w:tcW w:w="2373" w:type="pct"/>
            <w:vAlign w:val="center"/>
          </w:tcPr>
          <w:p>
            <w:pPr>
              <w:snapToGrid w:val="0"/>
              <w:jc w:val="center"/>
              <w:rPr>
                <w:szCs w:val="21"/>
              </w:rPr>
            </w:pPr>
            <w:r>
              <w:rPr>
                <w:rFonts w:hint="eastAsia"/>
                <w:szCs w:val="21"/>
              </w:rPr>
              <w:t>GB 31604.7-2016</w:t>
            </w:r>
          </w:p>
        </w:tc>
      </w:tr>
    </w:tbl>
    <w:p>
      <w:pPr>
        <w:adjustRightInd w:val="0"/>
        <w:snapToGrid w:val="0"/>
        <w:ind w:firstLine="420" w:firstLineChars="200"/>
        <w:jc w:val="center"/>
        <w:rPr>
          <w:szCs w:val="21"/>
        </w:rPr>
      </w:pPr>
    </w:p>
    <w:p>
      <w:pPr>
        <w:snapToGrid w:val="0"/>
        <w:spacing w:line="440" w:lineRule="exact"/>
        <w:ind w:firstLine="420" w:firstLineChars="200"/>
        <w:rPr>
          <w:color w:val="000000"/>
          <w:szCs w:val="21"/>
        </w:rPr>
      </w:pPr>
      <w:r>
        <w:rPr>
          <w:color w:val="000000"/>
          <w:szCs w:val="21"/>
        </w:rPr>
        <w:t>执行</w:t>
      </w:r>
      <w:r>
        <w:rPr>
          <w:rFonts w:hint="eastAsia"/>
          <w:color w:val="000000"/>
          <w:szCs w:val="21"/>
        </w:rPr>
        <w:t>其他标准</w:t>
      </w:r>
      <w:r>
        <w:rPr>
          <w:color w:val="000000"/>
          <w:szCs w:val="21"/>
        </w:rPr>
        <w:t>的产品，检验项目参照上述内容执行。</w:t>
      </w:r>
    </w:p>
    <w:p>
      <w:pPr>
        <w:snapToGrid w:val="0"/>
        <w:spacing w:line="440" w:lineRule="exact"/>
        <w:ind w:firstLine="420" w:firstLineChars="20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420" w:firstLineChars="200"/>
        <w:rPr>
          <w:color w:val="000000"/>
          <w:szCs w:val="21"/>
        </w:rPr>
      </w:pPr>
      <w:r>
        <w:rPr>
          <w:rFonts w:hint="eastAsia"/>
          <w:color w:val="000000"/>
          <w:szCs w:val="21"/>
        </w:rPr>
        <w:t>复检时所检测的样品为备用样品。</w:t>
      </w:r>
    </w:p>
    <w:p>
      <w:pPr>
        <w:snapToGrid w:val="0"/>
        <w:spacing w:line="440" w:lineRule="exact"/>
        <w:ind w:firstLine="359" w:firstLineChars="171"/>
        <w:rPr>
          <w:rFonts w:eastAsia="黑体" w:cs="黑体"/>
          <w:szCs w:val="21"/>
        </w:rPr>
      </w:pPr>
    </w:p>
    <w:p>
      <w:pPr>
        <w:adjustRightInd w:val="0"/>
        <w:snapToGrid w:val="0"/>
        <w:spacing w:line="360" w:lineRule="auto"/>
        <w:outlineLvl w:val="1"/>
        <w:rPr>
          <w:rFonts w:eastAsia="黑体" w:cs="黑体"/>
          <w:szCs w:val="21"/>
        </w:rPr>
      </w:pPr>
      <w:r>
        <w:rPr>
          <w:rFonts w:hint="eastAsia" w:eastAsia="黑体" w:cs="黑体"/>
          <w:szCs w:val="21"/>
        </w:rPr>
        <w:t>3 判定规则</w:t>
      </w:r>
    </w:p>
    <w:p>
      <w:pPr>
        <w:adjustRightInd w:val="0"/>
        <w:snapToGrid w:val="0"/>
        <w:spacing w:line="360" w:lineRule="auto"/>
        <w:rPr>
          <w:color w:val="000000"/>
          <w:szCs w:val="21"/>
        </w:rPr>
      </w:pPr>
      <w:r>
        <w:rPr>
          <w:rFonts w:hint="eastAsia"/>
          <w:color w:val="000000"/>
          <w:szCs w:val="21"/>
        </w:rPr>
        <w:t>3.1依据标准</w:t>
      </w:r>
    </w:p>
    <w:p>
      <w:pPr>
        <w:widowControl/>
        <w:spacing w:line="440" w:lineRule="exact"/>
        <w:ind w:firstLine="420" w:firstLineChars="200"/>
        <w:rPr>
          <w:szCs w:val="21"/>
        </w:rPr>
      </w:pPr>
      <w:r>
        <w:rPr>
          <w:szCs w:val="21"/>
        </w:rPr>
        <w:t>GB 4806.6-2016     食品安全国家标准  食品接触用塑料树脂</w:t>
      </w:r>
    </w:p>
    <w:p>
      <w:pPr>
        <w:widowControl/>
        <w:spacing w:line="440" w:lineRule="exact"/>
        <w:ind w:firstLine="420" w:firstLineChars="200"/>
        <w:rPr>
          <w:szCs w:val="21"/>
        </w:rPr>
      </w:pPr>
      <w:r>
        <w:rPr>
          <w:szCs w:val="21"/>
        </w:rPr>
        <w:t>GB 4806.7-2016     食品安全国家标准  食品接触用塑料材料及制品</w:t>
      </w:r>
    </w:p>
    <w:p>
      <w:pPr>
        <w:snapToGrid w:val="0"/>
        <w:spacing w:line="440" w:lineRule="exact"/>
        <w:ind w:firstLine="420" w:firstLineChars="200"/>
        <w:rPr>
          <w:color w:val="000000"/>
          <w:szCs w:val="21"/>
        </w:rPr>
      </w:pPr>
      <w:r>
        <w:rPr>
          <w:color w:val="000000"/>
          <w:szCs w:val="21"/>
        </w:rPr>
        <w:t>现行有效的</w:t>
      </w:r>
      <w:r>
        <w:rPr>
          <w:rFonts w:hint="eastAsia"/>
          <w:color w:val="000000"/>
          <w:szCs w:val="21"/>
        </w:rPr>
        <w:t>其他</w:t>
      </w:r>
      <w:r>
        <w:rPr>
          <w:color w:val="000000"/>
          <w:szCs w:val="21"/>
        </w:rPr>
        <w:t>标准及产品明示质量要求</w:t>
      </w:r>
    </w:p>
    <w:p>
      <w:pPr>
        <w:adjustRightInd w:val="0"/>
        <w:snapToGrid w:val="0"/>
        <w:spacing w:line="440" w:lineRule="exact"/>
        <w:jc w:val="left"/>
        <w:rPr>
          <w:rFonts w:hAnsi="宋体"/>
        </w:rPr>
      </w:pPr>
      <w:r>
        <w:rPr>
          <w:rFonts w:hint="eastAsia" w:hAnsi="宋体"/>
        </w:rPr>
        <w:t>3.2判定原则</w:t>
      </w:r>
    </w:p>
    <w:p>
      <w:pPr>
        <w:adjustRightInd w:val="0"/>
        <w:snapToGrid w:val="0"/>
        <w:spacing w:line="440" w:lineRule="exact"/>
        <w:ind w:firstLine="420" w:firstLineChars="200"/>
        <w:rPr>
          <w:color w:val="000000"/>
          <w:szCs w:val="21"/>
        </w:rPr>
      </w:pPr>
      <w:r>
        <w:rPr>
          <w:rFonts w:hint="eastAsia"/>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pPr>
        <w:snapToGrid w:val="0"/>
        <w:spacing w:line="440" w:lineRule="exact"/>
        <w:ind w:firstLine="420" w:firstLineChars="200"/>
        <w:rPr>
          <w:color w:val="000000"/>
          <w:szCs w:val="21"/>
        </w:rPr>
      </w:pPr>
      <w:r>
        <w:rPr>
          <w:rFonts w:hint="eastAsia"/>
          <w:color w:val="000000"/>
          <w:szCs w:val="21"/>
        </w:rPr>
        <w:t>经检验，检验项目中任一项或一项以上不合格，判定被抽查产品为“不合格”。</w:t>
      </w:r>
    </w:p>
    <w:p>
      <w:pPr>
        <w:snapToGrid w:val="0"/>
        <w:spacing w:line="440" w:lineRule="exact"/>
        <w:ind w:firstLine="420" w:firstLineChars="200"/>
        <w:rPr>
          <w:color w:val="000000"/>
          <w:szCs w:val="21"/>
        </w:rPr>
      </w:pPr>
      <w:r>
        <w:rPr>
          <w:rFonts w:hint="eastAsia"/>
          <w:color w:val="000000"/>
          <w:szCs w:val="21"/>
        </w:rPr>
        <w:t>检验项目全部符合明示质量要求，但不符合本细则检验项目依据的推荐性标准，判定被抽查产品为“所检项目符合明示质量要求，未达到××标准规定”。（注：××为具体标准名称）</w:t>
      </w:r>
    </w:p>
    <w:p>
      <w:pPr>
        <w:snapToGrid w:val="0"/>
        <w:spacing w:line="440" w:lineRule="exact"/>
        <w:ind w:firstLine="420" w:firstLineChars="200"/>
        <w:rPr>
          <w:rFonts w:hAnsi="宋体"/>
        </w:rPr>
      </w:pPr>
      <w:r>
        <w:rPr>
          <w:rFonts w:hint="eastAsia"/>
          <w:color w:val="000000"/>
          <w:szCs w:val="21"/>
        </w:rPr>
        <w:t>检验项目全部符合明示质量要求，且符合本细则检验项目依据的推荐性标准，判定被抽查产品为“所检项目符合本次监督抽查要求”。</w:t>
      </w:r>
      <w:bookmarkStart w:id="0" w:name="_GoBack"/>
      <w:bookmarkEnd w:id="0"/>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w:t>
    </w:r>
    <w:r>
      <w:rPr>
        <w:sz w:val="21"/>
        <w:szCs w:val="21"/>
        <w:lang w:val="zh-CN"/>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zZjVmOTJmMTQ2Y2IwNDdlNmVjOTI4OGYyZTk2NDYifQ=="/>
  </w:docVars>
  <w:rsids>
    <w:rsidRoot w:val="004E7F45"/>
    <w:rsid w:val="000223BA"/>
    <w:rsid w:val="00025E70"/>
    <w:rsid w:val="00026930"/>
    <w:rsid w:val="000600FC"/>
    <w:rsid w:val="00074984"/>
    <w:rsid w:val="00075245"/>
    <w:rsid w:val="000A0C5A"/>
    <w:rsid w:val="000A2FA9"/>
    <w:rsid w:val="000D0B7A"/>
    <w:rsid w:val="000F0172"/>
    <w:rsid w:val="001001F2"/>
    <w:rsid w:val="00102FBF"/>
    <w:rsid w:val="00104D1A"/>
    <w:rsid w:val="00111BFA"/>
    <w:rsid w:val="00126B4B"/>
    <w:rsid w:val="0013492D"/>
    <w:rsid w:val="00136614"/>
    <w:rsid w:val="001515C4"/>
    <w:rsid w:val="00173D62"/>
    <w:rsid w:val="00176766"/>
    <w:rsid w:val="00185563"/>
    <w:rsid w:val="0019080C"/>
    <w:rsid w:val="001C3CE2"/>
    <w:rsid w:val="001E7D67"/>
    <w:rsid w:val="001F5A89"/>
    <w:rsid w:val="002333DE"/>
    <w:rsid w:val="00260F3F"/>
    <w:rsid w:val="00262E0C"/>
    <w:rsid w:val="00263965"/>
    <w:rsid w:val="00264790"/>
    <w:rsid w:val="002657A4"/>
    <w:rsid w:val="002961CD"/>
    <w:rsid w:val="002A2353"/>
    <w:rsid w:val="002D2966"/>
    <w:rsid w:val="002F3CE5"/>
    <w:rsid w:val="00313811"/>
    <w:rsid w:val="00316ED3"/>
    <w:rsid w:val="00322C70"/>
    <w:rsid w:val="0033027F"/>
    <w:rsid w:val="00345C28"/>
    <w:rsid w:val="003462B4"/>
    <w:rsid w:val="0035010F"/>
    <w:rsid w:val="003507DD"/>
    <w:rsid w:val="0037397A"/>
    <w:rsid w:val="00384D3B"/>
    <w:rsid w:val="003A1F5F"/>
    <w:rsid w:val="003B0BC4"/>
    <w:rsid w:val="003B5A03"/>
    <w:rsid w:val="003C4ABE"/>
    <w:rsid w:val="003D5388"/>
    <w:rsid w:val="003F71AC"/>
    <w:rsid w:val="003F7705"/>
    <w:rsid w:val="004064D4"/>
    <w:rsid w:val="00421E58"/>
    <w:rsid w:val="00460651"/>
    <w:rsid w:val="0046538D"/>
    <w:rsid w:val="0048431A"/>
    <w:rsid w:val="004A0B0A"/>
    <w:rsid w:val="004A673D"/>
    <w:rsid w:val="004D349C"/>
    <w:rsid w:val="004D79DF"/>
    <w:rsid w:val="004E7F45"/>
    <w:rsid w:val="005025AF"/>
    <w:rsid w:val="0051209D"/>
    <w:rsid w:val="00532F8D"/>
    <w:rsid w:val="00536DCA"/>
    <w:rsid w:val="0054077C"/>
    <w:rsid w:val="00543BC5"/>
    <w:rsid w:val="005468BC"/>
    <w:rsid w:val="00553E9A"/>
    <w:rsid w:val="0056405C"/>
    <w:rsid w:val="00571A64"/>
    <w:rsid w:val="00575C42"/>
    <w:rsid w:val="0059759C"/>
    <w:rsid w:val="005A608E"/>
    <w:rsid w:val="005A736C"/>
    <w:rsid w:val="005E6927"/>
    <w:rsid w:val="0061295A"/>
    <w:rsid w:val="006133E0"/>
    <w:rsid w:val="0061369D"/>
    <w:rsid w:val="00614A91"/>
    <w:rsid w:val="006219F8"/>
    <w:rsid w:val="00637B14"/>
    <w:rsid w:val="00640574"/>
    <w:rsid w:val="006430D7"/>
    <w:rsid w:val="00646A2D"/>
    <w:rsid w:val="0065579C"/>
    <w:rsid w:val="00661A1E"/>
    <w:rsid w:val="0068760D"/>
    <w:rsid w:val="006A74D7"/>
    <w:rsid w:val="006C56E0"/>
    <w:rsid w:val="006D42AD"/>
    <w:rsid w:val="006E42C6"/>
    <w:rsid w:val="00705024"/>
    <w:rsid w:val="00741FDC"/>
    <w:rsid w:val="007543E6"/>
    <w:rsid w:val="007624B0"/>
    <w:rsid w:val="00783AFE"/>
    <w:rsid w:val="007A4F3E"/>
    <w:rsid w:val="007A570E"/>
    <w:rsid w:val="007A79DD"/>
    <w:rsid w:val="007B4B62"/>
    <w:rsid w:val="007E6AED"/>
    <w:rsid w:val="0082334C"/>
    <w:rsid w:val="00826B7A"/>
    <w:rsid w:val="00853F74"/>
    <w:rsid w:val="008717BF"/>
    <w:rsid w:val="0088061A"/>
    <w:rsid w:val="0088588D"/>
    <w:rsid w:val="008A4290"/>
    <w:rsid w:val="008C2AA1"/>
    <w:rsid w:val="008D4A5A"/>
    <w:rsid w:val="00902C4C"/>
    <w:rsid w:val="0091217D"/>
    <w:rsid w:val="0091647C"/>
    <w:rsid w:val="00924B68"/>
    <w:rsid w:val="0092508E"/>
    <w:rsid w:val="009371D2"/>
    <w:rsid w:val="00957421"/>
    <w:rsid w:val="009833AD"/>
    <w:rsid w:val="009A74F5"/>
    <w:rsid w:val="009E75BC"/>
    <w:rsid w:val="009F096A"/>
    <w:rsid w:val="009F1D5A"/>
    <w:rsid w:val="009F5F85"/>
    <w:rsid w:val="00A00170"/>
    <w:rsid w:val="00A00D3B"/>
    <w:rsid w:val="00A0139B"/>
    <w:rsid w:val="00A068B9"/>
    <w:rsid w:val="00A133AE"/>
    <w:rsid w:val="00A37628"/>
    <w:rsid w:val="00A42486"/>
    <w:rsid w:val="00A95981"/>
    <w:rsid w:val="00AC1FA9"/>
    <w:rsid w:val="00AD41D6"/>
    <w:rsid w:val="00AD4FA6"/>
    <w:rsid w:val="00AD527D"/>
    <w:rsid w:val="00AE0D56"/>
    <w:rsid w:val="00AE1E0E"/>
    <w:rsid w:val="00AF46D5"/>
    <w:rsid w:val="00B009E6"/>
    <w:rsid w:val="00B0505D"/>
    <w:rsid w:val="00B118A5"/>
    <w:rsid w:val="00B24BD0"/>
    <w:rsid w:val="00B44E4C"/>
    <w:rsid w:val="00B61C35"/>
    <w:rsid w:val="00B702AE"/>
    <w:rsid w:val="00B9056E"/>
    <w:rsid w:val="00B942CB"/>
    <w:rsid w:val="00BA4D5F"/>
    <w:rsid w:val="00BB1D93"/>
    <w:rsid w:val="00BD0C1B"/>
    <w:rsid w:val="00BD20D1"/>
    <w:rsid w:val="00BD6ACE"/>
    <w:rsid w:val="00C17DF2"/>
    <w:rsid w:val="00C2557D"/>
    <w:rsid w:val="00C25CB5"/>
    <w:rsid w:val="00C3154A"/>
    <w:rsid w:val="00C463AB"/>
    <w:rsid w:val="00C50932"/>
    <w:rsid w:val="00C602AC"/>
    <w:rsid w:val="00C83926"/>
    <w:rsid w:val="00C87D52"/>
    <w:rsid w:val="00CB2D82"/>
    <w:rsid w:val="00CD2515"/>
    <w:rsid w:val="00CF0013"/>
    <w:rsid w:val="00D04D99"/>
    <w:rsid w:val="00D10543"/>
    <w:rsid w:val="00D10BD4"/>
    <w:rsid w:val="00D51A92"/>
    <w:rsid w:val="00D541C8"/>
    <w:rsid w:val="00D7775F"/>
    <w:rsid w:val="00D867EF"/>
    <w:rsid w:val="00D87670"/>
    <w:rsid w:val="00D925BD"/>
    <w:rsid w:val="00D92B63"/>
    <w:rsid w:val="00D950EE"/>
    <w:rsid w:val="00DA52B0"/>
    <w:rsid w:val="00DB6656"/>
    <w:rsid w:val="00DB7271"/>
    <w:rsid w:val="00DD7453"/>
    <w:rsid w:val="00DF4DCE"/>
    <w:rsid w:val="00E424E7"/>
    <w:rsid w:val="00E864B9"/>
    <w:rsid w:val="00E93AD3"/>
    <w:rsid w:val="00EB3B67"/>
    <w:rsid w:val="00EB60D6"/>
    <w:rsid w:val="00F07ACA"/>
    <w:rsid w:val="00F32904"/>
    <w:rsid w:val="00F3784D"/>
    <w:rsid w:val="00F40AD6"/>
    <w:rsid w:val="00F76949"/>
    <w:rsid w:val="00F848CF"/>
    <w:rsid w:val="00F85554"/>
    <w:rsid w:val="00F933A2"/>
    <w:rsid w:val="00F94DCB"/>
    <w:rsid w:val="00F96EB7"/>
    <w:rsid w:val="00FA3F24"/>
    <w:rsid w:val="00FC7B9E"/>
    <w:rsid w:val="00FF2630"/>
    <w:rsid w:val="00FF3DB8"/>
    <w:rsid w:val="01A131C3"/>
    <w:rsid w:val="01FB18B7"/>
    <w:rsid w:val="024B3ED5"/>
    <w:rsid w:val="032C2CC0"/>
    <w:rsid w:val="050161E5"/>
    <w:rsid w:val="05545442"/>
    <w:rsid w:val="056915AB"/>
    <w:rsid w:val="057B705B"/>
    <w:rsid w:val="07555753"/>
    <w:rsid w:val="09837BF5"/>
    <w:rsid w:val="0D5E33E4"/>
    <w:rsid w:val="10E96DCA"/>
    <w:rsid w:val="11A97B1A"/>
    <w:rsid w:val="120611AB"/>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F14622"/>
    <w:rsid w:val="23997488"/>
    <w:rsid w:val="24744770"/>
    <w:rsid w:val="249267E9"/>
    <w:rsid w:val="27B619BA"/>
    <w:rsid w:val="2A875A3C"/>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E96DA9"/>
    <w:rsid w:val="3BFA02F7"/>
    <w:rsid w:val="3CC309AB"/>
    <w:rsid w:val="3E780D76"/>
    <w:rsid w:val="40F85902"/>
    <w:rsid w:val="42AA28AA"/>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49040F0"/>
    <w:rsid w:val="55675746"/>
    <w:rsid w:val="556E394C"/>
    <w:rsid w:val="55797C08"/>
    <w:rsid w:val="59F561A9"/>
    <w:rsid w:val="5DAE5A52"/>
    <w:rsid w:val="5E0D0BDF"/>
    <w:rsid w:val="5F253730"/>
    <w:rsid w:val="5F5D78DC"/>
    <w:rsid w:val="601F0EAE"/>
    <w:rsid w:val="602E7188"/>
    <w:rsid w:val="61F15CFA"/>
    <w:rsid w:val="620675AB"/>
    <w:rsid w:val="622B13D1"/>
    <w:rsid w:val="62AC7955"/>
    <w:rsid w:val="650E0CE2"/>
    <w:rsid w:val="65CD15D6"/>
    <w:rsid w:val="68F93880"/>
    <w:rsid w:val="6951565F"/>
    <w:rsid w:val="69552DD1"/>
    <w:rsid w:val="6BE256D4"/>
    <w:rsid w:val="6E083216"/>
    <w:rsid w:val="6E8A7348"/>
    <w:rsid w:val="6E9256FE"/>
    <w:rsid w:val="6EA70D04"/>
    <w:rsid w:val="6EC5277F"/>
    <w:rsid w:val="6F2B5042"/>
    <w:rsid w:val="6F9C6A96"/>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 w:val="BB9E37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Body Text"/>
    <w:basedOn w:val="1"/>
    <w:link w:val="20"/>
    <w:qFormat/>
    <w:uiPriority w:val="0"/>
    <w:pPr>
      <w:spacing w:after="120"/>
    </w:pPr>
  </w:style>
  <w:style w:type="paragraph" w:styleId="4">
    <w:name w:val="Body Text Indent"/>
    <w:basedOn w:val="1"/>
    <w:qFormat/>
    <w:uiPriority w:val="0"/>
    <w:pPr>
      <w:ind w:firstLine="600" w:firstLineChars="200"/>
    </w:pPr>
    <w:rPr>
      <w:rFonts w:eastAsia="仿宋_GB2312"/>
      <w:sz w:val="30"/>
      <w:szCs w:val="24"/>
    </w:rPr>
  </w:style>
  <w:style w:type="paragraph" w:styleId="5">
    <w:name w:val="Plain Text"/>
    <w:basedOn w:val="1"/>
    <w:link w:val="21"/>
    <w:qFormat/>
    <w:uiPriority w:val="0"/>
    <w:rPr>
      <w:rFonts w:ascii="宋体" w:hAnsi="Courier New"/>
      <w:szCs w:val="21"/>
    </w:rPr>
  </w:style>
  <w:style w:type="paragraph" w:styleId="6">
    <w:name w:val="Balloon Text"/>
    <w:basedOn w:val="1"/>
    <w:link w:val="22"/>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3"/>
    <w:uiPriority w:val="0"/>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uiPriority w:val="99"/>
    <w:rPr>
      <w:color w:val="0000FF"/>
      <w:u w:val="single"/>
    </w:rPr>
  </w:style>
  <w:style w:type="character" w:styleId="14">
    <w:name w:val="annotation reference"/>
    <w:uiPriority w:val="0"/>
    <w:rPr>
      <w:sz w:val="21"/>
      <w:szCs w:val="21"/>
    </w:rPr>
  </w:style>
  <w:style w:type="paragraph" w:customStyle="1" w:styleId="15">
    <w:name w:val="列出段落1"/>
    <w:basedOn w:val="1"/>
    <w:qFormat/>
    <w:uiPriority w:val="34"/>
    <w:pPr>
      <w:ind w:firstLine="420" w:firstLineChars="200"/>
    </w:pPr>
  </w:style>
  <w:style w:type="paragraph" w:styleId="16">
    <w:name w:val="List Paragraph"/>
    <w:basedOn w:val="1"/>
    <w:qFormat/>
    <w:uiPriority w:val="99"/>
    <w:pPr>
      <w:ind w:firstLine="420" w:firstLineChars="200"/>
    </w:pPr>
  </w:style>
  <w:style w:type="paragraph" w:customStyle="1" w:styleId="17">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8">
    <w:name w:val="p17"/>
    <w:basedOn w:val="1"/>
    <w:qFormat/>
    <w:uiPriority w:val="0"/>
    <w:pPr>
      <w:widowControl/>
    </w:pPr>
    <w:rPr>
      <w:color w:val="000000"/>
      <w:kern w:val="0"/>
      <w:szCs w:val="21"/>
    </w:rPr>
  </w:style>
  <w:style w:type="character" w:customStyle="1" w:styleId="19">
    <w:name w:val="批注文字 Char"/>
    <w:link w:val="2"/>
    <w:uiPriority w:val="99"/>
    <w:rPr>
      <w:kern w:val="2"/>
      <w:sz w:val="21"/>
      <w:szCs w:val="22"/>
    </w:rPr>
  </w:style>
  <w:style w:type="character" w:customStyle="1" w:styleId="20">
    <w:name w:val="正文文本 Char"/>
    <w:link w:val="3"/>
    <w:uiPriority w:val="0"/>
    <w:rPr>
      <w:kern w:val="2"/>
      <w:sz w:val="21"/>
      <w:szCs w:val="22"/>
    </w:rPr>
  </w:style>
  <w:style w:type="character" w:customStyle="1" w:styleId="21">
    <w:name w:val="纯文本 Char2"/>
    <w:link w:val="5"/>
    <w:uiPriority w:val="0"/>
    <w:rPr>
      <w:rFonts w:ascii="宋体" w:hAnsi="Courier New" w:cs="Courier New"/>
      <w:kern w:val="2"/>
      <w:sz w:val="21"/>
      <w:szCs w:val="21"/>
    </w:rPr>
  </w:style>
  <w:style w:type="character" w:customStyle="1" w:styleId="22">
    <w:name w:val="批注框文本 Char"/>
    <w:link w:val="6"/>
    <w:uiPriority w:val="0"/>
    <w:rPr>
      <w:kern w:val="2"/>
      <w:sz w:val="18"/>
      <w:szCs w:val="18"/>
    </w:rPr>
  </w:style>
  <w:style w:type="character" w:customStyle="1" w:styleId="23">
    <w:name w:val="批注主题 Char"/>
    <w:link w:val="9"/>
    <w:uiPriority w:val="0"/>
  </w:style>
  <w:style w:type="character" w:customStyle="1" w:styleId="24">
    <w:name w:val="fontstyle01"/>
    <w:qFormat/>
    <w:uiPriority w:val="0"/>
    <w:rPr>
      <w:rFonts w:ascii="黑体" w:hAnsi="宋体" w:eastAsia="黑体" w:cs="黑体"/>
      <w:color w:val="000000"/>
      <w:sz w:val="32"/>
      <w:szCs w:val="32"/>
    </w:rPr>
  </w:style>
  <w:style w:type="character" w:customStyle="1" w:styleId="25">
    <w:name w:val="纯文本 Char"/>
    <w:qFormat/>
    <w:uiPriority w:val="0"/>
    <w:rPr>
      <w:rFonts w:ascii="宋体" w:hAnsi="Courier New" w:cs="Courier New"/>
      <w:kern w:val="2"/>
      <w:sz w:val="21"/>
      <w:szCs w:val="21"/>
    </w:rPr>
  </w:style>
  <w:style w:type="character" w:customStyle="1" w:styleId="26">
    <w:name w:val="纯文本 Char1"/>
    <w:uiPriority w:val="0"/>
    <w:rPr>
      <w:rFonts w:ascii="宋体" w:hAnsi="Courier New"/>
      <w:kern w:val="2"/>
      <w:sz w:val="21"/>
      <w:szCs w:val="2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198</Words>
  <Characters>1130</Characters>
  <Lines>9</Lines>
  <Paragraphs>2</Paragraphs>
  <TotalTime>2</TotalTime>
  <ScaleCrop>false</ScaleCrop>
  <LinksUpToDate>false</LinksUpToDate>
  <CharactersWithSpaces>1326</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2024-03-21T08:40:00Z</dcterms:created>
  <dc:creator>wee</dc:creator>
  <lastModifiedBy>菠萝啵啵</lastModifiedBy>
  <lastPrinted>2021-02-23T06:17:00Z</lastPrinted>
  <dcterms:modified xsi:type="dcterms:W3CDTF">2024-03-25T02:29:35Z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E67FFB475F4443839E7CFE0B7BB8BFDD_13</vt:lpwstr>
  </property>
</Properties>
</file>