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cs="方正仿宋简体"/>
          <w:color w:val="000000"/>
          <w:sz w:val="32"/>
          <w:szCs w:val="32"/>
        </w:rPr>
      </w:pPr>
      <w:r>
        <w:rPr>
          <w:rFonts w:hint="eastAsia" w:eastAsia="方正小标宋简体" w:cs="方正仿宋简体"/>
          <w:color w:val="000000"/>
          <w:sz w:val="32"/>
          <w:szCs w:val="32"/>
        </w:rPr>
        <w:t>2024年德清县淋膜纸杯产品质量监督抽查实施细则</w:t>
      </w:r>
    </w:p>
    <w:p>
      <w:pPr>
        <w:adjustRightInd w:val="0"/>
        <w:snapToGrid w:val="0"/>
        <w:spacing w:line="594" w:lineRule="exact"/>
        <w:jc w:val="center"/>
        <w:rPr>
          <w:rFonts w:eastAsia="方正小标宋简体" w:cs="方正仿宋简体"/>
          <w:color w:val="000000"/>
          <w:sz w:val="32"/>
          <w:szCs w:val="32"/>
        </w:rPr>
      </w:pPr>
    </w:p>
    <w:p>
      <w:pPr>
        <w:adjustRightInd w:val="0"/>
        <w:snapToGrid w:val="0"/>
        <w:spacing w:line="360" w:lineRule="auto"/>
        <w:outlineLvl w:val="1"/>
        <w:rPr>
          <w:rFonts w:eastAsia="黑体" w:cs="黑体"/>
          <w:szCs w:val="21"/>
        </w:rPr>
      </w:pPr>
      <w:r>
        <w:rPr>
          <w:rFonts w:hint="eastAsia" w:eastAsia="黑体" w:cs="黑体"/>
          <w:szCs w:val="21"/>
        </w:rPr>
        <w:t>1 抽样方法</w:t>
      </w:r>
    </w:p>
    <w:p>
      <w:pPr>
        <w:adjustRightInd w:val="0"/>
        <w:snapToGrid w:val="0"/>
        <w:spacing w:line="440" w:lineRule="exact"/>
        <w:ind w:firstLine="420" w:firstLineChars="200"/>
        <w:outlineLvl w:val="1"/>
        <w:rPr>
          <w:rFonts w:asciiTheme="minorEastAsia" w:hAnsiTheme="minorEastAsia" w:eastAsiaTheme="minorEastAsia"/>
          <w:szCs w:val="21"/>
        </w:rPr>
      </w:pPr>
      <w:r>
        <w:rPr>
          <w:rFonts w:asciiTheme="minorEastAsia" w:hAnsiTheme="minorEastAsia" w:eastAsiaTheme="minorEastAsia"/>
          <w:szCs w:val="21"/>
        </w:rPr>
        <w:t>样品</w:t>
      </w:r>
      <w:r>
        <w:rPr>
          <w:rFonts w:hint="eastAsia" w:asciiTheme="minorEastAsia" w:hAnsiTheme="minorEastAsia" w:eastAsiaTheme="minorEastAsia"/>
          <w:szCs w:val="21"/>
        </w:rPr>
        <w:t>应由抽样人员在被抽样生产者、销售者的待销产品或者生产线末端经检验合格的产品中随机抽样</w:t>
      </w:r>
      <w:r>
        <w:rPr>
          <w:rFonts w:asciiTheme="minorEastAsia" w:hAnsiTheme="minorEastAsia" w:eastAsiaTheme="minorEastAsia"/>
          <w:szCs w:val="21"/>
        </w:rPr>
        <w:t>。抽样基数满足抽样数量即可</w:t>
      </w:r>
      <w:r>
        <w:rPr>
          <w:rFonts w:hint="eastAsia" w:asciiTheme="minorEastAsia" w:hAnsiTheme="minorEastAsia" w:eastAsiaTheme="minorEastAsia"/>
          <w:szCs w:val="21"/>
        </w:rPr>
        <w:t>。</w:t>
      </w:r>
    </w:p>
    <w:p>
      <w:pPr>
        <w:adjustRightInd w:val="0"/>
        <w:snapToGrid w:val="0"/>
        <w:spacing w:line="440" w:lineRule="exact"/>
        <w:ind w:firstLine="420" w:firstLineChars="200"/>
        <w:outlineLvl w:val="1"/>
        <w:rPr>
          <w:rFonts w:asciiTheme="minorEastAsia" w:hAnsiTheme="minorEastAsia" w:eastAsiaTheme="minorEastAsia"/>
          <w:szCs w:val="21"/>
        </w:rPr>
      </w:pPr>
      <w:r>
        <w:rPr>
          <w:rFonts w:hint="eastAsia" w:asciiTheme="minorEastAsia" w:hAnsiTheme="minorEastAsia" w:eastAsiaTheme="minorEastAsia"/>
          <w:szCs w:val="21"/>
        </w:rPr>
        <w:t>随机数一般可使用随机数表等方法产生。</w:t>
      </w:r>
    </w:p>
    <w:p>
      <w:pPr>
        <w:adjustRightInd w:val="0"/>
        <w:snapToGrid w:val="0"/>
        <w:spacing w:line="440" w:lineRule="exact"/>
        <w:ind w:firstLine="420" w:firstLineChars="200"/>
        <w:outlineLvl w:val="1"/>
        <w:rPr>
          <w:rFonts w:asciiTheme="minorEastAsia" w:hAnsiTheme="minorEastAsia" w:eastAsiaTheme="minorEastAsia"/>
          <w:szCs w:val="21"/>
        </w:rPr>
      </w:pPr>
      <w:r>
        <w:rPr>
          <w:rFonts w:asciiTheme="minorEastAsia" w:hAnsiTheme="minorEastAsia" w:eastAsiaTheme="minorEastAsia"/>
          <w:szCs w:val="21"/>
        </w:rPr>
        <w:t>抽取样品</w:t>
      </w:r>
      <w:r>
        <w:rPr>
          <w:rFonts w:hint="eastAsia" w:asciiTheme="minorEastAsia" w:hAnsiTheme="minorEastAsia" w:eastAsiaTheme="minorEastAsia"/>
          <w:szCs w:val="21"/>
        </w:rPr>
        <w:t>100只，其中检验样品50只，备用样品50只。</w:t>
      </w:r>
      <w:r>
        <w:rPr>
          <w:rFonts w:hint="eastAsia" w:asciiTheme="minorEastAsia" w:hAnsiTheme="minorEastAsia" w:eastAsiaTheme="minorEastAsia"/>
          <w:color w:val="000000"/>
          <w:kern w:val="0"/>
        </w:rPr>
        <w:t>若产品最小销售包装为密封包装且每包数量不是50只，为避免抽样时破坏原包装，可按采样数折算所需的最少包装数抽取样品，保证检验样品不少于50只，备用样品不少于50只。若样品过小，应调整抽样量满足样品总质量不小于0.25kg，其中检样、备样按比例2:1抽取。</w:t>
      </w:r>
    </w:p>
    <w:p>
      <w:pPr>
        <w:adjustRightInd w:val="0"/>
        <w:snapToGrid w:val="0"/>
        <w:spacing w:line="440" w:lineRule="exact"/>
        <w:outlineLvl w:val="1"/>
        <w:rPr>
          <w:szCs w:val="21"/>
        </w:rPr>
      </w:pPr>
      <w:r>
        <w:rPr>
          <w:rFonts w:hint="eastAsia"/>
          <w:szCs w:val="21"/>
        </w:rPr>
        <w:t>注：</w:t>
      </w:r>
      <w:r>
        <w:rPr>
          <w:rFonts w:hint="eastAsia"/>
          <w:color w:val="000000"/>
          <w:szCs w:val="21"/>
        </w:rPr>
        <w:t>在满足检测用量的情况下，可以适当减少抽样量。</w:t>
      </w:r>
    </w:p>
    <w:p>
      <w:pPr>
        <w:adjustRightInd w:val="0"/>
        <w:snapToGrid w:val="0"/>
        <w:spacing w:line="440" w:lineRule="exact"/>
        <w:outlineLvl w:val="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2 检验依据</w:t>
      </w:r>
    </w:p>
    <w:p>
      <w:pPr>
        <w:adjustRightInd w:val="0"/>
        <w:snapToGrid w:val="0"/>
        <w:ind w:firstLine="420" w:firstLineChars="200"/>
        <w:jc w:val="center"/>
        <w:rPr>
          <w:szCs w:val="21"/>
        </w:rPr>
      </w:pPr>
      <w:r>
        <w:rPr>
          <w:rFonts w:hint="eastAsia"/>
          <w:szCs w:val="21"/>
        </w:rPr>
        <w:t>表1 淋膜纸杯</w:t>
      </w:r>
    </w:p>
    <w:tbl>
      <w:tblPr>
        <w:tblStyle w:val="10"/>
        <w:tblW w:w="4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2502"/>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blHeader/>
          <w:jc w:val="center"/>
        </w:trPr>
        <w:tc>
          <w:tcPr>
            <w:tcW w:w="1033" w:type="pct"/>
            <w:vAlign w:val="center"/>
          </w:tcPr>
          <w:p>
            <w:pPr>
              <w:snapToGrid w:val="0"/>
              <w:spacing w:line="440" w:lineRule="exact"/>
              <w:jc w:val="center"/>
              <w:rPr>
                <w:color w:val="000000"/>
                <w:szCs w:val="21"/>
              </w:rPr>
            </w:pPr>
            <w:r>
              <w:rPr>
                <w:color w:val="000000"/>
                <w:szCs w:val="21"/>
              </w:rPr>
              <w:t>序号</w:t>
            </w:r>
          </w:p>
        </w:tc>
        <w:tc>
          <w:tcPr>
            <w:tcW w:w="1594" w:type="pct"/>
            <w:vAlign w:val="center"/>
          </w:tcPr>
          <w:p>
            <w:pPr>
              <w:snapToGrid w:val="0"/>
              <w:spacing w:line="440" w:lineRule="exact"/>
              <w:jc w:val="center"/>
              <w:rPr>
                <w:color w:val="000000"/>
                <w:szCs w:val="21"/>
              </w:rPr>
            </w:pPr>
            <w:r>
              <w:rPr>
                <w:color w:val="000000"/>
                <w:szCs w:val="21"/>
              </w:rPr>
              <w:t>检验项目</w:t>
            </w:r>
          </w:p>
        </w:tc>
        <w:tc>
          <w:tcPr>
            <w:tcW w:w="2373" w:type="pct"/>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w:t>
            </w:r>
          </w:p>
        </w:tc>
        <w:tc>
          <w:tcPr>
            <w:tcW w:w="1594" w:type="pct"/>
            <w:vAlign w:val="center"/>
          </w:tcPr>
          <w:p>
            <w:pPr>
              <w:adjustRightInd w:val="0"/>
              <w:snapToGrid w:val="0"/>
              <w:jc w:val="center"/>
              <w:rPr>
                <w:color w:val="000000"/>
                <w:szCs w:val="21"/>
              </w:rPr>
            </w:pPr>
            <w:r>
              <w:rPr>
                <w:rFonts w:hAnsi="宋体"/>
                <w:color w:val="000000"/>
                <w:kern w:val="0"/>
                <w:szCs w:val="21"/>
              </w:rPr>
              <w:t>标签标识（标识内容、符合性声明、食品接触标识及特殊使用要求信息、标识位置、树脂名称）</w:t>
            </w:r>
          </w:p>
        </w:tc>
        <w:tc>
          <w:tcPr>
            <w:tcW w:w="2373" w:type="pct"/>
            <w:vAlign w:val="center"/>
          </w:tcPr>
          <w:p>
            <w:pPr>
              <w:widowControl/>
              <w:jc w:val="center"/>
              <w:textAlignment w:val="center"/>
              <w:rPr>
                <w:szCs w:val="21"/>
              </w:rPr>
            </w:pPr>
            <w:r>
              <w:rPr>
                <w:szCs w:val="21"/>
              </w:rPr>
              <w:t>GB 4806.1-2016</w:t>
            </w:r>
          </w:p>
          <w:p>
            <w:pPr>
              <w:widowControl/>
              <w:jc w:val="center"/>
              <w:textAlignment w:val="center"/>
              <w:rPr>
                <w:rFonts w:hint="eastAsia"/>
                <w:szCs w:val="21"/>
              </w:rPr>
            </w:pPr>
            <w:r>
              <w:rPr>
                <w:szCs w:val="21"/>
              </w:rPr>
              <w:t>GB 4806.</w:t>
            </w:r>
            <w:r>
              <w:rPr>
                <w:rFonts w:hint="eastAsia"/>
                <w:szCs w:val="21"/>
              </w:rPr>
              <w:t>6</w:t>
            </w:r>
            <w:r>
              <w:rPr>
                <w:szCs w:val="21"/>
              </w:rPr>
              <w:t>-2016</w:t>
            </w:r>
          </w:p>
          <w:p>
            <w:pPr>
              <w:widowControl/>
              <w:jc w:val="center"/>
              <w:textAlignment w:val="center"/>
              <w:rPr>
                <w:color w:val="000000"/>
                <w:szCs w:val="21"/>
              </w:rPr>
            </w:pPr>
            <w:r>
              <w:rPr>
                <w:szCs w:val="21"/>
              </w:rPr>
              <w:t>GB 4806.</w:t>
            </w:r>
            <w:r>
              <w:rPr>
                <w:rFonts w:hint="eastAsia"/>
                <w:szCs w:val="21"/>
              </w:rPr>
              <w:t>8</w:t>
            </w:r>
            <w:r>
              <w:rPr>
                <w:szCs w:val="21"/>
              </w:rPr>
              <w:t>-20</w:t>
            </w:r>
            <w:r>
              <w:rPr>
                <w:rFonts w:hint="eastAsia"/>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2</w:t>
            </w:r>
          </w:p>
        </w:tc>
        <w:tc>
          <w:tcPr>
            <w:tcW w:w="1594" w:type="pct"/>
            <w:vAlign w:val="center"/>
          </w:tcPr>
          <w:p>
            <w:pPr>
              <w:adjustRightInd w:val="0"/>
              <w:snapToGrid w:val="0"/>
              <w:jc w:val="center"/>
              <w:rPr>
                <w:color w:val="000000"/>
                <w:szCs w:val="21"/>
              </w:rPr>
            </w:pPr>
            <w:r>
              <w:rPr>
                <w:rFonts w:hAnsi="宋体"/>
                <w:color w:val="000000"/>
                <w:kern w:val="0"/>
                <w:szCs w:val="21"/>
              </w:rPr>
              <w:t>感官要求</w:t>
            </w:r>
          </w:p>
        </w:tc>
        <w:tc>
          <w:tcPr>
            <w:tcW w:w="2373" w:type="pct"/>
            <w:vAlign w:val="center"/>
          </w:tcPr>
          <w:p>
            <w:pPr>
              <w:snapToGrid w:val="0"/>
              <w:jc w:val="center"/>
              <w:rPr>
                <w:szCs w:val="21"/>
              </w:rPr>
            </w:pPr>
            <w:r>
              <w:rPr>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3</w:t>
            </w:r>
          </w:p>
        </w:tc>
        <w:tc>
          <w:tcPr>
            <w:tcW w:w="1594" w:type="pct"/>
            <w:vAlign w:val="center"/>
          </w:tcPr>
          <w:p>
            <w:pPr>
              <w:adjustRightInd w:val="0"/>
              <w:snapToGrid w:val="0"/>
              <w:jc w:val="center"/>
              <w:rPr>
                <w:color w:val="000000"/>
                <w:kern w:val="0"/>
                <w:szCs w:val="21"/>
              </w:rPr>
            </w:pPr>
            <w:r>
              <w:rPr>
                <w:rFonts w:hAnsi="宋体"/>
                <w:color w:val="000000"/>
                <w:kern w:val="0"/>
                <w:szCs w:val="21"/>
              </w:rPr>
              <w:t>铅</w:t>
            </w:r>
          </w:p>
        </w:tc>
        <w:tc>
          <w:tcPr>
            <w:tcW w:w="2373" w:type="pct"/>
            <w:vAlign w:val="center"/>
          </w:tcPr>
          <w:p>
            <w:pPr>
              <w:adjustRightInd w:val="0"/>
              <w:snapToGrid w:val="0"/>
              <w:jc w:val="center"/>
              <w:rPr>
                <w:szCs w:val="21"/>
              </w:rPr>
            </w:pPr>
            <w:r>
              <w:rPr>
                <w:szCs w:val="21"/>
              </w:rPr>
              <w:t>GB 31604.34—2016</w:t>
            </w:r>
          </w:p>
          <w:p>
            <w:pPr>
              <w:adjustRightInd w:val="0"/>
              <w:snapToGrid w:val="0"/>
              <w:jc w:val="center"/>
              <w:rPr>
                <w:szCs w:val="21"/>
              </w:rPr>
            </w:pPr>
            <w:r>
              <w:rPr>
                <w:szCs w:val="21"/>
              </w:rPr>
              <w:t>或GB 31604.49—2016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4</w:t>
            </w:r>
          </w:p>
        </w:tc>
        <w:tc>
          <w:tcPr>
            <w:tcW w:w="1594" w:type="pct"/>
            <w:vAlign w:val="center"/>
          </w:tcPr>
          <w:p>
            <w:pPr>
              <w:adjustRightInd w:val="0"/>
              <w:snapToGrid w:val="0"/>
              <w:jc w:val="center"/>
              <w:rPr>
                <w:color w:val="000000"/>
                <w:kern w:val="0"/>
                <w:szCs w:val="21"/>
              </w:rPr>
            </w:pPr>
            <w:r>
              <w:rPr>
                <w:rFonts w:hAnsi="宋体"/>
                <w:color w:val="000000"/>
                <w:kern w:val="0"/>
                <w:szCs w:val="21"/>
              </w:rPr>
              <w:t>砷</w:t>
            </w:r>
          </w:p>
        </w:tc>
        <w:tc>
          <w:tcPr>
            <w:tcW w:w="2373" w:type="pct"/>
            <w:vAlign w:val="center"/>
          </w:tcPr>
          <w:p>
            <w:pPr>
              <w:adjustRightInd w:val="0"/>
              <w:snapToGrid w:val="0"/>
              <w:jc w:val="center"/>
              <w:rPr>
                <w:color w:val="000000"/>
                <w:szCs w:val="21"/>
              </w:rPr>
            </w:pPr>
            <w:r>
              <w:rPr>
                <w:color w:val="000000"/>
                <w:szCs w:val="21"/>
              </w:rPr>
              <w:t>GB 31604.38—2016</w:t>
            </w:r>
          </w:p>
          <w:p>
            <w:pPr>
              <w:adjustRightInd w:val="0"/>
              <w:snapToGrid w:val="0"/>
              <w:jc w:val="center"/>
              <w:rPr>
                <w:color w:val="000000"/>
                <w:szCs w:val="21"/>
              </w:rPr>
            </w:pPr>
            <w:r>
              <w:rPr>
                <w:color w:val="000000"/>
                <w:szCs w:val="21"/>
              </w:rPr>
              <w:t>或GB 31604.49—2016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5</w:t>
            </w:r>
          </w:p>
        </w:tc>
        <w:tc>
          <w:tcPr>
            <w:tcW w:w="1594" w:type="pct"/>
            <w:vAlign w:val="center"/>
          </w:tcPr>
          <w:p>
            <w:pPr>
              <w:adjustRightInd w:val="0"/>
              <w:snapToGrid w:val="0"/>
              <w:jc w:val="center"/>
              <w:rPr>
                <w:color w:val="000000"/>
                <w:kern w:val="0"/>
                <w:szCs w:val="21"/>
              </w:rPr>
            </w:pPr>
            <w:r>
              <w:rPr>
                <w:rFonts w:hAnsi="宋体"/>
                <w:color w:val="000000"/>
                <w:kern w:val="0"/>
                <w:szCs w:val="21"/>
              </w:rPr>
              <w:t>甲醛</w:t>
            </w:r>
          </w:p>
        </w:tc>
        <w:tc>
          <w:tcPr>
            <w:tcW w:w="2373" w:type="pct"/>
            <w:vAlign w:val="center"/>
          </w:tcPr>
          <w:p>
            <w:pPr>
              <w:adjustRightInd w:val="0"/>
              <w:snapToGrid w:val="0"/>
              <w:jc w:val="center"/>
              <w:rPr>
                <w:color w:val="000000"/>
                <w:szCs w:val="21"/>
              </w:rPr>
            </w:pPr>
            <w:r>
              <w:rPr>
                <w:color w:val="000000"/>
                <w:szCs w:val="21"/>
              </w:rPr>
              <w:t>GB 4806.8—2022</w:t>
            </w:r>
          </w:p>
          <w:p>
            <w:pPr>
              <w:snapToGrid w:val="0"/>
              <w:jc w:val="center"/>
              <w:rPr>
                <w:szCs w:val="21"/>
              </w:rPr>
            </w:pPr>
            <w:r>
              <w:rPr>
                <w:color w:val="000000"/>
                <w:szCs w:val="21"/>
              </w:rPr>
              <w:t>GB 31604.48—2016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6</w:t>
            </w:r>
          </w:p>
        </w:tc>
        <w:tc>
          <w:tcPr>
            <w:tcW w:w="1594" w:type="pct"/>
            <w:vAlign w:val="center"/>
          </w:tcPr>
          <w:p>
            <w:pPr>
              <w:adjustRightInd w:val="0"/>
              <w:snapToGrid w:val="0"/>
              <w:jc w:val="center"/>
              <w:rPr>
                <w:color w:val="000000"/>
                <w:kern w:val="0"/>
                <w:szCs w:val="21"/>
              </w:rPr>
            </w:pPr>
            <w:r>
              <w:rPr>
                <w:rFonts w:hAnsi="宋体"/>
                <w:color w:val="000000"/>
                <w:kern w:val="0"/>
                <w:szCs w:val="21"/>
              </w:rPr>
              <w:t>荧光性物质</w:t>
            </w:r>
          </w:p>
        </w:tc>
        <w:tc>
          <w:tcPr>
            <w:tcW w:w="2373" w:type="pct"/>
            <w:vAlign w:val="center"/>
          </w:tcPr>
          <w:p>
            <w:pPr>
              <w:adjustRightInd w:val="0"/>
              <w:snapToGrid w:val="0"/>
              <w:jc w:val="center"/>
              <w:rPr>
                <w:color w:val="000000"/>
                <w:szCs w:val="21"/>
              </w:rPr>
            </w:pPr>
            <w:r>
              <w:rPr>
                <w:color w:val="000000"/>
                <w:szCs w:val="21"/>
              </w:rPr>
              <w:t>GB 4806.8—2022</w:t>
            </w:r>
          </w:p>
          <w:p>
            <w:pPr>
              <w:snapToGrid w:val="0"/>
              <w:jc w:val="center"/>
              <w:rPr>
                <w:szCs w:val="21"/>
              </w:rPr>
            </w:pPr>
            <w:r>
              <w:rPr>
                <w:color w:val="000000"/>
                <w:szCs w:val="21"/>
              </w:rPr>
              <w:t>GB 31604.47—2016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7</w:t>
            </w:r>
          </w:p>
        </w:tc>
        <w:tc>
          <w:tcPr>
            <w:tcW w:w="1594" w:type="pct"/>
            <w:vAlign w:val="center"/>
          </w:tcPr>
          <w:p>
            <w:pPr>
              <w:adjustRightInd w:val="0"/>
              <w:snapToGrid w:val="0"/>
              <w:jc w:val="center"/>
              <w:rPr>
                <w:color w:val="000000"/>
                <w:kern w:val="0"/>
                <w:szCs w:val="21"/>
              </w:rPr>
            </w:pPr>
            <w:r>
              <w:rPr>
                <w:color w:val="000000"/>
                <w:kern w:val="0"/>
                <w:szCs w:val="21"/>
              </w:rPr>
              <w:t>1,3-</w:t>
            </w:r>
            <w:r>
              <w:rPr>
                <w:rFonts w:hAnsi="宋体"/>
                <w:color w:val="000000"/>
                <w:kern w:val="0"/>
                <w:szCs w:val="21"/>
              </w:rPr>
              <w:t>二氯</w:t>
            </w:r>
            <w:r>
              <w:rPr>
                <w:color w:val="000000"/>
                <w:kern w:val="0"/>
                <w:szCs w:val="21"/>
              </w:rPr>
              <w:t>-2-</w:t>
            </w:r>
            <w:r>
              <w:rPr>
                <w:rFonts w:hAnsi="宋体"/>
                <w:color w:val="000000"/>
                <w:kern w:val="0"/>
                <w:szCs w:val="21"/>
              </w:rPr>
              <w:t>丙醇</w:t>
            </w:r>
          </w:p>
        </w:tc>
        <w:tc>
          <w:tcPr>
            <w:tcW w:w="2373" w:type="pct"/>
            <w:vAlign w:val="center"/>
          </w:tcPr>
          <w:p>
            <w:pPr>
              <w:snapToGrid w:val="0"/>
              <w:jc w:val="center"/>
              <w:rPr>
                <w:szCs w:val="21"/>
              </w:rPr>
            </w:pPr>
            <w:r>
              <w:rPr>
                <w:color w:val="000000"/>
                <w:szCs w:val="21"/>
              </w:rPr>
              <w:t>GB 4806.8—2022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8</w:t>
            </w:r>
          </w:p>
        </w:tc>
        <w:tc>
          <w:tcPr>
            <w:tcW w:w="1594" w:type="pct"/>
            <w:vAlign w:val="center"/>
          </w:tcPr>
          <w:p>
            <w:pPr>
              <w:adjustRightInd w:val="0"/>
              <w:snapToGrid w:val="0"/>
              <w:jc w:val="center"/>
              <w:rPr>
                <w:color w:val="000000"/>
                <w:kern w:val="0"/>
                <w:szCs w:val="21"/>
              </w:rPr>
            </w:pPr>
            <w:r>
              <w:rPr>
                <w:color w:val="000000"/>
                <w:kern w:val="0"/>
                <w:szCs w:val="21"/>
              </w:rPr>
              <w:t>3-</w:t>
            </w:r>
            <w:r>
              <w:rPr>
                <w:rFonts w:hAnsi="宋体"/>
                <w:color w:val="000000"/>
                <w:kern w:val="0"/>
                <w:szCs w:val="21"/>
              </w:rPr>
              <w:t>氯</w:t>
            </w:r>
            <w:r>
              <w:rPr>
                <w:color w:val="000000"/>
                <w:kern w:val="0"/>
                <w:szCs w:val="21"/>
              </w:rPr>
              <w:t>-1,2-</w:t>
            </w:r>
            <w:r>
              <w:rPr>
                <w:rFonts w:hAnsi="宋体"/>
                <w:color w:val="000000"/>
                <w:kern w:val="0"/>
                <w:szCs w:val="21"/>
              </w:rPr>
              <w:t>丙二醇</w:t>
            </w:r>
          </w:p>
        </w:tc>
        <w:tc>
          <w:tcPr>
            <w:tcW w:w="2373" w:type="pct"/>
            <w:vAlign w:val="center"/>
          </w:tcPr>
          <w:p>
            <w:pPr>
              <w:snapToGrid w:val="0"/>
              <w:jc w:val="center"/>
              <w:rPr>
                <w:szCs w:val="21"/>
              </w:rPr>
            </w:pPr>
            <w:r>
              <w:rPr>
                <w:color w:val="000000"/>
                <w:szCs w:val="21"/>
              </w:rPr>
              <w:t>GB 4806.8—2022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8</w:t>
            </w:r>
          </w:p>
        </w:tc>
        <w:tc>
          <w:tcPr>
            <w:tcW w:w="1594" w:type="pct"/>
            <w:vAlign w:val="center"/>
          </w:tcPr>
          <w:p>
            <w:pPr>
              <w:adjustRightInd w:val="0"/>
              <w:snapToGrid w:val="0"/>
              <w:jc w:val="center"/>
              <w:rPr>
                <w:color w:val="000000"/>
                <w:kern w:val="0"/>
                <w:szCs w:val="21"/>
              </w:rPr>
            </w:pPr>
            <w:r>
              <w:rPr>
                <w:rFonts w:hAnsi="宋体"/>
                <w:color w:val="000000"/>
                <w:kern w:val="0"/>
                <w:szCs w:val="21"/>
              </w:rPr>
              <w:t>总迁移量</w:t>
            </w:r>
          </w:p>
        </w:tc>
        <w:tc>
          <w:tcPr>
            <w:tcW w:w="2373" w:type="pct"/>
            <w:vAlign w:val="center"/>
          </w:tcPr>
          <w:p>
            <w:pPr>
              <w:snapToGrid w:val="0"/>
              <w:jc w:val="center"/>
              <w:rPr>
                <w:szCs w:val="21"/>
              </w:rPr>
            </w:pPr>
            <w:r>
              <w:rPr>
                <w:szCs w:val="21"/>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10</w:t>
            </w:r>
          </w:p>
        </w:tc>
        <w:tc>
          <w:tcPr>
            <w:tcW w:w="1594" w:type="pct"/>
            <w:vAlign w:val="center"/>
          </w:tcPr>
          <w:p>
            <w:pPr>
              <w:adjustRightInd w:val="0"/>
              <w:snapToGrid w:val="0"/>
              <w:jc w:val="center"/>
              <w:rPr>
                <w:color w:val="000000"/>
                <w:szCs w:val="21"/>
              </w:rPr>
            </w:pPr>
            <w:r>
              <w:rPr>
                <w:rFonts w:hAnsi="宋体"/>
                <w:color w:val="000000"/>
                <w:kern w:val="0"/>
                <w:szCs w:val="21"/>
              </w:rPr>
              <w:t>高锰酸钾消耗量</w:t>
            </w:r>
          </w:p>
        </w:tc>
        <w:tc>
          <w:tcPr>
            <w:tcW w:w="2373" w:type="pct"/>
            <w:vAlign w:val="center"/>
          </w:tcPr>
          <w:p>
            <w:pPr>
              <w:snapToGrid w:val="0"/>
              <w:jc w:val="center"/>
              <w:rPr>
                <w:szCs w:val="21"/>
              </w:rPr>
            </w:pPr>
            <w:r>
              <w:rPr>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11</w:t>
            </w:r>
          </w:p>
        </w:tc>
        <w:tc>
          <w:tcPr>
            <w:tcW w:w="1594" w:type="pct"/>
            <w:vAlign w:val="center"/>
          </w:tcPr>
          <w:p>
            <w:pPr>
              <w:adjustRightInd w:val="0"/>
              <w:snapToGrid w:val="0"/>
              <w:jc w:val="center"/>
              <w:rPr>
                <w:color w:val="000000"/>
                <w:szCs w:val="21"/>
              </w:rPr>
            </w:pPr>
            <w:r>
              <w:rPr>
                <w:rFonts w:hAnsi="宋体"/>
                <w:color w:val="000000"/>
                <w:kern w:val="0"/>
                <w:szCs w:val="21"/>
              </w:rPr>
              <w:t>重金属（以</w:t>
            </w:r>
            <w:r>
              <w:rPr>
                <w:color w:val="000000"/>
                <w:kern w:val="0"/>
                <w:szCs w:val="21"/>
              </w:rPr>
              <w:t>Pb</w:t>
            </w:r>
            <w:r>
              <w:rPr>
                <w:rFonts w:hAnsi="宋体"/>
                <w:color w:val="000000"/>
                <w:kern w:val="0"/>
                <w:szCs w:val="21"/>
              </w:rPr>
              <w:t>计）</w:t>
            </w:r>
          </w:p>
        </w:tc>
        <w:tc>
          <w:tcPr>
            <w:tcW w:w="2373" w:type="pct"/>
            <w:vAlign w:val="center"/>
          </w:tcPr>
          <w:p>
            <w:pPr>
              <w:snapToGrid w:val="0"/>
              <w:jc w:val="center"/>
              <w:rPr>
                <w:szCs w:val="21"/>
              </w:rPr>
            </w:pPr>
            <w:r>
              <w:rPr>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12</w:t>
            </w:r>
          </w:p>
        </w:tc>
        <w:tc>
          <w:tcPr>
            <w:tcW w:w="1594" w:type="pct"/>
            <w:vAlign w:val="center"/>
          </w:tcPr>
          <w:p>
            <w:pPr>
              <w:adjustRightInd w:val="0"/>
              <w:snapToGrid w:val="0"/>
              <w:jc w:val="center"/>
              <w:rPr>
                <w:color w:val="000000"/>
                <w:kern w:val="0"/>
                <w:szCs w:val="21"/>
              </w:rPr>
            </w:pPr>
            <w:r>
              <w:rPr>
                <w:rFonts w:hAnsi="宋体"/>
                <w:color w:val="000000"/>
                <w:kern w:val="0"/>
                <w:szCs w:val="21"/>
              </w:rPr>
              <w:t>大肠菌群</w:t>
            </w:r>
          </w:p>
        </w:tc>
        <w:tc>
          <w:tcPr>
            <w:tcW w:w="2373" w:type="pct"/>
            <w:vAlign w:val="center"/>
          </w:tcPr>
          <w:p>
            <w:pPr>
              <w:adjustRightInd w:val="0"/>
              <w:snapToGrid w:val="0"/>
              <w:jc w:val="center"/>
              <w:rPr>
                <w:szCs w:val="21"/>
              </w:rPr>
            </w:pPr>
            <w:r>
              <w:rPr>
                <w:szCs w:val="21"/>
              </w:rPr>
              <w:t>GB 14934—2016 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13</w:t>
            </w:r>
          </w:p>
        </w:tc>
        <w:tc>
          <w:tcPr>
            <w:tcW w:w="1594" w:type="pct"/>
            <w:vAlign w:val="center"/>
          </w:tcPr>
          <w:p>
            <w:pPr>
              <w:adjustRightInd w:val="0"/>
              <w:snapToGrid w:val="0"/>
              <w:jc w:val="center"/>
              <w:rPr>
                <w:color w:val="000000"/>
                <w:kern w:val="0"/>
                <w:szCs w:val="21"/>
              </w:rPr>
            </w:pPr>
            <w:r>
              <w:rPr>
                <w:rFonts w:hAnsi="宋体"/>
                <w:color w:val="000000"/>
                <w:kern w:val="0"/>
                <w:szCs w:val="21"/>
              </w:rPr>
              <w:t>沙门氏菌</w:t>
            </w:r>
          </w:p>
        </w:tc>
        <w:tc>
          <w:tcPr>
            <w:tcW w:w="2373" w:type="pct"/>
            <w:vAlign w:val="center"/>
          </w:tcPr>
          <w:p>
            <w:pPr>
              <w:adjustRightInd w:val="0"/>
              <w:snapToGrid w:val="0"/>
              <w:jc w:val="center"/>
              <w:rPr>
                <w:szCs w:val="21"/>
              </w:rPr>
            </w:pPr>
            <w:r>
              <w:rPr>
                <w:szCs w:val="21"/>
              </w:rPr>
              <w:t>GB 14934—2016 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14</w:t>
            </w:r>
          </w:p>
        </w:tc>
        <w:tc>
          <w:tcPr>
            <w:tcW w:w="1594" w:type="pct"/>
            <w:vAlign w:val="center"/>
          </w:tcPr>
          <w:p>
            <w:pPr>
              <w:adjustRightInd w:val="0"/>
              <w:snapToGrid w:val="0"/>
              <w:jc w:val="center"/>
              <w:rPr>
                <w:color w:val="000000"/>
                <w:kern w:val="0"/>
                <w:szCs w:val="21"/>
              </w:rPr>
            </w:pPr>
            <w:r>
              <w:rPr>
                <w:rFonts w:hAnsi="宋体"/>
                <w:color w:val="000000"/>
                <w:kern w:val="0"/>
                <w:szCs w:val="21"/>
              </w:rPr>
              <w:t>霉菌</w:t>
            </w:r>
          </w:p>
        </w:tc>
        <w:tc>
          <w:tcPr>
            <w:tcW w:w="2373" w:type="pct"/>
            <w:vAlign w:val="center"/>
          </w:tcPr>
          <w:p>
            <w:pPr>
              <w:adjustRightInd w:val="0"/>
              <w:snapToGrid w:val="0"/>
              <w:jc w:val="center"/>
              <w:rPr>
                <w:szCs w:val="21"/>
              </w:rPr>
            </w:pPr>
            <w:r>
              <w:rPr>
                <w:szCs w:val="21"/>
              </w:rPr>
              <w:t>GB 4806.8—2022</w:t>
            </w:r>
          </w:p>
          <w:p>
            <w:pPr>
              <w:adjustRightInd w:val="0"/>
              <w:snapToGrid w:val="0"/>
              <w:jc w:val="center"/>
              <w:rPr>
                <w:szCs w:val="21"/>
              </w:rPr>
            </w:pPr>
            <w:r>
              <w:rPr>
                <w:szCs w:val="21"/>
              </w:rPr>
              <w:t>GB 4789.15—2016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15</w:t>
            </w:r>
          </w:p>
        </w:tc>
        <w:tc>
          <w:tcPr>
            <w:tcW w:w="1594" w:type="pct"/>
            <w:vAlign w:val="center"/>
          </w:tcPr>
          <w:p>
            <w:pPr>
              <w:adjustRightInd w:val="0"/>
              <w:snapToGrid w:val="0"/>
              <w:jc w:val="center"/>
              <w:rPr>
                <w:color w:val="000000"/>
                <w:szCs w:val="21"/>
              </w:rPr>
            </w:pPr>
            <w:r>
              <w:rPr>
                <w:rFonts w:hAnsi="宋体"/>
                <w:color w:val="000000"/>
                <w:kern w:val="0"/>
                <w:szCs w:val="21"/>
              </w:rPr>
              <w:t>脱色试验（仅适用于添加着色剂产品）</w:t>
            </w:r>
          </w:p>
        </w:tc>
        <w:tc>
          <w:tcPr>
            <w:tcW w:w="2373" w:type="pct"/>
            <w:vAlign w:val="center"/>
          </w:tcPr>
          <w:p>
            <w:pPr>
              <w:snapToGrid w:val="0"/>
              <w:jc w:val="center"/>
              <w:rPr>
                <w:szCs w:val="21"/>
              </w:rPr>
            </w:pPr>
            <w:r>
              <w:rPr>
                <w:szCs w:val="21"/>
              </w:rPr>
              <w:t>GB 31604.7-2016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ascii="Times New Roman" w:hAnsi="Times New Roman"/>
                <w:color w:val="000000"/>
              </w:rPr>
            </w:pPr>
            <w:r>
              <w:rPr>
                <w:rFonts w:ascii="Times New Roman" w:hAnsi="Times New Roman"/>
                <w:color w:val="000000"/>
              </w:rPr>
              <w:t>16</w:t>
            </w:r>
          </w:p>
        </w:tc>
        <w:tc>
          <w:tcPr>
            <w:tcW w:w="1594" w:type="pct"/>
            <w:vAlign w:val="center"/>
          </w:tcPr>
          <w:p>
            <w:pPr>
              <w:adjustRightInd w:val="0"/>
              <w:snapToGrid w:val="0"/>
              <w:jc w:val="center"/>
              <w:rPr>
                <w:szCs w:val="21"/>
              </w:rPr>
            </w:pPr>
            <w:r>
              <w:rPr>
                <w:rFonts w:hAnsi="宋体"/>
                <w:szCs w:val="21"/>
              </w:rPr>
              <w:t>感官指标</w:t>
            </w:r>
          </w:p>
        </w:tc>
        <w:tc>
          <w:tcPr>
            <w:tcW w:w="2373" w:type="pct"/>
            <w:vAlign w:val="center"/>
          </w:tcPr>
          <w:p>
            <w:pPr>
              <w:adjustRightInd w:val="0"/>
              <w:snapToGrid w:val="0"/>
              <w:jc w:val="center"/>
              <w:rPr>
                <w:szCs w:val="21"/>
              </w:rPr>
            </w:pPr>
            <w:r>
              <w:rPr>
                <w:szCs w:val="21"/>
              </w:rPr>
              <w:t>GB/T 27590—2011</w:t>
            </w:r>
          </w:p>
          <w:p>
            <w:pPr>
              <w:adjustRightInd w:val="0"/>
              <w:snapToGrid w:val="0"/>
              <w:jc w:val="center"/>
              <w:rPr>
                <w:szCs w:val="21"/>
              </w:rPr>
            </w:pPr>
            <w:r>
              <w:rPr>
                <w:szCs w:val="21"/>
              </w:rPr>
              <w:t>GB/T 27590—2022</w:t>
            </w:r>
          </w:p>
        </w:tc>
      </w:tr>
    </w:tbl>
    <w:p>
      <w:pPr>
        <w:adjustRightInd w:val="0"/>
        <w:snapToGrid w:val="0"/>
        <w:ind w:firstLine="420" w:firstLineChars="200"/>
        <w:jc w:val="center"/>
        <w:rPr>
          <w:szCs w:val="21"/>
        </w:rPr>
      </w:pPr>
    </w:p>
    <w:p>
      <w:pPr>
        <w:snapToGrid w:val="0"/>
        <w:spacing w:line="440" w:lineRule="exact"/>
        <w:ind w:firstLine="420" w:firstLineChars="20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color w:val="000000"/>
          <w:szCs w:val="21"/>
        </w:rPr>
      </w:pPr>
      <w:r>
        <w:rPr>
          <w:rFonts w:hint="eastAsia"/>
          <w:color w:val="000000"/>
          <w:szCs w:val="21"/>
        </w:rPr>
        <w:t>复检时所检测的样品为备用样品。</w:t>
      </w:r>
    </w:p>
    <w:p>
      <w:pPr>
        <w:snapToGrid w:val="0"/>
        <w:spacing w:line="440" w:lineRule="exact"/>
        <w:ind w:firstLine="359" w:firstLineChars="17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3 判定规则</w:t>
      </w:r>
    </w:p>
    <w:p>
      <w:pPr>
        <w:adjustRightInd w:val="0"/>
        <w:snapToGrid w:val="0"/>
        <w:spacing w:line="360" w:lineRule="auto"/>
        <w:rPr>
          <w:color w:val="000000"/>
          <w:szCs w:val="21"/>
        </w:rPr>
      </w:pPr>
      <w:r>
        <w:rPr>
          <w:rFonts w:hint="eastAsia"/>
          <w:color w:val="000000"/>
          <w:szCs w:val="21"/>
        </w:rPr>
        <w:t>3.1依据标准</w:t>
      </w:r>
    </w:p>
    <w:p>
      <w:pPr>
        <w:widowControl/>
        <w:adjustRightInd w:val="0"/>
        <w:snapToGrid w:val="0"/>
        <w:spacing w:line="400" w:lineRule="exact"/>
        <w:ind w:firstLine="420" w:firstLineChars="200"/>
        <w:jc w:val="left"/>
        <w:rPr>
          <w:color w:val="000000"/>
          <w:szCs w:val="21"/>
        </w:rPr>
      </w:pPr>
      <w:r>
        <w:rPr>
          <w:color w:val="000000"/>
          <w:szCs w:val="21"/>
        </w:rPr>
        <w:t xml:space="preserve">GB/T 27590-2011     </w:t>
      </w:r>
      <w:r>
        <w:rPr>
          <w:rFonts w:hAnsi="宋体"/>
          <w:color w:val="000000"/>
          <w:szCs w:val="21"/>
        </w:rPr>
        <w:t>纸杯（含第</w:t>
      </w:r>
      <w:r>
        <w:rPr>
          <w:color w:val="000000"/>
          <w:szCs w:val="21"/>
        </w:rPr>
        <w:t>1</w:t>
      </w:r>
      <w:r>
        <w:rPr>
          <w:rFonts w:hAnsi="宋体"/>
          <w:color w:val="000000"/>
          <w:szCs w:val="21"/>
        </w:rPr>
        <w:t>号修改单）</w:t>
      </w:r>
    </w:p>
    <w:p>
      <w:pPr>
        <w:widowControl/>
        <w:adjustRightInd w:val="0"/>
        <w:snapToGrid w:val="0"/>
        <w:spacing w:line="400" w:lineRule="exact"/>
        <w:ind w:firstLine="420" w:firstLineChars="200"/>
        <w:jc w:val="left"/>
        <w:rPr>
          <w:color w:val="000000"/>
          <w:szCs w:val="21"/>
        </w:rPr>
      </w:pPr>
      <w:r>
        <w:rPr>
          <w:color w:val="000000"/>
          <w:szCs w:val="21"/>
        </w:rPr>
        <w:t xml:space="preserve">GB/T 27590-2022     </w:t>
      </w:r>
      <w:r>
        <w:rPr>
          <w:rFonts w:hAnsi="宋体"/>
          <w:color w:val="000000"/>
          <w:szCs w:val="21"/>
        </w:rPr>
        <w:t>纸杯</w:t>
      </w:r>
    </w:p>
    <w:p>
      <w:pPr>
        <w:widowControl/>
        <w:spacing w:line="440" w:lineRule="exact"/>
        <w:ind w:firstLine="420" w:firstLineChars="200"/>
        <w:rPr>
          <w:szCs w:val="21"/>
        </w:rPr>
      </w:pPr>
      <w:r>
        <w:rPr>
          <w:szCs w:val="21"/>
        </w:rPr>
        <w:t>GB 4806.6-2016     食品安全国家标准  食品接触用塑料树脂</w:t>
      </w:r>
    </w:p>
    <w:p>
      <w:pPr>
        <w:widowControl/>
        <w:spacing w:line="440" w:lineRule="exact"/>
        <w:ind w:firstLine="420" w:firstLineChars="200"/>
        <w:rPr>
          <w:szCs w:val="21"/>
        </w:rPr>
      </w:pPr>
      <w:r>
        <w:rPr>
          <w:szCs w:val="21"/>
        </w:rPr>
        <w:t>GB 4806.7-2016     食品安全国家标准  食品接触用塑料材料及制品</w:t>
      </w:r>
    </w:p>
    <w:p>
      <w:pPr>
        <w:widowControl/>
        <w:adjustRightInd w:val="0"/>
        <w:snapToGrid w:val="0"/>
        <w:spacing w:line="400" w:lineRule="exact"/>
        <w:ind w:firstLine="420" w:firstLineChars="200"/>
        <w:jc w:val="left"/>
        <w:rPr>
          <w:color w:val="000000"/>
          <w:szCs w:val="21"/>
        </w:rPr>
      </w:pPr>
      <w:r>
        <w:rPr>
          <w:color w:val="000000"/>
          <w:szCs w:val="21"/>
        </w:rPr>
        <w:t>GB 4806.8-2022      食品安全国家标准  食品接触用纸和纸板材料及制品</w:t>
      </w:r>
    </w:p>
    <w:p>
      <w:pPr>
        <w:widowControl/>
        <w:adjustRightInd w:val="0"/>
        <w:snapToGrid w:val="0"/>
        <w:spacing w:line="400" w:lineRule="exact"/>
        <w:ind w:firstLine="420" w:firstLineChars="200"/>
        <w:jc w:val="left"/>
        <w:rPr>
          <w:color w:val="000000"/>
          <w:szCs w:val="21"/>
        </w:rPr>
      </w:pPr>
      <w:r>
        <w:rPr>
          <w:color w:val="000000"/>
          <w:szCs w:val="21"/>
        </w:rPr>
        <w:t>《食品相关产品生产许可实施细则（二）食品用纸包装、容器等制品部分</w:t>
      </w:r>
      <w:r>
        <w:rPr>
          <w:rFonts w:hAnsi="宋体"/>
          <w:color w:val="000000"/>
          <w:szCs w:val="21"/>
        </w:rPr>
        <w:t>》</w:t>
      </w:r>
    </w:p>
    <w:p>
      <w:pPr>
        <w:widowControl/>
        <w:adjustRightInd w:val="0"/>
        <w:snapToGrid w:val="0"/>
        <w:spacing w:line="400" w:lineRule="exact"/>
        <w:ind w:firstLine="420" w:firstLineChars="200"/>
        <w:jc w:val="left"/>
        <w:rPr>
          <w:rFonts w:ascii="宋体" w:hAnsi="宋体"/>
          <w:color w:val="000000"/>
          <w:szCs w:val="21"/>
        </w:rPr>
      </w:pPr>
      <w:r>
        <w:rPr>
          <w:rFonts w:hAnsi="宋体"/>
          <w:color w:val="000000"/>
          <w:szCs w:val="21"/>
        </w:rPr>
        <w:t>现行有效的其他标准及产品明示质量要求</w:t>
      </w:r>
      <w:bookmarkStart w:id="0" w:name="_GoBack"/>
      <w:bookmarkEnd w:id="0"/>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snapToGrid w:val="0"/>
        <w:spacing w:line="440" w:lineRule="exact"/>
        <w:ind w:firstLine="420" w:firstLineChars="200"/>
        <w:rPr>
          <w:color w:val="000000"/>
          <w:szCs w:val="21"/>
        </w:rPr>
      </w:pPr>
      <w:r>
        <w:rPr>
          <w:rFonts w:hint="eastAsia"/>
          <w:color w:val="000000"/>
          <w:szCs w:val="21"/>
        </w:rPr>
        <w:t>经检验，检验项目中任一项或一项以上不合格，判定被抽查产品为“不合格”。</w:t>
      </w:r>
    </w:p>
    <w:p>
      <w:pPr>
        <w:snapToGrid w:val="0"/>
        <w:spacing w:line="440" w:lineRule="exact"/>
        <w:ind w:firstLine="420" w:firstLineChars="20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pPr>
        <w:snapToGrid w:val="0"/>
        <w:spacing w:line="440" w:lineRule="exact"/>
        <w:ind w:firstLine="420" w:firstLineChars="20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p>
      <w:pPr>
        <w:adjustRightInd w:val="0"/>
        <w:snapToGrid w:val="0"/>
        <w:spacing w:line="440" w:lineRule="exact"/>
        <w:rPr>
          <w:rFonts w:hAnsi="宋体"/>
        </w:rPr>
      </w:pPr>
    </w:p>
    <w:p>
      <w:pPr>
        <w:adjustRightInd w:val="0"/>
        <w:snapToGrid w:val="0"/>
        <w:spacing w:line="440" w:lineRule="exact"/>
        <w:rPr>
          <w:rFonts w:hAnsi="宋体"/>
        </w:rPr>
      </w:pP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lang w:val="zh-CN"/>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4E7F45"/>
    <w:rsid w:val="00000154"/>
    <w:rsid w:val="000223BA"/>
    <w:rsid w:val="00025E70"/>
    <w:rsid w:val="00026930"/>
    <w:rsid w:val="000600FC"/>
    <w:rsid w:val="000A0C5A"/>
    <w:rsid w:val="000A2FA9"/>
    <w:rsid w:val="000D0B7A"/>
    <w:rsid w:val="000F0172"/>
    <w:rsid w:val="001001F2"/>
    <w:rsid w:val="00102FBF"/>
    <w:rsid w:val="00104D1A"/>
    <w:rsid w:val="00111BFA"/>
    <w:rsid w:val="00126B4B"/>
    <w:rsid w:val="0013492D"/>
    <w:rsid w:val="00136614"/>
    <w:rsid w:val="001515C4"/>
    <w:rsid w:val="00173D62"/>
    <w:rsid w:val="0019080C"/>
    <w:rsid w:val="001C3CE2"/>
    <w:rsid w:val="001E7D67"/>
    <w:rsid w:val="002333DE"/>
    <w:rsid w:val="00253432"/>
    <w:rsid w:val="00262E0C"/>
    <w:rsid w:val="00263965"/>
    <w:rsid w:val="002657A4"/>
    <w:rsid w:val="00287314"/>
    <w:rsid w:val="002961CD"/>
    <w:rsid w:val="002A2353"/>
    <w:rsid w:val="002D2966"/>
    <w:rsid w:val="002E7FB7"/>
    <w:rsid w:val="002F3CE5"/>
    <w:rsid w:val="00313811"/>
    <w:rsid w:val="00316ED3"/>
    <w:rsid w:val="00322C70"/>
    <w:rsid w:val="0033027F"/>
    <w:rsid w:val="00345C28"/>
    <w:rsid w:val="003462B4"/>
    <w:rsid w:val="0035010F"/>
    <w:rsid w:val="00383CEF"/>
    <w:rsid w:val="00384D3B"/>
    <w:rsid w:val="003A1F5F"/>
    <w:rsid w:val="003B0BC4"/>
    <w:rsid w:val="003B5A03"/>
    <w:rsid w:val="003C4ABE"/>
    <w:rsid w:val="003D5388"/>
    <w:rsid w:val="003F71AC"/>
    <w:rsid w:val="003F7705"/>
    <w:rsid w:val="0040395D"/>
    <w:rsid w:val="004064D4"/>
    <w:rsid w:val="00421E58"/>
    <w:rsid w:val="00460651"/>
    <w:rsid w:val="00462428"/>
    <w:rsid w:val="0048431A"/>
    <w:rsid w:val="004A0B0A"/>
    <w:rsid w:val="004A673D"/>
    <w:rsid w:val="004C0523"/>
    <w:rsid w:val="004D349C"/>
    <w:rsid w:val="004D79DF"/>
    <w:rsid w:val="004E7F45"/>
    <w:rsid w:val="005025AF"/>
    <w:rsid w:val="0051209D"/>
    <w:rsid w:val="00532F8D"/>
    <w:rsid w:val="0054077C"/>
    <w:rsid w:val="00543BC5"/>
    <w:rsid w:val="00545815"/>
    <w:rsid w:val="005468BC"/>
    <w:rsid w:val="00553E9A"/>
    <w:rsid w:val="0056405C"/>
    <w:rsid w:val="00571A64"/>
    <w:rsid w:val="0059759C"/>
    <w:rsid w:val="005A608E"/>
    <w:rsid w:val="005A736C"/>
    <w:rsid w:val="005E6927"/>
    <w:rsid w:val="005F107B"/>
    <w:rsid w:val="0061295A"/>
    <w:rsid w:val="006133E0"/>
    <w:rsid w:val="0061369D"/>
    <w:rsid w:val="00614A91"/>
    <w:rsid w:val="006219F8"/>
    <w:rsid w:val="00634865"/>
    <w:rsid w:val="00637B14"/>
    <w:rsid w:val="00640574"/>
    <w:rsid w:val="006430D7"/>
    <w:rsid w:val="00646A2D"/>
    <w:rsid w:val="00653AA0"/>
    <w:rsid w:val="0065579C"/>
    <w:rsid w:val="00661A1E"/>
    <w:rsid w:val="00680A52"/>
    <w:rsid w:val="0068760D"/>
    <w:rsid w:val="006A74D7"/>
    <w:rsid w:val="006C56E0"/>
    <w:rsid w:val="006D42AD"/>
    <w:rsid w:val="006E42C6"/>
    <w:rsid w:val="00705024"/>
    <w:rsid w:val="00741FDC"/>
    <w:rsid w:val="007543E6"/>
    <w:rsid w:val="007624B0"/>
    <w:rsid w:val="00776F3A"/>
    <w:rsid w:val="00783AFE"/>
    <w:rsid w:val="007A4F3E"/>
    <w:rsid w:val="007A570E"/>
    <w:rsid w:val="007B4B62"/>
    <w:rsid w:val="007E6AED"/>
    <w:rsid w:val="0082334C"/>
    <w:rsid w:val="00826B7A"/>
    <w:rsid w:val="008717BF"/>
    <w:rsid w:val="0088061A"/>
    <w:rsid w:val="0088588D"/>
    <w:rsid w:val="008A4290"/>
    <w:rsid w:val="008C2AA1"/>
    <w:rsid w:val="008D4A5A"/>
    <w:rsid w:val="00902C4C"/>
    <w:rsid w:val="0091647C"/>
    <w:rsid w:val="0092508E"/>
    <w:rsid w:val="009371D2"/>
    <w:rsid w:val="009833AD"/>
    <w:rsid w:val="009A74F5"/>
    <w:rsid w:val="009C757B"/>
    <w:rsid w:val="009E75BC"/>
    <w:rsid w:val="009F096A"/>
    <w:rsid w:val="009F1D5A"/>
    <w:rsid w:val="009F5F85"/>
    <w:rsid w:val="00A00D3B"/>
    <w:rsid w:val="00A0139B"/>
    <w:rsid w:val="00A068B9"/>
    <w:rsid w:val="00A133AE"/>
    <w:rsid w:val="00A37628"/>
    <w:rsid w:val="00A42486"/>
    <w:rsid w:val="00A95981"/>
    <w:rsid w:val="00AC1FA9"/>
    <w:rsid w:val="00AD4FA6"/>
    <w:rsid w:val="00AD527D"/>
    <w:rsid w:val="00AE0D56"/>
    <w:rsid w:val="00AE1E0E"/>
    <w:rsid w:val="00AF46D5"/>
    <w:rsid w:val="00B009E6"/>
    <w:rsid w:val="00B0505D"/>
    <w:rsid w:val="00B118A5"/>
    <w:rsid w:val="00B24BD0"/>
    <w:rsid w:val="00B44E4C"/>
    <w:rsid w:val="00B61C35"/>
    <w:rsid w:val="00B702AE"/>
    <w:rsid w:val="00B713CE"/>
    <w:rsid w:val="00B942CB"/>
    <w:rsid w:val="00BA4D5F"/>
    <w:rsid w:val="00BB1D93"/>
    <w:rsid w:val="00BD0C1B"/>
    <w:rsid w:val="00BD1B71"/>
    <w:rsid w:val="00BD6ACE"/>
    <w:rsid w:val="00C17DF2"/>
    <w:rsid w:val="00C2557D"/>
    <w:rsid w:val="00C25CB5"/>
    <w:rsid w:val="00C3154A"/>
    <w:rsid w:val="00C463AB"/>
    <w:rsid w:val="00C50932"/>
    <w:rsid w:val="00C87D52"/>
    <w:rsid w:val="00CB2D82"/>
    <w:rsid w:val="00CF0013"/>
    <w:rsid w:val="00D10543"/>
    <w:rsid w:val="00D10BD4"/>
    <w:rsid w:val="00D541C8"/>
    <w:rsid w:val="00D867EF"/>
    <w:rsid w:val="00D87670"/>
    <w:rsid w:val="00D925BD"/>
    <w:rsid w:val="00D92B63"/>
    <w:rsid w:val="00D950EE"/>
    <w:rsid w:val="00DA52B0"/>
    <w:rsid w:val="00DB7271"/>
    <w:rsid w:val="00DD7453"/>
    <w:rsid w:val="00DF4DCE"/>
    <w:rsid w:val="00E864B9"/>
    <w:rsid w:val="00E93AD3"/>
    <w:rsid w:val="00EB3B67"/>
    <w:rsid w:val="00F07ACA"/>
    <w:rsid w:val="00F32904"/>
    <w:rsid w:val="00F3784D"/>
    <w:rsid w:val="00F40AD6"/>
    <w:rsid w:val="00F76949"/>
    <w:rsid w:val="00F848CF"/>
    <w:rsid w:val="00F85554"/>
    <w:rsid w:val="00F933A2"/>
    <w:rsid w:val="00F94DCB"/>
    <w:rsid w:val="00F96EB7"/>
    <w:rsid w:val="00FA3F24"/>
    <w:rsid w:val="00FC7B9E"/>
    <w:rsid w:val="00FF2630"/>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334AF7"/>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 w:val="BB9E37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ody Text"/>
    <w:basedOn w:val="1"/>
    <w:link w:val="20"/>
    <w:qFormat/>
    <w:uiPriority w:val="0"/>
    <w:pPr>
      <w:spacing w:after="120"/>
    </w:pPr>
  </w:style>
  <w:style w:type="paragraph" w:styleId="4">
    <w:name w:val="Body Text Indent"/>
    <w:basedOn w:val="1"/>
    <w:qFormat/>
    <w:uiPriority w:val="0"/>
    <w:pPr>
      <w:ind w:firstLine="600" w:firstLineChars="200"/>
    </w:pPr>
    <w:rPr>
      <w:rFonts w:eastAsia="仿宋_GB2312"/>
      <w:sz w:val="30"/>
      <w:szCs w:val="24"/>
    </w:rPr>
  </w:style>
  <w:style w:type="paragraph" w:styleId="5">
    <w:name w:val="Plain Text"/>
    <w:basedOn w:val="1"/>
    <w:link w:val="21"/>
    <w:qFormat/>
    <w:uiPriority w:val="0"/>
    <w:rPr>
      <w:rFonts w:ascii="宋体" w:hAnsi="Courier New"/>
      <w:szCs w:val="21"/>
    </w:rPr>
  </w:style>
  <w:style w:type="paragraph" w:styleId="6">
    <w:name w:val="Balloon Text"/>
    <w:basedOn w:val="1"/>
    <w:link w:val="22"/>
    <w:qFormat/>
    <w:uiPriority w:val="0"/>
    <w:rPr>
      <w:sz w:val="18"/>
      <w:szCs w:val="18"/>
    </w:r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3"/>
    <w:autoRedefine/>
    <w:qFormat/>
    <w:uiPriority w:val="0"/>
    <w:rPr>
      <w:b/>
      <w:bCs/>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autoRedefine/>
    <w:unhideWhenUsed/>
    <w:qFormat/>
    <w:uiPriority w:val="99"/>
    <w:rPr>
      <w:color w:val="0000FF"/>
      <w:u w:val="single"/>
    </w:rPr>
  </w:style>
  <w:style w:type="character" w:styleId="14">
    <w:name w:val="annotation reference"/>
    <w:autoRedefine/>
    <w:qFormat/>
    <w:uiPriority w:val="0"/>
    <w:rPr>
      <w:sz w:val="21"/>
      <w:szCs w:val="21"/>
    </w:rPr>
  </w:style>
  <w:style w:type="paragraph" w:customStyle="1" w:styleId="15">
    <w:name w:val="列出段落1"/>
    <w:basedOn w:val="1"/>
    <w:autoRedefine/>
    <w:qFormat/>
    <w:uiPriority w:val="34"/>
    <w:pPr>
      <w:ind w:firstLine="420" w:firstLineChars="200"/>
    </w:pPr>
  </w:style>
  <w:style w:type="paragraph" w:styleId="16">
    <w:name w:val="List Paragraph"/>
    <w:basedOn w:val="1"/>
    <w:autoRedefine/>
    <w:qFormat/>
    <w:uiPriority w:val="99"/>
    <w:pPr>
      <w:ind w:firstLine="420" w:firstLineChars="200"/>
    </w:pPr>
  </w:style>
  <w:style w:type="paragraph" w:customStyle="1" w:styleId="17">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8">
    <w:name w:val="p17"/>
    <w:basedOn w:val="1"/>
    <w:autoRedefine/>
    <w:qFormat/>
    <w:uiPriority w:val="0"/>
    <w:pPr>
      <w:widowControl/>
    </w:pPr>
    <w:rPr>
      <w:color w:val="000000"/>
      <w:kern w:val="0"/>
      <w:szCs w:val="21"/>
    </w:rPr>
  </w:style>
  <w:style w:type="character" w:customStyle="1" w:styleId="19">
    <w:name w:val="批注文字 Char"/>
    <w:link w:val="2"/>
    <w:autoRedefine/>
    <w:qFormat/>
    <w:uiPriority w:val="99"/>
    <w:rPr>
      <w:kern w:val="2"/>
      <w:sz w:val="21"/>
      <w:szCs w:val="22"/>
    </w:rPr>
  </w:style>
  <w:style w:type="character" w:customStyle="1" w:styleId="20">
    <w:name w:val="正文文本 Char"/>
    <w:link w:val="3"/>
    <w:autoRedefine/>
    <w:qFormat/>
    <w:uiPriority w:val="0"/>
    <w:rPr>
      <w:kern w:val="2"/>
      <w:sz w:val="21"/>
      <w:szCs w:val="22"/>
    </w:rPr>
  </w:style>
  <w:style w:type="character" w:customStyle="1" w:styleId="21">
    <w:name w:val="纯文本 Char2"/>
    <w:link w:val="5"/>
    <w:autoRedefine/>
    <w:qFormat/>
    <w:uiPriority w:val="0"/>
    <w:rPr>
      <w:rFonts w:ascii="宋体" w:hAnsi="Courier New" w:cs="Courier New"/>
      <w:kern w:val="2"/>
      <w:sz w:val="21"/>
      <w:szCs w:val="21"/>
    </w:rPr>
  </w:style>
  <w:style w:type="character" w:customStyle="1" w:styleId="22">
    <w:name w:val="批注框文本 Char"/>
    <w:link w:val="6"/>
    <w:autoRedefine/>
    <w:qFormat/>
    <w:uiPriority w:val="0"/>
    <w:rPr>
      <w:kern w:val="2"/>
      <w:sz w:val="18"/>
      <w:szCs w:val="18"/>
    </w:rPr>
  </w:style>
  <w:style w:type="character" w:customStyle="1" w:styleId="23">
    <w:name w:val="批注主题 Char"/>
    <w:link w:val="9"/>
    <w:autoRedefine/>
    <w:qFormat/>
    <w:uiPriority w:val="0"/>
  </w:style>
  <w:style w:type="character" w:customStyle="1" w:styleId="24">
    <w:name w:val="fontstyle01"/>
    <w:autoRedefine/>
    <w:qFormat/>
    <w:uiPriority w:val="0"/>
    <w:rPr>
      <w:rFonts w:ascii="黑体" w:hAnsi="宋体" w:eastAsia="黑体" w:cs="黑体"/>
      <w:color w:val="000000"/>
      <w:sz w:val="32"/>
      <w:szCs w:val="32"/>
    </w:rPr>
  </w:style>
  <w:style w:type="character" w:customStyle="1" w:styleId="25">
    <w:name w:val="纯文本 Char"/>
    <w:autoRedefine/>
    <w:qFormat/>
    <w:uiPriority w:val="0"/>
    <w:rPr>
      <w:rFonts w:ascii="宋体" w:hAnsi="Courier New" w:cs="Courier New"/>
      <w:kern w:val="2"/>
      <w:sz w:val="21"/>
      <w:szCs w:val="21"/>
    </w:rPr>
  </w:style>
  <w:style w:type="character" w:customStyle="1" w:styleId="26">
    <w:name w:val="纯文本 Char1"/>
    <w:autoRedefine/>
    <w:qFormat/>
    <w:uiPriority w:val="0"/>
    <w:rPr>
      <w:rFonts w:ascii="宋体" w:hAnsi="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262</Words>
  <Characters>1498</Characters>
  <Lines>12</Lines>
  <Paragraphs>3</Paragraphs>
  <TotalTime>15</TotalTime>
  <ScaleCrop>false</ScaleCrop>
  <LinksUpToDate>false</LinksUpToDate>
  <CharactersWithSpaces>1757</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2024-03-21T06:04:00Z</dcterms:created>
  <dc:creator>wee</dc:creator>
  <lastModifiedBy>菠萝啵啵</lastModifiedBy>
  <lastPrinted>2021-02-23T06:17:00Z</lastPrinted>
  <dcterms:modified xsi:type="dcterms:W3CDTF">2024-03-25T05:19:18Z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E67FFB475F4443839E7CFE0B7BB8BFDD_13</vt:lpwstr>
  </property>
</Properties>
</file>