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eastAsia="方正小标宋简体" w:cs="方正仿宋简体"/>
          <w:color w:val="000000"/>
          <w:sz w:val="32"/>
          <w:szCs w:val="32"/>
        </w:rPr>
      </w:pPr>
      <w:r>
        <w:rPr>
          <w:rFonts w:hint="eastAsia" w:ascii="方正小标宋简体" w:eastAsia="方正小标宋简体" w:cs="方正仿宋简体"/>
          <w:color w:val="000000"/>
          <w:sz w:val="32"/>
          <w:szCs w:val="32"/>
        </w:rPr>
        <w:t>2024年德清县瓶装液化石油气调压器产品</w:t>
      </w:r>
    </w:p>
    <w:p>
      <w:pPr>
        <w:spacing w:line="440" w:lineRule="exact"/>
        <w:jc w:val="center"/>
        <w:rPr>
          <w:rStyle w:val="8"/>
          <w:rFonts w:eastAsia="方正小标宋简体"/>
          <w:color w:val="000000"/>
          <w:sz w:val="32"/>
          <w:szCs w:val="32"/>
        </w:rPr>
      </w:pPr>
      <w:r>
        <w:rPr>
          <w:rFonts w:hint="eastAsia" w:ascii="方正小标宋简体" w:eastAsia="方正小标宋简体" w:cs="方正仿宋简体"/>
          <w:color w:val="000000"/>
          <w:sz w:val="32"/>
          <w:szCs w:val="32"/>
        </w:rPr>
        <w:t>质量监督抽查实施细</w:t>
      </w:r>
      <w:r>
        <w:rPr>
          <w:rFonts w:hint="eastAsia" w:eastAsia="方正小标宋简体" w:cs="方正仿宋简体"/>
          <w:color w:val="000000"/>
          <w:sz w:val="32"/>
          <w:szCs w:val="32"/>
        </w:rPr>
        <w:t>则</w:t>
      </w:r>
    </w:p>
    <w:p>
      <w:pPr>
        <w:snapToGrid w:val="0"/>
        <w:spacing w:line="594" w:lineRule="exact"/>
        <w:jc w:val="center"/>
        <w:rPr>
          <w:rStyle w:val="8"/>
          <w:rFonts w:eastAsia="方正小标宋简体"/>
          <w:color w:val="000000"/>
          <w:sz w:val="32"/>
          <w:szCs w:val="32"/>
        </w:rPr>
      </w:pPr>
    </w:p>
    <w:p>
      <w:pPr>
        <w:snapToGrid w:val="0"/>
        <w:spacing w:line="440" w:lineRule="exact"/>
        <w:rPr>
          <w:rFonts w:ascii="黑体" w:hAnsi="黑体" w:eastAsia="黑体"/>
          <w:b w:val="0"/>
          <w:bCs/>
          <w:color w:val="000000"/>
          <w:szCs w:val="21"/>
        </w:rPr>
      </w:pPr>
      <w:r>
        <w:rPr>
          <w:rFonts w:hint="eastAsia" w:ascii="黑体" w:hAnsi="黑体" w:eastAsia="黑体"/>
          <w:b w:val="0"/>
          <w:bCs/>
          <w:color w:val="000000"/>
          <w:szCs w:val="21"/>
          <w:lang w:val="en-US" w:eastAsia="zh-CN"/>
        </w:rPr>
        <w:t xml:space="preserve">1 </w:t>
      </w:r>
      <w:r>
        <w:rPr>
          <w:rFonts w:ascii="黑体" w:hAnsi="黑体" w:eastAsia="黑体"/>
          <w:b w:val="0"/>
          <w:bCs/>
          <w:color w:val="000000"/>
          <w:szCs w:val="21"/>
        </w:rPr>
        <w:t>抽样方法</w:t>
      </w:r>
    </w:p>
    <w:p>
      <w:pPr>
        <w:adjustRightInd w:val="0"/>
        <w:snapToGrid w:val="0"/>
        <w:spacing w:line="360" w:lineRule="auto"/>
        <w:ind w:firstLine="420" w:firstLineChars="200"/>
        <w:rPr>
          <w:szCs w:val="21"/>
        </w:rPr>
      </w:pPr>
      <w:r>
        <w:rPr>
          <w:rFonts w:hint="eastAsia"/>
          <w:szCs w:val="21"/>
        </w:rPr>
        <w:t>以随机抽样的方式在被抽样生产者、销售者的待销产品中抽取。</w:t>
      </w:r>
    </w:p>
    <w:p>
      <w:pPr>
        <w:adjustRightInd w:val="0"/>
        <w:snapToGrid w:val="0"/>
        <w:spacing w:line="360" w:lineRule="auto"/>
        <w:ind w:firstLine="420" w:firstLineChars="200"/>
        <w:outlineLvl w:val="1"/>
        <w:rPr>
          <w:szCs w:val="21"/>
        </w:rPr>
      </w:pPr>
      <w:r>
        <w:rPr>
          <w:rFonts w:hint="eastAsia"/>
          <w:szCs w:val="21"/>
        </w:rPr>
        <w:t>随机数一般可使用随机数表等方法产生。</w:t>
      </w:r>
    </w:p>
    <w:p>
      <w:pPr>
        <w:snapToGrid w:val="0"/>
        <w:spacing w:line="440" w:lineRule="exact"/>
        <w:ind w:firstLine="420"/>
        <w:rPr>
          <w:rFonts w:hint="eastAsia" w:ascii="宋体" w:hAnsi="宋体"/>
          <w:color w:val="000000"/>
          <w:szCs w:val="21"/>
        </w:rPr>
      </w:pPr>
      <w:r>
        <w:rPr>
          <w:rFonts w:hint="eastAsia" w:ascii="宋体" w:hAnsi="宋体"/>
          <w:szCs w:val="21"/>
        </w:rPr>
        <w:t>抽取同一生产者、同一标准生产的同一商标、同一规格型号的产品2只，其中1只为检验样品，</w:t>
      </w:r>
      <w:r>
        <w:rPr>
          <w:rFonts w:hint="eastAsia" w:ascii="宋体" w:hAnsi="宋体"/>
          <w:color w:val="000000"/>
          <w:szCs w:val="21"/>
        </w:rPr>
        <w:t>1</w:t>
      </w:r>
      <w:r>
        <w:rPr>
          <w:rFonts w:hint="eastAsia" w:ascii="宋体" w:hAnsi="宋体"/>
          <w:szCs w:val="21"/>
        </w:rPr>
        <w:t>只</w:t>
      </w:r>
      <w:r>
        <w:rPr>
          <w:rFonts w:hint="eastAsia" w:ascii="宋体" w:hAnsi="宋体"/>
          <w:color w:val="000000"/>
          <w:szCs w:val="21"/>
        </w:rPr>
        <w:t>为备用样品。</w:t>
      </w:r>
    </w:p>
    <w:p>
      <w:pPr>
        <w:snapToGrid w:val="0"/>
        <w:spacing w:line="440" w:lineRule="exact"/>
        <w:ind w:firstLine="420"/>
        <w:rPr>
          <w:rFonts w:hint="eastAsia" w:ascii="宋体" w:hAnsi="宋体"/>
          <w:color w:val="000000"/>
          <w:szCs w:val="21"/>
        </w:rPr>
      </w:pPr>
    </w:p>
    <w:p>
      <w:pPr>
        <w:snapToGrid w:val="0"/>
        <w:spacing w:line="440" w:lineRule="exact"/>
        <w:rPr>
          <w:rFonts w:ascii="黑体" w:hAnsi="黑体" w:eastAsia="黑体"/>
          <w:b w:val="0"/>
          <w:bCs/>
          <w:color w:val="000000"/>
          <w:szCs w:val="21"/>
        </w:rPr>
      </w:pPr>
      <w:r>
        <w:rPr>
          <w:rFonts w:hint="eastAsia" w:ascii="黑体" w:hAnsi="黑体" w:eastAsia="黑体"/>
          <w:b w:val="0"/>
          <w:bCs/>
          <w:color w:val="000000"/>
          <w:szCs w:val="21"/>
          <w:lang w:val="en-US" w:eastAsia="zh-CN"/>
        </w:rPr>
        <w:t xml:space="preserve">2 </w:t>
      </w:r>
      <w:r>
        <w:rPr>
          <w:rFonts w:ascii="黑体" w:hAnsi="黑体" w:eastAsia="黑体"/>
          <w:b w:val="0"/>
          <w:bCs/>
          <w:color w:val="000000"/>
          <w:szCs w:val="21"/>
        </w:rPr>
        <w:t>检验依据</w:t>
      </w:r>
    </w:p>
    <w:p>
      <w:pPr>
        <w:autoSpaceDE w:val="0"/>
        <w:autoSpaceDN w:val="0"/>
        <w:adjustRightInd w:val="0"/>
        <w:spacing w:line="360" w:lineRule="auto"/>
        <w:ind w:firstLine="420" w:firstLineChars="200"/>
        <w:jc w:val="left"/>
        <w:rPr>
          <w:szCs w:val="21"/>
        </w:rPr>
      </w:pPr>
      <w:r>
        <w:rPr>
          <w:rFonts w:hint="eastAsia"/>
          <w:szCs w:val="21"/>
        </w:rPr>
        <w:t>产品明示执行标准为</w:t>
      </w:r>
      <w:r>
        <w:rPr>
          <w:szCs w:val="21"/>
        </w:rPr>
        <w:t>GB 35844-2018</w:t>
      </w:r>
      <w:r>
        <w:rPr>
          <w:rFonts w:hint="eastAsia"/>
          <w:szCs w:val="21"/>
        </w:rPr>
        <w:t>《瓶装液化石油气调压器》，或明示生产日期在</w:t>
      </w:r>
      <w:r>
        <w:rPr>
          <w:szCs w:val="21"/>
        </w:rPr>
        <w:t>2019</w:t>
      </w:r>
      <w:r>
        <w:rPr>
          <w:rFonts w:hint="eastAsia"/>
          <w:szCs w:val="21"/>
        </w:rPr>
        <w:t>年</w:t>
      </w:r>
      <w:r>
        <w:rPr>
          <w:szCs w:val="21"/>
        </w:rPr>
        <w:t>3</w:t>
      </w:r>
      <w:r>
        <w:rPr>
          <w:rFonts w:hint="eastAsia"/>
          <w:szCs w:val="21"/>
        </w:rPr>
        <w:t>月</w:t>
      </w:r>
      <w:r>
        <w:rPr>
          <w:szCs w:val="21"/>
        </w:rPr>
        <w:t>1</w:t>
      </w:r>
      <w:r>
        <w:rPr>
          <w:rFonts w:hint="eastAsia"/>
          <w:szCs w:val="21"/>
        </w:rPr>
        <w:t>日之后（或未明示生产日期的）的产品，检验项目按表</w:t>
      </w:r>
      <w:r>
        <w:rPr>
          <w:szCs w:val="21"/>
        </w:rPr>
        <w:t>1</w:t>
      </w:r>
      <w:r>
        <w:rPr>
          <w:rFonts w:hint="eastAsia"/>
          <w:szCs w:val="21"/>
        </w:rPr>
        <w:t>执行。</w:t>
      </w:r>
    </w:p>
    <w:p>
      <w:pPr>
        <w:pStyle w:val="2"/>
        <w:adjustRightInd w:val="0"/>
        <w:snapToGrid w:val="0"/>
        <w:spacing w:line="264" w:lineRule="auto"/>
        <w:ind w:firstLine="420" w:firstLineChars="200"/>
        <w:rPr>
          <w:rFonts w:hAnsi="宋体"/>
        </w:rPr>
      </w:pPr>
      <w:r>
        <w:rPr>
          <w:rFonts w:hint="eastAsia"/>
        </w:rPr>
        <w:t>产品明示标准为</w:t>
      </w:r>
      <w:r>
        <w:t>CJ/T 50-2008</w:t>
      </w:r>
      <w:r>
        <w:rPr>
          <w:rFonts w:hint="eastAsia"/>
        </w:rPr>
        <w:t>《瓶装液化石油气调压器》，且明示生产日期在</w:t>
      </w:r>
      <w:r>
        <w:t>2019</w:t>
      </w:r>
      <w:r>
        <w:rPr>
          <w:rFonts w:hint="eastAsia"/>
        </w:rPr>
        <w:t>年</w:t>
      </w:r>
      <w:r>
        <w:t>3</w:t>
      </w:r>
      <w:r>
        <w:rPr>
          <w:rFonts w:hint="eastAsia"/>
        </w:rPr>
        <w:t>月</w:t>
      </w:r>
      <w:r>
        <w:t>1</w:t>
      </w:r>
      <w:r>
        <w:rPr>
          <w:rFonts w:hint="eastAsia"/>
        </w:rPr>
        <w:t>日之前，检验项目按表</w:t>
      </w:r>
      <w:r>
        <w:t>2</w:t>
      </w:r>
      <w:r>
        <w:rPr>
          <w:rFonts w:hint="eastAsia"/>
        </w:rPr>
        <w:t>执行。</w:t>
      </w:r>
    </w:p>
    <w:p>
      <w:pPr>
        <w:pStyle w:val="2"/>
        <w:adjustRightInd w:val="0"/>
        <w:snapToGrid w:val="0"/>
        <w:spacing w:line="264" w:lineRule="auto"/>
        <w:jc w:val="center"/>
        <w:rPr>
          <w:rFonts w:hAnsi="宋体"/>
        </w:rPr>
      </w:pPr>
      <w:r>
        <w:rPr>
          <w:rFonts w:hint="eastAsia" w:hAnsi="宋体"/>
        </w:rPr>
        <w:t>表1</w:t>
      </w:r>
    </w:p>
    <w:tbl>
      <w:tblPr>
        <w:tblStyle w:val="5"/>
        <w:tblW w:w="5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992"/>
        <w:gridCol w:w="1840"/>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hint="eastAsia" w:ascii="宋体" w:hAnsi="宋体"/>
                <w:szCs w:val="21"/>
              </w:rPr>
              <w:t>序号</w:t>
            </w:r>
          </w:p>
        </w:tc>
        <w:tc>
          <w:tcPr>
            <w:tcW w:w="28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hint="eastAsia" w:ascii="宋体" w:hAnsi="宋体"/>
                <w:szCs w:val="21"/>
              </w:rPr>
              <w:t>检验项目</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hint="eastAsia" w:ascii="宋体" w:hAnsi="宋体"/>
                <w:szCs w:val="21"/>
              </w:rPr>
              <w:t>标准条款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hint="eastAsia" w:ascii="宋体" w:hAnsi="宋体"/>
                <w:szCs w:val="21"/>
              </w:rPr>
              <w:t>1</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hint="eastAsia"/>
                <w:szCs w:val="21"/>
              </w:rPr>
              <w:t>标志、警示和使用说明书</w:t>
            </w:r>
          </w:p>
        </w:tc>
        <w:tc>
          <w:tcPr>
            <w:tcW w:w="1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szCs w:val="21"/>
              </w:rPr>
            </w:pPr>
            <w:r>
              <w:rPr>
                <w:rFonts w:hint="eastAsia"/>
                <w:szCs w:val="21"/>
              </w:rPr>
              <w:t>标志</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szCs w:val="21"/>
              </w:rPr>
            </w:pPr>
            <w:r>
              <w:rPr>
                <w:rFonts w:hint="eastAsia" w:ascii="宋体" w:hAnsi="宋体"/>
                <w:szCs w:val="21"/>
              </w:rPr>
              <w:t xml:space="preserve">GB 35844-2018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1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szCs w:val="21"/>
              </w:rPr>
            </w:pPr>
            <w:r>
              <w:rPr>
                <w:rFonts w:hint="eastAsia"/>
                <w:szCs w:val="21"/>
              </w:rPr>
              <w:t>警示</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szCs w:val="21"/>
              </w:rPr>
            </w:pPr>
            <w:r>
              <w:rPr>
                <w:rFonts w:hint="eastAsia" w:ascii="宋体" w:hAnsi="宋体"/>
                <w:szCs w:val="21"/>
              </w:rPr>
              <w:t xml:space="preserve">GB 35844-2018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1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szCs w:val="21"/>
              </w:rPr>
            </w:pPr>
            <w:r>
              <w:rPr>
                <w:rFonts w:hint="eastAsia"/>
                <w:szCs w:val="21"/>
              </w:rPr>
              <w:t>使用说明书</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 xml:space="preserve">GB 35844-2018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ascii="宋体" w:hAnsi="宋体"/>
                <w:szCs w:val="21"/>
              </w:rPr>
              <w:t>2</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hint="eastAsia" w:ascii="宋体" w:hAnsi="宋体"/>
                <w:szCs w:val="21"/>
              </w:rPr>
              <w:t>结构</w:t>
            </w:r>
          </w:p>
        </w:tc>
        <w:tc>
          <w:tcPr>
            <w:tcW w:w="1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szCs w:val="21"/>
              </w:rPr>
            </w:pPr>
            <w:r>
              <w:rPr>
                <w:rFonts w:hint="eastAsia" w:ascii="宋体" w:hAnsi="宋体"/>
                <w:szCs w:val="21"/>
              </w:rPr>
              <w:t>一般要求</w:t>
            </w:r>
          </w:p>
        </w:tc>
        <w:tc>
          <w:tcPr>
            <w:tcW w:w="24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 xml:space="preserve">GB 35844-2018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ascii="宋体" w:hAnsi="宋体"/>
                <w:szCs w:val="21"/>
              </w:rPr>
              <w:t>3</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184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hAnsi="宋体"/>
              </w:rPr>
              <w:t>感压组件</w:t>
            </w:r>
          </w:p>
        </w:tc>
        <w:tc>
          <w:tcPr>
            <w:tcW w:w="24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 xml:space="preserve">GB 35844-2018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ascii="宋体" w:hAnsi="宋体"/>
                <w:szCs w:val="21"/>
              </w:rPr>
              <w:t>4</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184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hAnsi="宋体"/>
              </w:rPr>
              <w:t>调压组件</w:t>
            </w:r>
          </w:p>
        </w:tc>
        <w:tc>
          <w:tcPr>
            <w:tcW w:w="24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 xml:space="preserve">GB 35844-2018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ascii="宋体" w:hAnsi="宋体"/>
                <w:szCs w:val="21"/>
              </w:rPr>
              <w:t>5</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184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hAnsi="宋体"/>
              </w:rPr>
              <w:t>承压组件</w:t>
            </w:r>
          </w:p>
        </w:tc>
        <w:tc>
          <w:tcPr>
            <w:tcW w:w="24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 xml:space="preserve">GB 35844-2018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ascii="宋体" w:hAnsi="宋体"/>
                <w:szCs w:val="21"/>
              </w:rPr>
              <w:t>6</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184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hAnsi="宋体"/>
              </w:rPr>
              <w:t>接头组件</w:t>
            </w:r>
          </w:p>
        </w:tc>
        <w:tc>
          <w:tcPr>
            <w:tcW w:w="24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 xml:space="preserve">GB 35844-2018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ascii="宋体" w:hAnsi="宋体"/>
                <w:szCs w:val="21"/>
              </w:rPr>
              <w:t>7</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hAnsi="宋体"/>
              </w:rPr>
              <w:t>气密性</w:t>
            </w:r>
          </w:p>
        </w:tc>
        <w:tc>
          <w:tcPr>
            <w:tcW w:w="184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rPr>
              <w:t>调压器气密性</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szCs w:val="21"/>
              </w:rPr>
            </w:pPr>
            <w:r>
              <w:rPr>
                <w:rFonts w:hint="eastAsia" w:ascii="宋体" w:hAnsi="宋体"/>
                <w:szCs w:val="21"/>
              </w:rPr>
              <w:t xml:space="preserve">GB 35844-2018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Courier New"/>
                <w:szCs w:val="21"/>
              </w:rPr>
            </w:pPr>
          </w:p>
        </w:tc>
        <w:tc>
          <w:tcPr>
            <w:tcW w:w="184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rPr>
              <w:t>手动关闭机构气密性</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szCs w:val="21"/>
              </w:rPr>
            </w:pPr>
            <w:r>
              <w:rPr>
                <w:rFonts w:hint="eastAsia" w:ascii="宋体" w:hAnsi="宋体"/>
                <w:szCs w:val="21"/>
              </w:rPr>
              <w:t xml:space="preserve">GB 35844-2018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ascii="宋体" w:hAnsi="宋体"/>
                <w:szCs w:val="21"/>
              </w:rPr>
              <w:t>8</w:t>
            </w:r>
          </w:p>
        </w:tc>
        <w:tc>
          <w:tcPr>
            <w:tcW w:w="2832" w:type="dxa"/>
            <w:gridSpan w:val="2"/>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hAnsi="宋体"/>
              </w:rPr>
              <w:t>关闭压力</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szCs w:val="21"/>
              </w:rPr>
            </w:pPr>
            <w:r>
              <w:rPr>
                <w:rFonts w:hint="eastAsia" w:ascii="宋体" w:hAnsi="宋体"/>
                <w:szCs w:val="21"/>
              </w:rPr>
              <w:t xml:space="preserve">GB 35844-2018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9</w:t>
            </w:r>
          </w:p>
        </w:tc>
        <w:tc>
          <w:tcPr>
            <w:tcW w:w="2832" w:type="dxa"/>
            <w:gridSpan w:val="2"/>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hAnsi="宋体"/>
              </w:rPr>
              <w:t>出口压力</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szCs w:val="21"/>
              </w:rPr>
            </w:pPr>
            <w:r>
              <w:rPr>
                <w:rFonts w:hint="eastAsia" w:ascii="宋体" w:hAnsi="宋体"/>
                <w:szCs w:val="21"/>
              </w:rPr>
              <w:t xml:space="preserve">GB 35844-2018 </w:t>
            </w:r>
          </w:p>
        </w:tc>
      </w:tr>
    </w:tbl>
    <w:p>
      <w:pPr>
        <w:pStyle w:val="2"/>
        <w:adjustRightInd w:val="0"/>
        <w:snapToGrid w:val="0"/>
        <w:spacing w:line="264" w:lineRule="auto"/>
        <w:rPr>
          <w:rFonts w:hint="eastAsia" w:hAnsi="宋体"/>
        </w:rPr>
      </w:pPr>
    </w:p>
    <w:p>
      <w:pPr>
        <w:pStyle w:val="2"/>
        <w:adjustRightInd w:val="0"/>
        <w:snapToGrid w:val="0"/>
        <w:spacing w:line="264" w:lineRule="auto"/>
        <w:jc w:val="center"/>
      </w:pPr>
      <w:r>
        <w:rPr>
          <w:rFonts w:hint="eastAsia" w:hAnsi="宋体"/>
        </w:rPr>
        <w:t xml:space="preserve">表2 </w:t>
      </w:r>
    </w:p>
    <w:tbl>
      <w:tblPr>
        <w:tblStyle w:val="5"/>
        <w:tblW w:w="5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992"/>
        <w:gridCol w:w="1840"/>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hint="eastAsia" w:ascii="宋体" w:hAnsi="宋体"/>
                <w:szCs w:val="21"/>
              </w:rPr>
              <w:t>序号</w:t>
            </w:r>
          </w:p>
        </w:tc>
        <w:tc>
          <w:tcPr>
            <w:tcW w:w="283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hint="eastAsia" w:ascii="宋体" w:hAnsi="宋体"/>
                <w:szCs w:val="21"/>
              </w:rPr>
              <w:t>检验项目</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hint="eastAsia" w:ascii="宋体" w:hAnsi="宋体"/>
                <w:szCs w:val="21"/>
              </w:rPr>
              <w:t>标准条款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hint="eastAsia" w:ascii="宋体" w:hAnsi="宋体"/>
                <w:szCs w:val="21"/>
              </w:rPr>
              <w:t>1</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hint="eastAsia"/>
                <w:szCs w:val="21"/>
              </w:rPr>
              <w:t>标志、警示和使用说明书</w:t>
            </w:r>
          </w:p>
        </w:tc>
        <w:tc>
          <w:tcPr>
            <w:tcW w:w="1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szCs w:val="21"/>
              </w:rPr>
            </w:pPr>
            <w:r>
              <w:rPr>
                <w:rFonts w:hint="eastAsia"/>
                <w:szCs w:val="21"/>
              </w:rPr>
              <w:t>标志</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szCs w:val="21"/>
              </w:rPr>
            </w:pPr>
            <w:r>
              <w:rPr>
                <w:szCs w:val="21"/>
              </w:rPr>
              <w:t>CJ/T 50-2008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1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szCs w:val="21"/>
              </w:rPr>
            </w:pPr>
            <w:r>
              <w:rPr>
                <w:rFonts w:hint="eastAsia"/>
                <w:szCs w:val="21"/>
              </w:rPr>
              <w:t>警示</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szCs w:val="21"/>
              </w:rPr>
            </w:pPr>
            <w:r>
              <w:rPr>
                <w:szCs w:val="21"/>
              </w:rPr>
              <w:t>CJ/T 50-2008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1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szCs w:val="21"/>
              </w:rPr>
            </w:pPr>
            <w:r>
              <w:rPr>
                <w:rFonts w:hint="eastAsia"/>
                <w:szCs w:val="21"/>
              </w:rPr>
              <w:t>使用说明书</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szCs w:val="21"/>
              </w:rPr>
              <w:t>CJ/T 50-2008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ascii="宋体" w:hAnsi="宋体"/>
                <w:szCs w:val="21"/>
              </w:rPr>
              <w:t>2</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hint="eastAsia" w:ascii="宋体" w:hAnsi="宋体"/>
                <w:szCs w:val="21"/>
              </w:rPr>
              <w:t>结构</w:t>
            </w:r>
          </w:p>
        </w:tc>
        <w:tc>
          <w:tcPr>
            <w:tcW w:w="1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szCs w:val="21"/>
              </w:rPr>
            </w:pPr>
            <w:r>
              <w:rPr>
                <w:rFonts w:hint="eastAsia" w:ascii="宋体" w:hAnsi="宋体"/>
                <w:szCs w:val="21"/>
              </w:rPr>
              <w:t>一般要求</w:t>
            </w:r>
          </w:p>
        </w:tc>
        <w:tc>
          <w:tcPr>
            <w:tcW w:w="24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szCs w:val="21"/>
              </w:rPr>
              <w:t>CJ/T 50-2008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ascii="宋体" w:hAnsi="宋体"/>
                <w:szCs w:val="21"/>
              </w:rPr>
              <w:t>3</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184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hAnsi="宋体"/>
              </w:rPr>
              <w:t>感压组件</w:t>
            </w:r>
          </w:p>
        </w:tc>
        <w:tc>
          <w:tcPr>
            <w:tcW w:w="24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szCs w:val="21"/>
              </w:rPr>
              <w:t>CJ/T 50-2008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ascii="宋体" w:hAnsi="宋体"/>
                <w:szCs w:val="21"/>
              </w:rPr>
              <w:t>4</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184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hAnsi="宋体"/>
              </w:rPr>
              <w:t>调压组件</w:t>
            </w:r>
          </w:p>
        </w:tc>
        <w:tc>
          <w:tcPr>
            <w:tcW w:w="24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szCs w:val="21"/>
              </w:rPr>
              <w:t>CJ/T 50-2008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ascii="宋体" w:hAnsi="宋体"/>
                <w:szCs w:val="21"/>
              </w:rPr>
              <w:t>5</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184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hAnsi="宋体"/>
              </w:rPr>
              <w:t>承压组件</w:t>
            </w:r>
          </w:p>
        </w:tc>
        <w:tc>
          <w:tcPr>
            <w:tcW w:w="24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szCs w:val="21"/>
              </w:rPr>
              <w:t>CJ/T 50-2008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ascii="宋体" w:hAnsi="宋体"/>
                <w:szCs w:val="21"/>
              </w:rPr>
              <w:t>6</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184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hAnsi="宋体"/>
              </w:rPr>
              <w:t>接头组件</w:t>
            </w:r>
          </w:p>
        </w:tc>
        <w:tc>
          <w:tcPr>
            <w:tcW w:w="24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szCs w:val="21"/>
              </w:rPr>
              <w:t>CJ/T 50-2008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ascii="宋体" w:hAnsi="宋体"/>
                <w:szCs w:val="21"/>
              </w:rPr>
              <w:t>7</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hAnsi="宋体"/>
              </w:rPr>
              <w:t>气密性</w:t>
            </w:r>
          </w:p>
        </w:tc>
        <w:tc>
          <w:tcPr>
            <w:tcW w:w="184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rPr>
              <w:t>调压器气密性</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szCs w:val="21"/>
              </w:rPr>
            </w:pPr>
            <w:r>
              <w:rPr>
                <w:szCs w:val="21"/>
              </w:rPr>
              <w:t>CJ/T 50-2008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9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Courier New"/>
                <w:szCs w:val="21"/>
              </w:rPr>
            </w:pPr>
          </w:p>
        </w:tc>
        <w:tc>
          <w:tcPr>
            <w:tcW w:w="1840"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rPr>
              <w:t>手动关闭机构气密性</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szCs w:val="21"/>
              </w:rPr>
            </w:pPr>
            <w:r>
              <w:rPr>
                <w:szCs w:val="21"/>
              </w:rPr>
              <w:t>CJ/T 50-2008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szCs w:val="21"/>
              </w:rPr>
            </w:pPr>
            <w:r>
              <w:rPr>
                <w:rFonts w:ascii="宋体" w:hAnsi="宋体"/>
                <w:szCs w:val="21"/>
              </w:rPr>
              <w:t>8</w:t>
            </w:r>
          </w:p>
        </w:tc>
        <w:tc>
          <w:tcPr>
            <w:tcW w:w="2832" w:type="dxa"/>
            <w:gridSpan w:val="2"/>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hAnsi="宋体"/>
              </w:rPr>
              <w:t>关闭压力</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szCs w:val="21"/>
              </w:rPr>
            </w:pPr>
            <w:r>
              <w:rPr>
                <w:szCs w:val="21"/>
              </w:rPr>
              <w:t>CJ/T 50-2008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9</w:t>
            </w:r>
          </w:p>
        </w:tc>
        <w:tc>
          <w:tcPr>
            <w:tcW w:w="2832" w:type="dxa"/>
            <w:gridSpan w:val="2"/>
            <w:tcBorders>
              <w:top w:val="single" w:color="auto" w:sz="4" w:space="0"/>
              <w:left w:val="single" w:color="auto" w:sz="4" w:space="0"/>
              <w:bottom w:val="single" w:color="auto" w:sz="4" w:space="0"/>
              <w:right w:val="single" w:color="auto" w:sz="4" w:space="0"/>
            </w:tcBorders>
            <w:vAlign w:val="center"/>
          </w:tcPr>
          <w:p>
            <w:pPr>
              <w:pStyle w:val="2"/>
              <w:adjustRightInd w:val="0"/>
              <w:snapToGrid w:val="0"/>
              <w:jc w:val="left"/>
              <w:rPr>
                <w:rFonts w:hint="eastAsia" w:hAnsi="宋体"/>
              </w:rPr>
            </w:pPr>
            <w:r>
              <w:rPr>
                <w:rFonts w:hint="eastAsia" w:hAnsi="宋体"/>
              </w:rPr>
              <w:t>出口压力</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szCs w:val="21"/>
              </w:rPr>
            </w:pPr>
            <w:r>
              <w:rPr>
                <w:szCs w:val="21"/>
              </w:rPr>
              <w:t>CJ/T 50-2008</w:t>
            </w:r>
          </w:p>
        </w:tc>
      </w:tr>
    </w:tbl>
    <w:p>
      <w:pPr>
        <w:pStyle w:val="2"/>
        <w:adjustRightInd w:val="0"/>
        <w:snapToGrid w:val="0"/>
        <w:spacing w:line="264" w:lineRule="auto"/>
        <w:jc w:val="center"/>
      </w:pPr>
    </w:p>
    <w:p>
      <w:pPr>
        <w:adjustRightInd w:val="0"/>
        <w:snapToGrid w:val="0"/>
        <w:spacing w:line="440" w:lineRule="exact"/>
        <w:ind w:firstLine="420" w:firstLineChars="200"/>
        <w:rPr>
          <w:rFonts w:ascii="宋体" w:hAnsi="宋体"/>
          <w:color w:val="000000"/>
          <w:szCs w:val="21"/>
        </w:rPr>
      </w:pPr>
      <w:r>
        <w:rPr>
          <w:rFonts w:hint="eastAsia" w:ascii="宋体" w:hAnsi="宋体"/>
          <w:color w:val="000000"/>
          <w:szCs w:val="21"/>
        </w:rPr>
        <w:t>执行企业标准、团体标准、地方标准的产品，检验项目参照上述内容执行。</w:t>
      </w:r>
    </w:p>
    <w:p>
      <w:pPr>
        <w:adjustRightInd w:val="0"/>
        <w:snapToGrid w:val="0"/>
        <w:spacing w:line="440" w:lineRule="exact"/>
        <w:ind w:firstLine="420" w:firstLineChars="200"/>
        <w:rPr>
          <w:rFonts w:ascii="宋体" w:hAnsi="宋体"/>
          <w:szCs w:val="21"/>
        </w:rPr>
      </w:pPr>
      <w:r>
        <w:rPr>
          <w:rFonts w:hint="eastAsia" w:ascii="宋体" w:hAnsi="宋体"/>
          <w:szCs w:val="21"/>
        </w:rPr>
        <w:t>凡是注日期的文件，其随后所有的修改单（不包括勘误的内容）或修订版不适用于本细则。凡是不注日期的文件，其最新版本适用于本细则。</w:t>
      </w:r>
    </w:p>
    <w:p>
      <w:pPr>
        <w:snapToGrid w:val="0"/>
        <w:spacing w:line="440" w:lineRule="exact"/>
        <w:ind w:firstLine="359" w:firstLineChars="171"/>
        <w:rPr>
          <w:color w:val="000000"/>
          <w:szCs w:val="21"/>
        </w:rPr>
      </w:pPr>
      <w:r>
        <w:rPr>
          <w:rFonts w:hint="eastAsia"/>
          <w:color w:val="000000"/>
          <w:szCs w:val="21"/>
        </w:rPr>
        <w:t>复检时所检测的样品为备用样品。</w:t>
      </w:r>
    </w:p>
    <w:p>
      <w:pPr>
        <w:adjustRightInd w:val="0"/>
        <w:snapToGrid w:val="0"/>
        <w:spacing w:line="440" w:lineRule="exact"/>
        <w:ind w:firstLine="420" w:firstLineChars="200"/>
        <w:rPr>
          <w:rFonts w:ascii="宋体" w:hAnsi="宋体"/>
          <w:szCs w:val="21"/>
        </w:rPr>
      </w:pPr>
    </w:p>
    <w:p>
      <w:pPr>
        <w:snapToGrid w:val="0"/>
        <w:spacing w:line="360" w:lineRule="auto"/>
        <w:rPr>
          <w:rFonts w:ascii="黑体" w:hAnsi="黑体" w:eastAsia="黑体"/>
          <w:b w:val="0"/>
          <w:bCs/>
          <w:szCs w:val="21"/>
        </w:rPr>
      </w:pPr>
      <w:r>
        <w:rPr>
          <w:rFonts w:hint="eastAsia" w:ascii="黑体" w:hAnsi="黑体" w:eastAsia="黑体"/>
          <w:b w:val="0"/>
          <w:bCs/>
          <w:szCs w:val="21"/>
          <w:lang w:val="en-US" w:eastAsia="zh-CN"/>
        </w:rPr>
        <w:t xml:space="preserve">3 </w:t>
      </w:r>
      <w:r>
        <w:rPr>
          <w:rFonts w:ascii="黑体" w:hAnsi="黑体" w:eastAsia="黑体"/>
          <w:b w:val="0"/>
          <w:bCs/>
          <w:szCs w:val="21"/>
        </w:rPr>
        <w:t>判定规则</w:t>
      </w:r>
    </w:p>
    <w:p>
      <w:pPr>
        <w:snapToGrid w:val="0"/>
        <w:spacing w:line="360" w:lineRule="auto"/>
        <w:rPr>
          <w:rStyle w:val="8"/>
          <w:color w:val="000000"/>
          <w:szCs w:val="21"/>
        </w:rPr>
      </w:pPr>
      <w:r>
        <w:rPr>
          <w:rStyle w:val="8"/>
          <w:color w:val="000000"/>
          <w:szCs w:val="21"/>
        </w:rPr>
        <w:t>3.1依据标准</w:t>
      </w:r>
    </w:p>
    <w:p>
      <w:pPr>
        <w:spacing w:line="580" w:lineRule="exact"/>
        <w:ind w:firstLine="420" w:firstLineChars="200"/>
        <w:rPr>
          <w:color w:val="000000"/>
          <w:szCs w:val="21"/>
        </w:rPr>
      </w:pPr>
      <w:r>
        <w:rPr>
          <w:rFonts w:hint="eastAsia"/>
          <w:color w:val="000000"/>
          <w:szCs w:val="21"/>
        </w:rPr>
        <w:t>GB 35844-2018《瓶装液化石油气调压器》</w:t>
      </w:r>
    </w:p>
    <w:p>
      <w:pPr>
        <w:spacing w:line="580" w:lineRule="exact"/>
        <w:ind w:firstLine="420" w:firstLineChars="200"/>
        <w:rPr>
          <w:color w:val="000000"/>
          <w:szCs w:val="21"/>
        </w:rPr>
      </w:pPr>
      <w:r>
        <w:rPr>
          <w:rFonts w:hint="eastAsia"/>
          <w:color w:val="000000"/>
          <w:szCs w:val="21"/>
        </w:rPr>
        <w:t>CJ/T 50-2008《瓶装液化石油气调压器》</w:t>
      </w:r>
    </w:p>
    <w:p>
      <w:pPr>
        <w:autoSpaceDE w:val="0"/>
        <w:autoSpaceDN w:val="0"/>
        <w:snapToGrid w:val="0"/>
        <w:spacing w:line="440" w:lineRule="exact"/>
        <w:ind w:firstLine="420" w:firstLineChars="200"/>
        <w:jc w:val="left"/>
        <w:rPr>
          <w:rFonts w:ascii="宋体" w:hAnsi="宋体"/>
          <w:szCs w:val="21"/>
        </w:rPr>
      </w:pPr>
      <w:r>
        <w:rPr>
          <w:rFonts w:hint="eastAsia"/>
          <w:color w:val="000000"/>
        </w:rPr>
        <w:t>产品明示质量指标及国家法律、法规、规章的有关规定</w:t>
      </w:r>
    </w:p>
    <w:p>
      <w:pPr>
        <w:adjustRightInd w:val="0"/>
        <w:snapToGrid w:val="0"/>
        <w:spacing w:line="440" w:lineRule="exact"/>
        <w:jc w:val="left"/>
        <w:rPr>
          <w:rFonts w:hAnsi="宋体"/>
        </w:rPr>
      </w:pPr>
      <w:r>
        <w:rPr>
          <w:rFonts w:hint="eastAsia" w:hAnsi="宋体"/>
        </w:rPr>
        <w:t>3.2判定原则</w:t>
      </w:r>
    </w:p>
    <w:p>
      <w:pPr>
        <w:adjustRightInd w:val="0"/>
        <w:snapToGrid w:val="0"/>
        <w:spacing w:line="440" w:lineRule="exact"/>
        <w:ind w:firstLine="420" w:firstLineChars="200"/>
        <w:rPr>
          <w:color w:val="000000"/>
          <w:szCs w:val="21"/>
        </w:rPr>
      </w:pPr>
      <w:r>
        <w:rPr>
          <w:rFonts w:hint="eastAsia"/>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bookmarkStart w:id="0" w:name="_GoBack"/>
      <w:bookmarkEnd w:id="0"/>
    </w:p>
    <w:p>
      <w:pPr>
        <w:adjustRightInd w:val="0"/>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pPr>
        <w:pStyle w:val="2"/>
        <w:adjustRightInd w:val="0"/>
        <w:snapToGrid w:val="0"/>
        <w:spacing w:line="440" w:lineRule="exact"/>
        <w:ind w:firstLine="420"/>
        <w:rPr>
          <w:rFonts w:ascii="Times New Roman" w:hAnsi="Times New Roman"/>
          <w:color w:val="000000"/>
        </w:rPr>
      </w:pPr>
      <w:r>
        <w:rPr>
          <w:rFonts w:hint="eastAsia" w:ascii="Times New Roman" w:hAnsi="Times New Roman"/>
          <w:color w:val="000000"/>
        </w:rPr>
        <w:t>经检验，检验项目中任一项或一项以上不合格，判定被抽查产品为“不合格”。</w:t>
      </w:r>
    </w:p>
    <w:p>
      <w:pPr>
        <w:pStyle w:val="2"/>
        <w:adjustRightInd w:val="0"/>
        <w:snapToGrid w:val="0"/>
        <w:spacing w:line="440" w:lineRule="exact"/>
        <w:ind w:firstLine="420"/>
        <w:rPr>
          <w:rFonts w:ascii="Times New Roman" w:hAnsi="Times New Roman"/>
          <w:color w:val="000000"/>
        </w:rPr>
      </w:pPr>
      <w:r>
        <w:rPr>
          <w:rFonts w:hint="eastAsia" w:ascii="Times New Roman" w:hAnsi="Times New Roman"/>
          <w:color w:val="000000"/>
        </w:rPr>
        <w:t>检验项目全部符合明示质量要求，但不符合本细则检验项目依据的推荐性标准，判定被抽查产品为“所检项目符合明示质量要求，未达到××标准规定”。（注：××为具体标准名称）</w:t>
      </w:r>
    </w:p>
    <w:p>
      <w:pPr>
        <w:pStyle w:val="2"/>
        <w:adjustRightInd w:val="0"/>
        <w:snapToGrid w:val="0"/>
        <w:spacing w:line="440" w:lineRule="exact"/>
        <w:ind w:firstLine="420"/>
        <w:rPr>
          <w:rStyle w:val="8"/>
          <w:rFonts w:ascii="Times New Roman" w:hAnsi="Times New Roman"/>
          <w:color w:val="000000"/>
        </w:rPr>
      </w:pPr>
      <w:r>
        <w:rPr>
          <w:rFonts w:hint="eastAsia" w:ascii="Times New Roman" w:hAnsi="Times New Roman"/>
          <w:color w:val="000000"/>
        </w:rPr>
        <w:t>检验项目全部符合明示质量要求，且符合本细则检验项目依据的推荐性标准，判定被抽查产品为“所检项目符合本次监督抽查要求”。</w:t>
      </w:r>
    </w:p>
    <w:sectPr>
      <w:headerReference r:id="rId3" w:type="default"/>
      <w:footerReference r:id="rId4"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Style w:val="8"/>
        <w:sz w:val="21"/>
        <w:szCs w:val="21"/>
      </w:rPr>
    </w:pPr>
  </w:p>
  <w:p>
    <w:pPr>
      <w:pStyle w:val="19"/>
      <w:ind w:right="360"/>
      <w:rPr>
        <w:rStyle w:val="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Style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ODAzZjVmOTJmMTQ2Y2IwNDdlNmVjOTI4OGYyZTk2NDYifQ=="/>
  </w:docVars>
  <w:rsids>
    <w:rsidRoot w:val="00DD7BDD"/>
    <w:rsid w:val="00020A18"/>
    <w:rsid w:val="00107879"/>
    <w:rsid w:val="001327D7"/>
    <w:rsid w:val="001558AA"/>
    <w:rsid w:val="001904DF"/>
    <w:rsid w:val="00267060"/>
    <w:rsid w:val="002D2055"/>
    <w:rsid w:val="00385DF1"/>
    <w:rsid w:val="003C70FD"/>
    <w:rsid w:val="003D2BB5"/>
    <w:rsid w:val="003E55B5"/>
    <w:rsid w:val="00406BC3"/>
    <w:rsid w:val="00420053"/>
    <w:rsid w:val="004E6FAB"/>
    <w:rsid w:val="0059692D"/>
    <w:rsid w:val="005B29F1"/>
    <w:rsid w:val="00635ED1"/>
    <w:rsid w:val="006F3078"/>
    <w:rsid w:val="0080493A"/>
    <w:rsid w:val="00935489"/>
    <w:rsid w:val="00947C25"/>
    <w:rsid w:val="009E2ACA"/>
    <w:rsid w:val="00A068B9"/>
    <w:rsid w:val="00AF38E5"/>
    <w:rsid w:val="00B009E6"/>
    <w:rsid w:val="00B27EAC"/>
    <w:rsid w:val="00B54C4B"/>
    <w:rsid w:val="00C51375"/>
    <w:rsid w:val="00CC4233"/>
    <w:rsid w:val="00CE1C6D"/>
    <w:rsid w:val="00CF6334"/>
    <w:rsid w:val="00D75445"/>
    <w:rsid w:val="00DB7271"/>
    <w:rsid w:val="00DD7BDD"/>
    <w:rsid w:val="00E436F0"/>
    <w:rsid w:val="00EB5496"/>
    <w:rsid w:val="3218641B"/>
    <w:rsid w:val="4A2C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34"/>
    <w:qFormat/>
    <w:uiPriority w:val="0"/>
    <w:pPr>
      <w:widowControl w:val="0"/>
      <w:textAlignment w:val="auto"/>
    </w:pPr>
    <w:rPr>
      <w:rFonts w:ascii="宋体" w:hAnsi="Courier New"/>
      <w:szCs w:val="21"/>
    </w:rPr>
  </w:style>
  <w:style w:type="paragraph" w:styleId="3">
    <w:name w:val="footer"/>
    <w:basedOn w:val="1"/>
    <w:link w:val="32"/>
    <w:semiHidden/>
    <w:unhideWhenUsed/>
    <w:uiPriority w:val="99"/>
    <w:pPr>
      <w:tabs>
        <w:tab w:val="center" w:pos="4153"/>
        <w:tab w:val="right" w:pos="8306"/>
      </w:tabs>
      <w:snapToGrid w:val="0"/>
      <w:jc w:val="left"/>
    </w:pPr>
    <w:rPr>
      <w:sz w:val="18"/>
      <w:szCs w:val="18"/>
    </w:rPr>
  </w:style>
  <w:style w:type="paragraph" w:styleId="4">
    <w:name w:val="header"/>
    <w:basedOn w:val="1"/>
    <w:link w:val="31"/>
    <w:autoRedefine/>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0000FF"/>
      <w:u w:val="single"/>
    </w:rPr>
  </w:style>
  <w:style w:type="character" w:customStyle="1" w:styleId="8">
    <w:name w:val="NormalCharacter"/>
    <w:semiHidden/>
    <w:uiPriority w:val="0"/>
  </w:style>
  <w:style w:type="table" w:customStyle="1" w:styleId="9">
    <w:name w:val="TableNormal"/>
    <w:semiHidden/>
    <w:uiPriority w:val="0"/>
    <w:tblPr>
      <w:tblCellMar>
        <w:top w:w="0" w:type="dxa"/>
        <w:left w:w="0" w:type="dxa"/>
        <w:bottom w:w="0" w:type="dxa"/>
        <w:right w:w="0" w:type="dxa"/>
      </w:tblCellMar>
    </w:tblPr>
  </w:style>
  <w:style w:type="paragraph" w:customStyle="1" w:styleId="10">
    <w:name w:val="AnnotationText"/>
    <w:basedOn w:val="1"/>
    <w:link w:val="11"/>
    <w:uiPriority w:val="0"/>
    <w:pPr>
      <w:jc w:val="left"/>
    </w:pPr>
  </w:style>
  <w:style w:type="character" w:customStyle="1" w:styleId="11">
    <w:name w:val="UserStyle_0"/>
    <w:link w:val="10"/>
    <w:uiPriority w:val="0"/>
    <w:rPr>
      <w:kern w:val="2"/>
      <w:sz w:val="21"/>
      <w:szCs w:val="22"/>
    </w:rPr>
  </w:style>
  <w:style w:type="paragraph" w:customStyle="1" w:styleId="12">
    <w:name w:val="BodyText"/>
    <w:basedOn w:val="1"/>
    <w:link w:val="13"/>
    <w:uiPriority w:val="0"/>
    <w:pPr>
      <w:spacing w:after="120"/>
    </w:pPr>
  </w:style>
  <w:style w:type="character" w:customStyle="1" w:styleId="13">
    <w:name w:val="UserStyle_1"/>
    <w:link w:val="12"/>
    <w:uiPriority w:val="0"/>
    <w:rPr>
      <w:kern w:val="2"/>
      <w:sz w:val="21"/>
      <w:szCs w:val="22"/>
    </w:rPr>
  </w:style>
  <w:style w:type="paragraph" w:customStyle="1" w:styleId="14">
    <w:name w:val="BodyTextIndent"/>
    <w:basedOn w:val="1"/>
    <w:uiPriority w:val="0"/>
    <w:pPr>
      <w:ind w:firstLine="600" w:firstLineChars="200"/>
    </w:pPr>
    <w:rPr>
      <w:rFonts w:eastAsia="仿宋_GB2312"/>
      <w:sz w:val="30"/>
      <w:szCs w:val="24"/>
    </w:rPr>
  </w:style>
  <w:style w:type="paragraph" w:customStyle="1" w:styleId="15">
    <w:name w:val="PlainText"/>
    <w:basedOn w:val="1"/>
    <w:link w:val="16"/>
    <w:uiPriority w:val="0"/>
    <w:rPr>
      <w:rFonts w:ascii="宋体" w:hAnsi="Courier New"/>
      <w:szCs w:val="21"/>
    </w:rPr>
  </w:style>
  <w:style w:type="character" w:customStyle="1" w:styleId="16">
    <w:name w:val="UserStyle_2"/>
    <w:link w:val="15"/>
    <w:uiPriority w:val="0"/>
    <w:rPr>
      <w:rFonts w:ascii="宋体" w:hAnsi="Courier New"/>
      <w:kern w:val="2"/>
      <w:sz w:val="21"/>
      <w:szCs w:val="21"/>
    </w:rPr>
  </w:style>
  <w:style w:type="paragraph" w:customStyle="1" w:styleId="17">
    <w:name w:val="Acetate"/>
    <w:basedOn w:val="1"/>
    <w:link w:val="18"/>
    <w:uiPriority w:val="0"/>
    <w:rPr>
      <w:sz w:val="18"/>
      <w:szCs w:val="18"/>
    </w:rPr>
  </w:style>
  <w:style w:type="character" w:customStyle="1" w:styleId="18">
    <w:name w:val="UserStyle_3"/>
    <w:link w:val="17"/>
    <w:uiPriority w:val="0"/>
    <w:rPr>
      <w:kern w:val="2"/>
      <w:sz w:val="18"/>
      <w:szCs w:val="18"/>
    </w:rPr>
  </w:style>
  <w:style w:type="paragraph" w:customStyle="1" w:styleId="19">
    <w:name w:val="页脚1"/>
    <w:basedOn w:val="1"/>
    <w:uiPriority w:val="0"/>
    <w:pPr>
      <w:tabs>
        <w:tab w:val="center" w:pos="4153"/>
        <w:tab w:val="right" w:pos="8306"/>
      </w:tabs>
      <w:snapToGrid w:val="0"/>
      <w:jc w:val="left"/>
    </w:pPr>
    <w:rPr>
      <w:sz w:val="18"/>
      <w:szCs w:val="18"/>
    </w:rPr>
  </w:style>
  <w:style w:type="paragraph" w:customStyle="1" w:styleId="20">
    <w:name w:val="页眉1"/>
    <w:basedOn w:val="1"/>
    <w:uiPriority w:val="0"/>
    <w:pPr>
      <w:pBdr>
        <w:bottom w:val="single" w:color="000000" w:sz="6" w:space="1"/>
      </w:pBdr>
      <w:tabs>
        <w:tab w:val="center" w:pos="4153"/>
        <w:tab w:val="right" w:pos="8306"/>
      </w:tabs>
      <w:snapToGrid w:val="0"/>
      <w:jc w:val="center"/>
    </w:pPr>
    <w:rPr>
      <w:sz w:val="18"/>
      <w:szCs w:val="18"/>
    </w:rPr>
  </w:style>
  <w:style w:type="paragraph" w:customStyle="1" w:styleId="21">
    <w:name w:val="AnnotationSubject"/>
    <w:basedOn w:val="10"/>
    <w:next w:val="10"/>
    <w:link w:val="22"/>
    <w:uiPriority w:val="0"/>
    <w:rPr>
      <w:b/>
      <w:bCs/>
    </w:rPr>
  </w:style>
  <w:style w:type="character" w:customStyle="1" w:styleId="22">
    <w:name w:val="UserStyle_4"/>
    <w:link w:val="21"/>
    <w:uiPriority w:val="0"/>
  </w:style>
  <w:style w:type="table" w:customStyle="1" w:styleId="23">
    <w:name w:val="TableGrid"/>
    <w:basedOn w:val="9"/>
    <w:uiPriority w:val="0"/>
    <w:tblPr>
      <w:tblCellMar>
        <w:top w:w="0" w:type="dxa"/>
        <w:left w:w="0" w:type="dxa"/>
        <w:bottom w:w="0" w:type="dxa"/>
        <w:right w:w="0" w:type="dxa"/>
      </w:tblCellMar>
    </w:tblPr>
  </w:style>
  <w:style w:type="character" w:customStyle="1" w:styleId="24">
    <w:name w:val="AnnotationReference"/>
    <w:uiPriority w:val="0"/>
    <w:rPr>
      <w:sz w:val="21"/>
      <w:szCs w:val="21"/>
    </w:rPr>
  </w:style>
  <w:style w:type="character" w:customStyle="1" w:styleId="25">
    <w:name w:val="UserStyle_5"/>
    <w:uiPriority w:val="0"/>
    <w:rPr>
      <w:rFonts w:ascii="黑体" w:hAnsi="宋体" w:eastAsia="黑体"/>
      <w:color w:val="000000"/>
      <w:sz w:val="32"/>
      <w:szCs w:val="32"/>
    </w:rPr>
  </w:style>
  <w:style w:type="paragraph" w:customStyle="1" w:styleId="26">
    <w:name w:val="UserStyle_6"/>
    <w:basedOn w:val="1"/>
    <w:uiPriority w:val="0"/>
    <w:pPr>
      <w:ind w:firstLine="420" w:firstLineChars="200"/>
    </w:pPr>
  </w:style>
  <w:style w:type="paragraph" w:customStyle="1" w:styleId="27">
    <w:name w:val="179"/>
    <w:basedOn w:val="1"/>
    <w:uiPriority w:val="0"/>
    <w:pPr>
      <w:ind w:firstLine="420" w:firstLineChars="200"/>
    </w:pPr>
  </w:style>
  <w:style w:type="paragraph" w:customStyle="1" w:styleId="28">
    <w:name w:val="UserStyle_7"/>
    <w:uiPriority w:val="0"/>
    <w:pPr>
      <w:textAlignment w:val="baseline"/>
    </w:pPr>
    <w:rPr>
      <w:rFonts w:ascii="仿宋" w:hAnsi="Times New Roman" w:eastAsia="仿宋" w:cs="Times New Roman"/>
      <w:color w:val="000000"/>
      <w:sz w:val="24"/>
      <w:szCs w:val="24"/>
      <w:lang w:val="en-US" w:eastAsia="zh-CN" w:bidi="ar-SA"/>
    </w:rPr>
  </w:style>
  <w:style w:type="character" w:customStyle="1" w:styleId="29">
    <w:name w:val="UserStyle_8"/>
    <w:uiPriority w:val="0"/>
    <w:rPr>
      <w:rFonts w:ascii="宋体" w:hAnsi="Courier New"/>
      <w:kern w:val="2"/>
      <w:sz w:val="21"/>
      <w:szCs w:val="21"/>
    </w:rPr>
  </w:style>
  <w:style w:type="paragraph" w:customStyle="1" w:styleId="30">
    <w:name w:val="UserStyle_9"/>
    <w:basedOn w:val="1"/>
    <w:uiPriority w:val="0"/>
    <w:rPr>
      <w:color w:val="000000"/>
      <w:kern w:val="0"/>
      <w:szCs w:val="21"/>
    </w:rPr>
  </w:style>
  <w:style w:type="character" w:customStyle="1" w:styleId="31">
    <w:name w:val="页眉 Char"/>
    <w:basedOn w:val="6"/>
    <w:link w:val="4"/>
    <w:semiHidden/>
    <w:uiPriority w:val="99"/>
    <w:rPr>
      <w:kern w:val="2"/>
      <w:sz w:val="18"/>
      <w:szCs w:val="18"/>
    </w:rPr>
  </w:style>
  <w:style w:type="character" w:customStyle="1" w:styleId="32">
    <w:name w:val="页脚 Char"/>
    <w:basedOn w:val="6"/>
    <w:link w:val="3"/>
    <w:semiHidden/>
    <w:uiPriority w:val="99"/>
    <w:rPr>
      <w:kern w:val="2"/>
      <w:sz w:val="18"/>
      <w:szCs w:val="18"/>
    </w:rPr>
  </w:style>
  <w:style w:type="character" w:customStyle="1" w:styleId="33">
    <w:name w:val="纯文本 字符"/>
    <w:basedOn w:val="6"/>
    <w:semiHidden/>
    <w:uiPriority w:val="99"/>
    <w:rPr>
      <w:rFonts w:hAnsi="Courier New" w:cs="Courier New" w:asciiTheme="minorEastAsia" w:eastAsiaTheme="minorEastAsia"/>
      <w:kern w:val="2"/>
      <w:sz w:val="21"/>
      <w:szCs w:val="22"/>
    </w:rPr>
  </w:style>
  <w:style w:type="character" w:customStyle="1" w:styleId="34">
    <w:name w:val="纯文本 Char"/>
    <w:link w:val="2"/>
    <w:uiPriority w:val="0"/>
    <w:rPr>
      <w:rFonts w:ascii="宋体" w:hAnsi="Courier New"/>
      <w:kern w:val="2"/>
      <w:sz w:val="21"/>
      <w:szCs w:val="21"/>
    </w:rPr>
  </w:style>
  <w:style w:type="character" w:customStyle="1" w:styleId="35">
    <w:name w:val="纯文本 Char1"/>
    <w:uiPriority w:val="0"/>
    <w:rPr>
      <w:rFonts w:ascii="宋体" w:hAnsi="Courier New" w:cs="Courier New"/>
      <w:kern w:val="2"/>
      <w:sz w:val="21"/>
      <w:szCs w:val="2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240</Words>
  <Characters>1370</Characters>
  <Lines>11</Lines>
  <Paragraphs>3</Paragraphs>
  <TotalTime>42</TotalTime>
  <ScaleCrop>false</ScaleCrop>
  <LinksUpToDate>false</LinksUpToDate>
  <CharactersWithSpaces>1607</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2022-11-14T08:19:00Z</dcterms:created>
  <dc:creator>Administrator</dc:creator>
  <lastModifiedBy>菠萝啵啵</lastModifiedBy>
  <dcterms:modified xsi:type="dcterms:W3CDTF">2024-03-25T05:19:53Z</dcterms:modified>
  <revision>13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9EFB37C81F1241F78A3A4C23C57AE8CB_12</vt:lpwstr>
  </property>
</Properties>
</file>