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方正小标宋简体" w:eastAsia="方正小标宋简体" w:cs="方正仿宋简体"/>
          <w:color w:val="000000"/>
          <w:sz w:val="32"/>
          <w:szCs w:val="32"/>
        </w:rPr>
      </w:pPr>
      <w:r>
        <w:rPr>
          <w:rFonts w:hint="eastAsia" w:eastAsia="方正小标宋简体" w:cs="方正仿宋简体"/>
          <w:color w:val="000000"/>
          <w:sz w:val="32"/>
          <w:szCs w:val="32"/>
        </w:rPr>
        <w:t>2024年德清县建筑用钢构件</w:t>
      </w:r>
      <w:r>
        <w:rPr>
          <w:rFonts w:hint="eastAsia" w:ascii="方正小标宋简体" w:eastAsia="方正小标宋简体" w:cs="方正仿宋简体"/>
          <w:color w:val="000000"/>
          <w:sz w:val="32"/>
          <w:szCs w:val="32"/>
        </w:rPr>
        <w:t>产品</w:t>
      </w:r>
    </w:p>
    <w:p>
      <w:pPr>
        <w:spacing w:line="440" w:lineRule="exact"/>
        <w:jc w:val="center"/>
        <w:rPr>
          <w:rStyle w:val="7"/>
          <w:rFonts w:eastAsia="方正小标宋简体"/>
          <w:color w:val="000000"/>
          <w:sz w:val="32"/>
          <w:szCs w:val="32"/>
        </w:rPr>
      </w:pPr>
      <w:bookmarkStart w:id="0" w:name="_GoBack"/>
      <w:bookmarkEnd w:id="0"/>
      <w:r>
        <w:rPr>
          <w:rFonts w:hint="eastAsia" w:ascii="方正小标宋简体" w:eastAsia="方正小标宋简体" w:cs="方正仿宋简体"/>
          <w:color w:val="000000"/>
          <w:sz w:val="32"/>
          <w:szCs w:val="32"/>
        </w:rPr>
        <w:t>质量监督抽查实施细则</w:t>
      </w:r>
    </w:p>
    <w:p>
      <w:pPr>
        <w:snapToGrid w:val="0"/>
        <w:spacing w:line="594" w:lineRule="exact"/>
        <w:jc w:val="center"/>
        <w:rPr>
          <w:rStyle w:val="7"/>
          <w:rFonts w:eastAsia="方正小标宋简体"/>
          <w:color w:val="000000"/>
          <w:sz w:val="32"/>
          <w:szCs w:val="32"/>
        </w:rPr>
      </w:pPr>
    </w:p>
    <w:p>
      <w:pPr>
        <w:snapToGrid w:val="0"/>
        <w:spacing w:line="440" w:lineRule="exact"/>
        <w:rPr>
          <w:rFonts w:ascii="黑体" w:hAnsi="黑体" w:eastAsia="黑体"/>
          <w:b w:val="0"/>
          <w:bCs/>
          <w:color w:val="000000"/>
          <w:szCs w:val="21"/>
        </w:rPr>
      </w:pPr>
      <w:r>
        <w:rPr>
          <w:rFonts w:hint="eastAsia" w:ascii="黑体" w:hAnsi="黑体" w:eastAsia="黑体"/>
          <w:b w:val="0"/>
          <w:bCs/>
          <w:color w:val="000000"/>
          <w:szCs w:val="21"/>
          <w:lang w:val="en-US" w:eastAsia="zh-CN"/>
        </w:rPr>
        <w:t xml:space="preserve">1 </w:t>
      </w:r>
      <w:r>
        <w:rPr>
          <w:rFonts w:ascii="黑体" w:hAnsi="黑体" w:eastAsia="黑体"/>
          <w:b w:val="0"/>
          <w:bCs/>
          <w:color w:val="000000"/>
          <w:szCs w:val="21"/>
        </w:rPr>
        <w:t>抽样方法</w:t>
      </w:r>
    </w:p>
    <w:p>
      <w:pPr>
        <w:snapToGrid w:val="0"/>
        <w:spacing w:line="440" w:lineRule="exact"/>
        <w:ind w:firstLine="420"/>
        <w:rPr>
          <w:rStyle w:val="7"/>
          <w:szCs w:val="21"/>
        </w:rPr>
      </w:pPr>
      <w:r>
        <w:rPr>
          <w:rStyle w:val="7"/>
          <w:rFonts w:hint="eastAsia"/>
          <w:szCs w:val="21"/>
        </w:rPr>
        <w:t>以随机抽样的方式在被抽样生产者、销售者的待销产品中抽取。</w:t>
      </w:r>
    </w:p>
    <w:p>
      <w:pPr>
        <w:snapToGrid w:val="0"/>
        <w:spacing w:line="440" w:lineRule="exact"/>
        <w:ind w:firstLine="420"/>
        <w:rPr>
          <w:rStyle w:val="7"/>
          <w:szCs w:val="21"/>
        </w:rPr>
      </w:pPr>
      <w:r>
        <w:rPr>
          <w:rStyle w:val="7"/>
          <w:rFonts w:hint="eastAsia"/>
          <w:szCs w:val="21"/>
        </w:rPr>
        <w:t>随机数一般可使用随机数表等方法产生。</w:t>
      </w:r>
    </w:p>
    <w:p>
      <w:pPr>
        <w:snapToGrid w:val="0"/>
        <w:spacing w:line="440" w:lineRule="exact"/>
        <w:ind w:firstLine="420"/>
        <w:rPr>
          <w:rStyle w:val="7"/>
          <w:rFonts w:hint="eastAsia"/>
          <w:szCs w:val="21"/>
        </w:rPr>
      </w:pPr>
      <w:r>
        <w:rPr>
          <w:rStyle w:val="7"/>
          <w:rFonts w:hint="eastAsia"/>
          <w:szCs w:val="21"/>
        </w:rPr>
        <w:t>从同一生产者同一标准生产的同一商标、同一批次（项目、工程）的产品中随机抽取样品3件，同一批次基数≤25件。现场抽样时，被抽样生产者、销售者应提供产品生产时的相关图集或图纸等信息，并在抽样单中注明签章确认。本产品检验项目全部为现场检验项目，检验原始记录应经被抽样生产者、销售者签章确认。现场检验的样品，检验过程未对样品质量造成实质性影响的，由被抽样生产者、销售者无偿提供。</w:t>
      </w:r>
    </w:p>
    <w:p>
      <w:pPr>
        <w:snapToGrid w:val="0"/>
        <w:spacing w:line="440" w:lineRule="exact"/>
        <w:ind w:firstLine="420"/>
        <w:rPr>
          <w:rStyle w:val="7"/>
          <w:rFonts w:hint="eastAsia"/>
          <w:szCs w:val="21"/>
        </w:rPr>
      </w:pPr>
    </w:p>
    <w:p>
      <w:pPr>
        <w:snapToGrid w:val="0"/>
        <w:spacing w:line="440" w:lineRule="exact"/>
        <w:rPr>
          <w:rFonts w:ascii="黑体" w:hAnsi="黑体" w:eastAsia="黑体"/>
          <w:b w:val="0"/>
          <w:bCs/>
          <w:color w:val="000000"/>
          <w:szCs w:val="21"/>
        </w:rPr>
      </w:pPr>
      <w:r>
        <w:rPr>
          <w:rFonts w:hint="eastAsia" w:ascii="黑体" w:hAnsi="黑体" w:eastAsia="黑体"/>
          <w:b w:val="0"/>
          <w:bCs/>
          <w:color w:val="000000"/>
          <w:szCs w:val="21"/>
          <w:lang w:val="en-US" w:eastAsia="zh-CN"/>
        </w:rPr>
        <w:t xml:space="preserve">2 </w:t>
      </w:r>
      <w:r>
        <w:rPr>
          <w:rFonts w:ascii="黑体" w:hAnsi="黑体" w:eastAsia="黑体"/>
          <w:b w:val="0"/>
          <w:bCs/>
          <w:color w:val="000000"/>
          <w:szCs w:val="21"/>
        </w:rPr>
        <w:t>检验依据</w:t>
      </w:r>
    </w:p>
    <w:p>
      <w:pPr>
        <w:widowControl w:val="0"/>
        <w:jc w:val="center"/>
        <w:textAlignment w:val="auto"/>
        <w:rPr>
          <w:rFonts w:eastAsiaTheme="minorEastAsia"/>
          <w:szCs w:val="21"/>
        </w:rPr>
      </w:pPr>
      <w:r>
        <w:rPr>
          <w:rFonts w:eastAsiaTheme="minorEastAsia"/>
          <w:szCs w:val="21"/>
        </w:rPr>
        <w:t>表</w:t>
      </w:r>
      <w:r>
        <w:rPr>
          <w:rFonts w:hint="eastAsia" w:eastAsiaTheme="minorEastAsia"/>
          <w:szCs w:val="21"/>
        </w:rPr>
        <w:t>1建筑用钢构件</w:t>
      </w:r>
    </w:p>
    <w:tbl>
      <w:tblPr>
        <w:tblStyle w:val="4"/>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060"/>
        <w:gridCol w:w="2810"/>
        <w:gridCol w:w="2280"/>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51" w:type="dxa"/>
            <w:vAlign w:val="center"/>
          </w:tcPr>
          <w:p>
            <w:pPr>
              <w:jc w:val="center"/>
              <w:rPr>
                <w:rFonts w:ascii="Calibri" w:hAnsi="Calibri" w:cs="Arial"/>
              </w:rPr>
            </w:pPr>
            <w:r>
              <w:rPr>
                <w:rFonts w:ascii="Calibri" w:hAnsi="Calibri" w:cs="Arial"/>
              </w:rPr>
              <w:t>序号</w:t>
            </w:r>
          </w:p>
        </w:tc>
        <w:tc>
          <w:tcPr>
            <w:tcW w:w="3870" w:type="dxa"/>
            <w:gridSpan w:val="2"/>
            <w:vAlign w:val="center"/>
          </w:tcPr>
          <w:p>
            <w:pPr>
              <w:jc w:val="center"/>
              <w:rPr>
                <w:rFonts w:ascii="Calibri" w:hAnsi="Calibri" w:cs="Arial"/>
              </w:rPr>
            </w:pPr>
            <w:r>
              <w:rPr>
                <w:rFonts w:ascii="Calibri" w:hAnsi="Calibri" w:cs="Arial"/>
              </w:rPr>
              <w:t>检验项目</w:t>
            </w:r>
          </w:p>
        </w:tc>
        <w:tc>
          <w:tcPr>
            <w:tcW w:w="2280" w:type="dxa"/>
            <w:vAlign w:val="center"/>
          </w:tcPr>
          <w:p>
            <w:pPr>
              <w:jc w:val="center"/>
              <w:rPr>
                <w:rFonts w:ascii="Calibri" w:hAnsi="Calibri" w:cs="Arial"/>
              </w:rPr>
            </w:pPr>
            <w:r>
              <w:rPr>
                <w:rFonts w:ascii="Calibri" w:hAnsi="Calibri" w:cs="Arial"/>
              </w:rPr>
              <w:t>检验方法</w:t>
            </w:r>
          </w:p>
        </w:tc>
        <w:tc>
          <w:tcPr>
            <w:tcW w:w="1641" w:type="dxa"/>
            <w:vAlign w:val="center"/>
          </w:tcPr>
          <w:p>
            <w:pPr>
              <w:jc w:val="center"/>
              <w:rPr>
                <w:rFonts w:ascii="Calibri" w:hAnsi="Calibri" w:cs="Arial"/>
              </w:rPr>
            </w:pPr>
            <w:r>
              <w:rPr>
                <w:rFonts w:hint="eastAsia" w:ascii="Calibri" w:hAnsi="Calibri" w:cs="Aria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851" w:type="dxa"/>
            <w:vAlign w:val="center"/>
          </w:tcPr>
          <w:p>
            <w:pPr>
              <w:jc w:val="center"/>
              <w:rPr>
                <w:rFonts w:ascii="Calibri" w:hAnsi="Calibri" w:cs="Arial"/>
              </w:rPr>
            </w:pPr>
            <w:r>
              <w:rPr>
                <w:rFonts w:ascii="Calibri" w:hAnsi="Calibri" w:cs="Arial"/>
              </w:rPr>
              <w:t>1</w:t>
            </w:r>
          </w:p>
        </w:tc>
        <w:tc>
          <w:tcPr>
            <w:tcW w:w="3870" w:type="dxa"/>
            <w:gridSpan w:val="2"/>
            <w:vAlign w:val="center"/>
          </w:tcPr>
          <w:p>
            <w:pPr>
              <w:jc w:val="center"/>
              <w:rPr>
                <w:rFonts w:ascii="Calibri" w:hAnsi="Calibri" w:cs="Arial"/>
              </w:rPr>
            </w:pPr>
            <w:r>
              <w:rPr>
                <w:rFonts w:hint="eastAsia" w:ascii="Calibri" w:hAnsi="Calibri" w:cs="Arial"/>
              </w:rPr>
              <w:t>外形尺寸</w:t>
            </w:r>
          </w:p>
        </w:tc>
        <w:tc>
          <w:tcPr>
            <w:tcW w:w="2280" w:type="dxa"/>
            <w:vAlign w:val="center"/>
          </w:tcPr>
          <w:p>
            <w:pPr>
              <w:jc w:val="center"/>
              <w:rPr>
                <w:rFonts w:ascii="Calibri" w:hAnsi="Calibri" w:cs="Arial"/>
              </w:rPr>
            </w:pPr>
            <w:r>
              <w:rPr>
                <w:rFonts w:hint="eastAsia" w:ascii="Calibri" w:hAnsi="Calibri" w:cs="Arial"/>
              </w:rPr>
              <w:t>GB/T 709-2019</w:t>
            </w:r>
          </w:p>
          <w:p>
            <w:pPr>
              <w:jc w:val="center"/>
              <w:rPr>
                <w:rFonts w:ascii="Calibri" w:hAnsi="Calibri" w:cs="Arial"/>
              </w:rPr>
            </w:pPr>
            <w:r>
              <w:rPr>
                <w:rFonts w:hint="eastAsia" w:ascii="Calibri" w:hAnsi="Calibri" w:cs="Arial"/>
              </w:rPr>
              <w:t xml:space="preserve">  GB/T 50621-2010</w:t>
            </w:r>
          </w:p>
          <w:p>
            <w:pPr>
              <w:jc w:val="center"/>
              <w:rPr>
                <w:rFonts w:ascii="Calibri" w:hAnsi="Calibri" w:cs="Arial"/>
              </w:rPr>
            </w:pPr>
            <w:r>
              <w:rPr>
                <w:rFonts w:hint="eastAsia" w:ascii="Calibri" w:hAnsi="Calibri" w:cs="Arial"/>
              </w:rPr>
              <w:t>JG/T 144-2016</w:t>
            </w:r>
          </w:p>
          <w:p>
            <w:pPr>
              <w:jc w:val="center"/>
              <w:rPr>
                <w:rFonts w:hint="eastAsia" w:ascii="Calibri" w:hAnsi="Calibri" w:cs="Arial"/>
              </w:rPr>
            </w:pPr>
            <w:r>
              <w:rPr>
                <w:rFonts w:hint="eastAsia" w:ascii="Calibri" w:hAnsi="Calibri" w:cs="Arial"/>
              </w:rPr>
              <w:t xml:space="preserve">  GB/T 11344-2021</w:t>
            </w:r>
          </w:p>
          <w:p>
            <w:pPr>
              <w:jc w:val="center"/>
              <w:rPr>
                <w:rFonts w:ascii="Calibri" w:hAnsi="Calibri" w:cs="Arial"/>
              </w:rPr>
            </w:pPr>
            <w:r>
              <w:rPr>
                <w:rFonts w:ascii="Calibri" w:hAnsi="Calibri" w:cs="Arial"/>
              </w:rPr>
              <w:t>GB 50205-2020</w:t>
            </w:r>
          </w:p>
        </w:tc>
        <w:tc>
          <w:tcPr>
            <w:tcW w:w="1641" w:type="dxa"/>
            <w:vAlign w:val="center"/>
          </w:tcPr>
          <w:p>
            <w:pPr>
              <w:jc w:val="center"/>
              <w:rPr>
                <w:rFonts w:ascii="Calibri" w:hAnsi="Calibri"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51" w:type="dxa"/>
            <w:vAlign w:val="center"/>
          </w:tcPr>
          <w:p>
            <w:pPr>
              <w:jc w:val="center"/>
              <w:rPr>
                <w:rFonts w:ascii="Calibri" w:hAnsi="Calibri" w:cs="Arial"/>
              </w:rPr>
            </w:pPr>
            <w:r>
              <w:rPr>
                <w:rFonts w:ascii="Calibri" w:hAnsi="Calibri" w:cs="Arial"/>
              </w:rPr>
              <w:t>2</w:t>
            </w:r>
          </w:p>
        </w:tc>
        <w:tc>
          <w:tcPr>
            <w:tcW w:w="3870" w:type="dxa"/>
            <w:gridSpan w:val="2"/>
            <w:vAlign w:val="center"/>
          </w:tcPr>
          <w:p>
            <w:pPr>
              <w:jc w:val="center"/>
              <w:rPr>
                <w:rFonts w:ascii="Calibri" w:hAnsi="Calibri" w:cs="Arial"/>
              </w:rPr>
            </w:pPr>
            <w:r>
              <w:rPr>
                <w:rFonts w:hint="eastAsia" w:ascii="Calibri" w:hAnsi="Calibri" w:cs="Arial"/>
              </w:rPr>
              <w:t>防腐层厚度</w:t>
            </w:r>
          </w:p>
        </w:tc>
        <w:tc>
          <w:tcPr>
            <w:tcW w:w="2280" w:type="dxa"/>
            <w:vAlign w:val="center"/>
          </w:tcPr>
          <w:p>
            <w:pPr>
              <w:ind w:firstLine="210" w:firstLineChars="100"/>
              <w:rPr>
                <w:rFonts w:ascii="Calibri" w:hAnsi="Calibri" w:cs="Arial"/>
              </w:rPr>
            </w:pPr>
            <w:r>
              <w:rPr>
                <w:rFonts w:hint="eastAsia" w:ascii="Calibri" w:hAnsi="Calibri" w:cs="Arial"/>
              </w:rPr>
              <w:t>GB/T 4956-2003</w:t>
            </w:r>
          </w:p>
          <w:p>
            <w:pPr>
              <w:jc w:val="center"/>
              <w:rPr>
                <w:rFonts w:ascii="Calibri" w:hAnsi="Calibri" w:cs="Arial"/>
              </w:rPr>
            </w:pPr>
            <w:r>
              <w:rPr>
                <w:rFonts w:hint="eastAsia" w:ascii="Calibri" w:hAnsi="Calibri" w:cs="Arial"/>
              </w:rPr>
              <w:t>GB/T 50621-2010</w:t>
            </w:r>
          </w:p>
          <w:p>
            <w:pPr>
              <w:ind w:firstLine="210" w:firstLineChars="100"/>
              <w:rPr>
                <w:rFonts w:hint="eastAsia" w:ascii="Calibri" w:hAnsi="Calibri" w:cs="Arial"/>
              </w:rPr>
            </w:pPr>
            <w:r>
              <w:rPr>
                <w:rFonts w:hint="eastAsia" w:ascii="Calibri" w:hAnsi="Calibri" w:cs="Arial"/>
              </w:rPr>
              <w:t>JG/T 144-2016</w:t>
            </w:r>
          </w:p>
          <w:p>
            <w:pPr>
              <w:ind w:firstLine="210" w:firstLineChars="100"/>
              <w:rPr>
                <w:rFonts w:ascii="Calibri" w:hAnsi="Calibri" w:cs="Arial"/>
              </w:rPr>
            </w:pPr>
            <w:r>
              <w:rPr>
                <w:rFonts w:ascii="Calibri" w:hAnsi="Calibri" w:cs="Arial"/>
              </w:rPr>
              <w:t>GB 50205-2020</w:t>
            </w:r>
          </w:p>
        </w:tc>
        <w:tc>
          <w:tcPr>
            <w:tcW w:w="1641" w:type="dxa"/>
            <w:vAlign w:val="center"/>
          </w:tcPr>
          <w:p>
            <w:pPr>
              <w:jc w:val="center"/>
              <w:rPr>
                <w:rFonts w:ascii="Calibri" w:hAnsi="Calibri" w:cs="Arial"/>
              </w:rPr>
            </w:pPr>
            <w:r>
              <w:rPr>
                <w:rFonts w:hint="eastAsia" w:ascii="Calibri" w:hAnsi="Calibri" w:cs="Arial"/>
              </w:rPr>
              <w:t>标准或产品图纸有要求时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Merge w:val="restart"/>
            <w:vAlign w:val="center"/>
          </w:tcPr>
          <w:p>
            <w:pPr>
              <w:jc w:val="center"/>
              <w:rPr>
                <w:rFonts w:ascii="Calibri" w:hAnsi="Calibri" w:cs="Arial"/>
              </w:rPr>
            </w:pPr>
            <w:r>
              <w:rPr>
                <w:rFonts w:ascii="Calibri" w:hAnsi="Calibri" w:cs="Arial"/>
              </w:rPr>
              <w:t>3</w:t>
            </w:r>
          </w:p>
        </w:tc>
        <w:tc>
          <w:tcPr>
            <w:tcW w:w="1060" w:type="dxa"/>
            <w:vMerge w:val="restart"/>
            <w:vAlign w:val="center"/>
          </w:tcPr>
          <w:p>
            <w:pPr>
              <w:jc w:val="center"/>
              <w:rPr>
                <w:rFonts w:ascii="Calibri" w:hAnsi="Calibri" w:cs="Arial"/>
              </w:rPr>
            </w:pPr>
            <w:r>
              <w:rPr>
                <w:rFonts w:hint="eastAsia" w:ascii="Calibri" w:hAnsi="Calibri" w:cs="Arial"/>
              </w:rPr>
              <w:t>焊缝外观质量</w:t>
            </w:r>
          </w:p>
        </w:tc>
        <w:tc>
          <w:tcPr>
            <w:tcW w:w="2810" w:type="dxa"/>
            <w:vAlign w:val="center"/>
          </w:tcPr>
          <w:p>
            <w:pPr>
              <w:jc w:val="center"/>
              <w:rPr>
                <w:rFonts w:ascii="Calibri" w:hAnsi="Calibri" w:cs="Arial"/>
              </w:rPr>
            </w:pPr>
            <w:r>
              <w:rPr>
                <w:rFonts w:hint="eastAsia" w:ascii="Calibri" w:hAnsi="Calibri" w:cs="Arial"/>
              </w:rPr>
              <w:t>裂纹</w:t>
            </w:r>
          </w:p>
        </w:tc>
        <w:tc>
          <w:tcPr>
            <w:tcW w:w="2280" w:type="dxa"/>
            <w:vMerge w:val="restart"/>
            <w:vAlign w:val="center"/>
          </w:tcPr>
          <w:p>
            <w:pPr>
              <w:jc w:val="center"/>
              <w:rPr>
                <w:rFonts w:ascii="Calibri" w:hAnsi="Calibri" w:cs="Arial"/>
              </w:rPr>
            </w:pPr>
            <w:r>
              <w:rPr>
                <w:rFonts w:hint="eastAsia" w:ascii="Calibri" w:hAnsi="Calibri" w:cs="Arial"/>
              </w:rPr>
              <w:t>JG/T 144-2016</w:t>
            </w:r>
          </w:p>
          <w:p>
            <w:pPr>
              <w:jc w:val="center"/>
              <w:rPr>
                <w:rFonts w:hint="eastAsia" w:ascii="Calibri" w:hAnsi="Calibri" w:cs="Arial"/>
              </w:rPr>
            </w:pPr>
            <w:r>
              <w:rPr>
                <w:rFonts w:hint="eastAsia" w:ascii="Calibri" w:hAnsi="Calibri" w:cs="Arial"/>
              </w:rPr>
              <w:t>GB/T50621-2010</w:t>
            </w:r>
          </w:p>
          <w:p>
            <w:pPr>
              <w:jc w:val="center"/>
              <w:rPr>
                <w:rFonts w:ascii="Calibri" w:hAnsi="Calibri" w:cs="Arial"/>
              </w:rPr>
            </w:pPr>
            <w:r>
              <w:rPr>
                <w:rFonts w:ascii="Calibri" w:hAnsi="Calibri" w:cs="Arial"/>
              </w:rPr>
              <w:t>GB 50205-2020</w:t>
            </w:r>
          </w:p>
        </w:tc>
        <w:tc>
          <w:tcPr>
            <w:tcW w:w="1641" w:type="dxa"/>
            <w:vMerge w:val="restart"/>
            <w:vAlign w:val="center"/>
          </w:tcPr>
          <w:p>
            <w:pPr>
              <w:jc w:val="center"/>
              <w:rPr>
                <w:rFonts w:ascii="Calibri" w:hAnsi="Calibri"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Merge w:val="continue"/>
            <w:vAlign w:val="center"/>
          </w:tcPr>
          <w:p>
            <w:pPr>
              <w:jc w:val="center"/>
              <w:rPr>
                <w:rFonts w:ascii="Calibri" w:hAnsi="Calibri" w:cs="Arial"/>
              </w:rPr>
            </w:pPr>
          </w:p>
        </w:tc>
        <w:tc>
          <w:tcPr>
            <w:tcW w:w="1060" w:type="dxa"/>
            <w:vMerge w:val="continue"/>
            <w:vAlign w:val="center"/>
          </w:tcPr>
          <w:p>
            <w:pPr>
              <w:jc w:val="center"/>
              <w:rPr>
                <w:rFonts w:ascii="Calibri" w:hAnsi="Calibri" w:cs="Arial"/>
              </w:rPr>
            </w:pPr>
          </w:p>
        </w:tc>
        <w:tc>
          <w:tcPr>
            <w:tcW w:w="2810" w:type="dxa"/>
            <w:vAlign w:val="center"/>
          </w:tcPr>
          <w:p>
            <w:pPr>
              <w:jc w:val="center"/>
              <w:rPr>
                <w:rFonts w:ascii="Calibri" w:hAnsi="Calibri" w:cs="Arial"/>
              </w:rPr>
            </w:pPr>
            <w:r>
              <w:rPr>
                <w:rFonts w:hint="eastAsia" w:ascii="Calibri" w:hAnsi="Calibri" w:cs="Arial"/>
              </w:rPr>
              <w:t>未焊满</w:t>
            </w:r>
          </w:p>
        </w:tc>
        <w:tc>
          <w:tcPr>
            <w:tcW w:w="2280" w:type="dxa"/>
            <w:vMerge w:val="continue"/>
            <w:vAlign w:val="center"/>
          </w:tcPr>
          <w:p>
            <w:pPr>
              <w:jc w:val="center"/>
              <w:rPr>
                <w:rFonts w:ascii="Calibri" w:hAnsi="Calibri" w:cs="Arial"/>
              </w:rPr>
            </w:pPr>
          </w:p>
        </w:tc>
        <w:tc>
          <w:tcPr>
            <w:tcW w:w="1641" w:type="dxa"/>
            <w:vMerge w:val="continue"/>
            <w:vAlign w:val="center"/>
          </w:tcPr>
          <w:p>
            <w:pPr>
              <w:jc w:val="center"/>
              <w:rPr>
                <w:rFonts w:ascii="Calibri" w:hAnsi="Calibri"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Merge w:val="continue"/>
            <w:vAlign w:val="center"/>
          </w:tcPr>
          <w:p>
            <w:pPr>
              <w:jc w:val="center"/>
              <w:rPr>
                <w:rFonts w:ascii="Calibri" w:hAnsi="Calibri" w:cs="Arial"/>
              </w:rPr>
            </w:pPr>
          </w:p>
        </w:tc>
        <w:tc>
          <w:tcPr>
            <w:tcW w:w="1060" w:type="dxa"/>
            <w:vMerge w:val="continue"/>
            <w:vAlign w:val="center"/>
          </w:tcPr>
          <w:p>
            <w:pPr>
              <w:jc w:val="center"/>
              <w:rPr>
                <w:rFonts w:ascii="Calibri" w:hAnsi="Calibri" w:cs="Arial"/>
              </w:rPr>
            </w:pPr>
          </w:p>
        </w:tc>
        <w:tc>
          <w:tcPr>
            <w:tcW w:w="2810" w:type="dxa"/>
            <w:vAlign w:val="center"/>
          </w:tcPr>
          <w:p>
            <w:pPr>
              <w:jc w:val="center"/>
              <w:rPr>
                <w:rFonts w:ascii="Calibri" w:hAnsi="Calibri" w:cs="Arial"/>
              </w:rPr>
            </w:pPr>
            <w:r>
              <w:rPr>
                <w:rFonts w:hint="eastAsia" w:ascii="Calibri" w:hAnsi="Calibri" w:cs="Arial"/>
              </w:rPr>
              <w:t>根部收缩</w:t>
            </w:r>
          </w:p>
        </w:tc>
        <w:tc>
          <w:tcPr>
            <w:tcW w:w="2280" w:type="dxa"/>
            <w:vMerge w:val="continue"/>
            <w:vAlign w:val="center"/>
          </w:tcPr>
          <w:p>
            <w:pPr>
              <w:jc w:val="center"/>
              <w:rPr>
                <w:rFonts w:ascii="Calibri" w:hAnsi="Calibri" w:cs="Arial"/>
              </w:rPr>
            </w:pPr>
          </w:p>
        </w:tc>
        <w:tc>
          <w:tcPr>
            <w:tcW w:w="1641" w:type="dxa"/>
            <w:vMerge w:val="continue"/>
            <w:vAlign w:val="center"/>
          </w:tcPr>
          <w:p>
            <w:pPr>
              <w:jc w:val="center"/>
              <w:rPr>
                <w:rFonts w:ascii="Calibri" w:hAnsi="Calibri"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Merge w:val="continue"/>
            <w:vAlign w:val="center"/>
          </w:tcPr>
          <w:p>
            <w:pPr>
              <w:jc w:val="center"/>
              <w:rPr>
                <w:rFonts w:ascii="Calibri" w:hAnsi="Calibri" w:cs="Arial"/>
              </w:rPr>
            </w:pPr>
          </w:p>
        </w:tc>
        <w:tc>
          <w:tcPr>
            <w:tcW w:w="1060" w:type="dxa"/>
            <w:vMerge w:val="continue"/>
            <w:vAlign w:val="center"/>
          </w:tcPr>
          <w:p>
            <w:pPr>
              <w:jc w:val="center"/>
              <w:rPr>
                <w:rFonts w:ascii="Calibri" w:hAnsi="Calibri" w:cs="Arial"/>
              </w:rPr>
            </w:pPr>
          </w:p>
        </w:tc>
        <w:tc>
          <w:tcPr>
            <w:tcW w:w="2810" w:type="dxa"/>
            <w:vAlign w:val="center"/>
          </w:tcPr>
          <w:p>
            <w:pPr>
              <w:jc w:val="center"/>
              <w:rPr>
                <w:rFonts w:ascii="Calibri" w:hAnsi="Calibri" w:cs="Arial"/>
              </w:rPr>
            </w:pPr>
            <w:r>
              <w:rPr>
                <w:rFonts w:hint="eastAsia" w:ascii="Calibri" w:hAnsi="Calibri" w:cs="Arial"/>
              </w:rPr>
              <w:t>咬边</w:t>
            </w:r>
          </w:p>
        </w:tc>
        <w:tc>
          <w:tcPr>
            <w:tcW w:w="2280" w:type="dxa"/>
            <w:vMerge w:val="continue"/>
            <w:vAlign w:val="center"/>
          </w:tcPr>
          <w:p>
            <w:pPr>
              <w:jc w:val="center"/>
              <w:rPr>
                <w:rFonts w:ascii="Calibri" w:hAnsi="Calibri" w:cs="Arial"/>
              </w:rPr>
            </w:pPr>
          </w:p>
        </w:tc>
        <w:tc>
          <w:tcPr>
            <w:tcW w:w="1641" w:type="dxa"/>
            <w:vMerge w:val="continue"/>
            <w:vAlign w:val="center"/>
          </w:tcPr>
          <w:p>
            <w:pPr>
              <w:jc w:val="center"/>
              <w:rPr>
                <w:rFonts w:ascii="Calibri" w:hAnsi="Calibri"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Merge w:val="continue"/>
            <w:vAlign w:val="center"/>
          </w:tcPr>
          <w:p>
            <w:pPr>
              <w:jc w:val="center"/>
              <w:rPr>
                <w:rFonts w:ascii="Calibri" w:hAnsi="Calibri" w:cs="Arial"/>
              </w:rPr>
            </w:pPr>
          </w:p>
        </w:tc>
        <w:tc>
          <w:tcPr>
            <w:tcW w:w="1060" w:type="dxa"/>
            <w:vMerge w:val="continue"/>
            <w:vAlign w:val="center"/>
          </w:tcPr>
          <w:p>
            <w:pPr>
              <w:jc w:val="center"/>
              <w:rPr>
                <w:rFonts w:ascii="Calibri" w:hAnsi="Calibri" w:cs="Arial"/>
              </w:rPr>
            </w:pPr>
          </w:p>
        </w:tc>
        <w:tc>
          <w:tcPr>
            <w:tcW w:w="2810" w:type="dxa"/>
            <w:vAlign w:val="center"/>
          </w:tcPr>
          <w:p>
            <w:pPr>
              <w:jc w:val="center"/>
              <w:rPr>
                <w:rFonts w:ascii="Calibri" w:hAnsi="Calibri" w:cs="Arial"/>
              </w:rPr>
            </w:pPr>
            <w:r>
              <w:rPr>
                <w:rFonts w:hint="eastAsia" w:ascii="Calibri" w:hAnsi="Calibri" w:cs="Arial"/>
              </w:rPr>
              <w:t>电弧擦伤</w:t>
            </w:r>
          </w:p>
        </w:tc>
        <w:tc>
          <w:tcPr>
            <w:tcW w:w="2280" w:type="dxa"/>
            <w:vMerge w:val="continue"/>
            <w:vAlign w:val="center"/>
          </w:tcPr>
          <w:p>
            <w:pPr>
              <w:jc w:val="center"/>
              <w:rPr>
                <w:rFonts w:ascii="Calibri" w:hAnsi="Calibri" w:cs="Arial"/>
              </w:rPr>
            </w:pPr>
          </w:p>
        </w:tc>
        <w:tc>
          <w:tcPr>
            <w:tcW w:w="1641" w:type="dxa"/>
            <w:vMerge w:val="continue"/>
            <w:vAlign w:val="center"/>
          </w:tcPr>
          <w:p>
            <w:pPr>
              <w:jc w:val="center"/>
              <w:rPr>
                <w:rFonts w:ascii="Calibri" w:hAnsi="Calibri"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Merge w:val="continue"/>
            <w:vAlign w:val="center"/>
          </w:tcPr>
          <w:p>
            <w:pPr>
              <w:jc w:val="center"/>
              <w:rPr>
                <w:rFonts w:ascii="Calibri" w:hAnsi="Calibri" w:cs="Arial"/>
              </w:rPr>
            </w:pPr>
          </w:p>
        </w:tc>
        <w:tc>
          <w:tcPr>
            <w:tcW w:w="1060" w:type="dxa"/>
            <w:vMerge w:val="continue"/>
            <w:vAlign w:val="center"/>
          </w:tcPr>
          <w:p>
            <w:pPr>
              <w:jc w:val="center"/>
              <w:rPr>
                <w:rFonts w:ascii="Calibri" w:hAnsi="Calibri" w:cs="Arial"/>
              </w:rPr>
            </w:pPr>
          </w:p>
        </w:tc>
        <w:tc>
          <w:tcPr>
            <w:tcW w:w="2810" w:type="dxa"/>
            <w:vAlign w:val="center"/>
          </w:tcPr>
          <w:p>
            <w:pPr>
              <w:jc w:val="center"/>
              <w:rPr>
                <w:rFonts w:ascii="Calibri" w:hAnsi="Calibri" w:cs="Arial"/>
              </w:rPr>
            </w:pPr>
            <w:r>
              <w:rPr>
                <w:rFonts w:hint="eastAsia" w:ascii="Calibri" w:hAnsi="Calibri" w:cs="Arial"/>
              </w:rPr>
              <w:t>接头不良</w:t>
            </w:r>
          </w:p>
        </w:tc>
        <w:tc>
          <w:tcPr>
            <w:tcW w:w="2280" w:type="dxa"/>
            <w:vMerge w:val="continue"/>
            <w:vAlign w:val="center"/>
          </w:tcPr>
          <w:p>
            <w:pPr>
              <w:jc w:val="center"/>
              <w:rPr>
                <w:rFonts w:ascii="Calibri" w:hAnsi="Calibri" w:cs="Arial"/>
              </w:rPr>
            </w:pPr>
          </w:p>
        </w:tc>
        <w:tc>
          <w:tcPr>
            <w:tcW w:w="1641" w:type="dxa"/>
            <w:vMerge w:val="continue"/>
            <w:vAlign w:val="center"/>
          </w:tcPr>
          <w:p>
            <w:pPr>
              <w:jc w:val="center"/>
              <w:rPr>
                <w:rFonts w:ascii="Calibri" w:hAnsi="Calibri"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Merge w:val="continue"/>
            <w:vAlign w:val="center"/>
          </w:tcPr>
          <w:p>
            <w:pPr>
              <w:jc w:val="center"/>
              <w:rPr>
                <w:rFonts w:ascii="Calibri" w:hAnsi="Calibri" w:cs="Arial"/>
              </w:rPr>
            </w:pPr>
          </w:p>
        </w:tc>
        <w:tc>
          <w:tcPr>
            <w:tcW w:w="1060" w:type="dxa"/>
            <w:vMerge w:val="continue"/>
            <w:vAlign w:val="center"/>
          </w:tcPr>
          <w:p>
            <w:pPr>
              <w:jc w:val="center"/>
              <w:rPr>
                <w:rFonts w:ascii="Calibri" w:hAnsi="Calibri" w:cs="Arial"/>
              </w:rPr>
            </w:pPr>
          </w:p>
        </w:tc>
        <w:tc>
          <w:tcPr>
            <w:tcW w:w="2810" w:type="dxa"/>
            <w:vAlign w:val="center"/>
          </w:tcPr>
          <w:p>
            <w:pPr>
              <w:jc w:val="center"/>
              <w:rPr>
                <w:rFonts w:ascii="Calibri" w:hAnsi="Calibri" w:cs="Arial"/>
              </w:rPr>
            </w:pPr>
            <w:r>
              <w:rPr>
                <w:rFonts w:hint="eastAsia" w:ascii="Calibri" w:hAnsi="Calibri" w:cs="Arial"/>
              </w:rPr>
              <w:t>表面夹渣</w:t>
            </w:r>
          </w:p>
        </w:tc>
        <w:tc>
          <w:tcPr>
            <w:tcW w:w="2280" w:type="dxa"/>
            <w:vMerge w:val="continue"/>
            <w:vAlign w:val="center"/>
          </w:tcPr>
          <w:p>
            <w:pPr>
              <w:jc w:val="center"/>
              <w:rPr>
                <w:rFonts w:ascii="Calibri" w:hAnsi="Calibri" w:cs="Arial"/>
              </w:rPr>
            </w:pPr>
          </w:p>
        </w:tc>
        <w:tc>
          <w:tcPr>
            <w:tcW w:w="1641" w:type="dxa"/>
            <w:vMerge w:val="continue"/>
            <w:vAlign w:val="center"/>
          </w:tcPr>
          <w:p>
            <w:pPr>
              <w:jc w:val="center"/>
              <w:rPr>
                <w:rFonts w:ascii="Calibri" w:hAnsi="Calibri"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Merge w:val="continue"/>
            <w:vAlign w:val="center"/>
          </w:tcPr>
          <w:p>
            <w:pPr>
              <w:jc w:val="center"/>
              <w:rPr>
                <w:rFonts w:ascii="Calibri" w:hAnsi="Calibri" w:cs="Arial"/>
              </w:rPr>
            </w:pPr>
          </w:p>
        </w:tc>
        <w:tc>
          <w:tcPr>
            <w:tcW w:w="1060" w:type="dxa"/>
            <w:vMerge w:val="continue"/>
            <w:vAlign w:val="center"/>
          </w:tcPr>
          <w:p>
            <w:pPr>
              <w:jc w:val="center"/>
              <w:rPr>
                <w:rFonts w:ascii="Calibri" w:hAnsi="Calibri" w:cs="Arial"/>
              </w:rPr>
            </w:pPr>
          </w:p>
        </w:tc>
        <w:tc>
          <w:tcPr>
            <w:tcW w:w="2810" w:type="dxa"/>
            <w:vAlign w:val="center"/>
          </w:tcPr>
          <w:p>
            <w:pPr>
              <w:jc w:val="center"/>
              <w:rPr>
                <w:rFonts w:ascii="Calibri" w:hAnsi="Calibri" w:cs="Arial"/>
              </w:rPr>
            </w:pPr>
            <w:r>
              <w:rPr>
                <w:rFonts w:hint="eastAsia" w:ascii="Calibri" w:hAnsi="Calibri" w:cs="Arial"/>
              </w:rPr>
              <w:t>表面气孔</w:t>
            </w:r>
          </w:p>
        </w:tc>
        <w:tc>
          <w:tcPr>
            <w:tcW w:w="2280" w:type="dxa"/>
            <w:vMerge w:val="continue"/>
            <w:vAlign w:val="center"/>
          </w:tcPr>
          <w:p>
            <w:pPr>
              <w:jc w:val="center"/>
              <w:rPr>
                <w:rFonts w:ascii="Calibri" w:hAnsi="Calibri" w:cs="Arial"/>
              </w:rPr>
            </w:pPr>
          </w:p>
        </w:tc>
        <w:tc>
          <w:tcPr>
            <w:tcW w:w="1641" w:type="dxa"/>
            <w:vMerge w:val="continue"/>
            <w:vAlign w:val="center"/>
          </w:tcPr>
          <w:p>
            <w:pPr>
              <w:jc w:val="center"/>
              <w:rPr>
                <w:rFonts w:ascii="Calibri" w:hAnsi="Calibri"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Merge w:val="restart"/>
            <w:vAlign w:val="center"/>
          </w:tcPr>
          <w:p>
            <w:pPr>
              <w:jc w:val="center"/>
              <w:rPr>
                <w:rFonts w:ascii="Calibri" w:hAnsi="Calibri" w:cs="Arial"/>
              </w:rPr>
            </w:pPr>
            <w:r>
              <w:rPr>
                <w:rFonts w:ascii="Calibri" w:hAnsi="Calibri" w:cs="Arial"/>
              </w:rPr>
              <w:t>4</w:t>
            </w:r>
          </w:p>
        </w:tc>
        <w:tc>
          <w:tcPr>
            <w:tcW w:w="1060" w:type="dxa"/>
            <w:vMerge w:val="restart"/>
            <w:vAlign w:val="center"/>
          </w:tcPr>
          <w:p>
            <w:pPr>
              <w:jc w:val="center"/>
              <w:rPr>
                <w:rFonts w:ascii="Calibri" w:hAnsi="Calibri" w:cs="Arial"/>
              </w:rPr>
            </w:pPr>
            <w:r>
              <w:rPr>
                <w:rFonts w:hint="eastAsia" w:ascii="Calibri" w:hAnsi="Calibri" w:cs="Arial"/>
              </w:rPr>
              <w:t>焊缝外观尺寸</w:t>
            </w:r>
          </w:p>
        </w:tc>
        <w:tc>
          <w:tcPr>
            <w:tcW w:w="2810" w:type="dxa"/>
            <w:vAlign w:val="center"/>
          </w:tcPr>
          <w:p>
            <w:pPr>
              <w:jc w:val="center"/>
              <w:rPr>
                <w:rFonts w:ascii="Calibri" w:hAnsi="Calibri" w:cs="Arial"/>
              </w:rPr>
            </w:pPr>
            <w:r>
              <w:rPr>
                <w:rFonts w:hint="eastAsia" w:ascii="Calibri" w:hAnsi="Calibri" w:cs="Arial"/>
              </w:rPr>
              <w:t>对接焊缝余高</w:t>
            </w:r>
          </w:p>
        </w:tc>
        <w:tc>
          <w:tcPr>
            <w:tcW w:w="2280" w:type="dxa"/>
            <w:vMerge w:val="restart"/>
            <w:vAlign w:val="center"/>
          </w:tcPr>
          <w:p>
            <w:pPr>
              <w:jc w:val="center"/>
              <w:rPr>
                <w:rFonts w:ascii="Calibri" w:hAnsi="Calibri" w:cs="Arial"/>
              </w:rPr>
            </w:pPr>
            <w:r>
              <w:rPr>
                <w:rFonts w:hint="eastAsia" w:ascii="Calibri" w:hAnsi="Calibri" w:cs="Arial"/>
              </w:rPr>
              <w:t>JG/T 144-2016</w:t>
            </w:r>
          </w:p>
          <w:p>
            <w:pPr>
              <w:jc w:val="center"/>
              <w:rPr>
                <w:rFonts w:hint="eastAsia" w:ascii="Calibri" w:hAnsi="Calibri" w:cs="Arial"/>
              </w:rPr>
            </w:pPr>
            <w:r>
              <w:rPr>
                <w:rFonts w:hint="eastAsia" w:ascii="Calibri" w:hAnsi="Calibri" w:cs="Arial"/>
              </w:rPr>
              <w:t>GB/T50621-2010</w:t>
            </w:r>
          </w:p>
          <w:p>
            <w:pPr>
              <w:jc w:val="center"/>
              <w:rPr>
                <w:rFonts w:ascii="Calibri" w:hAnsi="Calibri" w:cs="Arial"/>
              </w:rPr>
            </w:pPr>
            <w:r>
              <w:rPr>
                <w:rFonts w:ascii="Calibri" w:hAnsi="Calibri" w:cs="Arial"/>
              </w:rPr>
              <w:t>GB 50205-2020</w:t>
            </w:r>
          </w:p>
        </w:tc>
        <w:tc>
          <w:tcPr>
            <w:tcW w:w="1641" w:type="dxa"/>
            <w:vMerge w:val="restart"/>
            <w:vAlign w:val="center"/>
          </w:tcPr>
          <w:p>
            <w:pPr>
              <w:jc w:val="center"/>
              <w:rPr>
                <w:rFonts w:ascii="Calibri" w:hAnsi="Calibri"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Merge w:val="continue"/>
            <w:vAlign w:val="center"/>
          </w:tcPr>
          <w:p>
            <w:pPr>
              <w:jc w:val="center"/>
              <w:rPr>
                <w:rFonts w:ascii="Calibri" w:hAnsi="Calibri" w:cs="Arial"/>
              </w:rPr>
            </w:pPr>
          </w:p>
        </w:tc>
        <w:tc>
          <w:tcPr>
            <w:tcW w:w="1060" w:type="dxa"/>
            <w:vMerge w:val="continue"/>
            <w:vAlign w:val="center"/>
          </w:tcPr>
          <w:p>
            <w:pPr>
              <w:jc w:val="center"/>
              <w:rPr>
                <w:rFonts w:ascii="Calibri" w:hAnsi="Calibri" w:cs="Arial"/>
              </w:rPr>
            </w:pPr>
          </w:p>
        </w:tc>
        <w:tc>
          <w:tcPr>
            <w:tcW w:w="2810" w:type="dxa"/>
            <w:vAlign w:val="center"/>
          </w:tcPr>
          <w:p>
            <w:pPr>
              <w:jc w:val="center"/>
              <w:rPr>
                <w:rFonts w:ascii="Calibri" w:hAnsi="Calibri" w:cs="Arial"/>
              </w:rPr>
            </w:pPr>
            <w:r>
              <w:rPr>
                <w:rFonts w:hint="eastAsia" w:ascii="Calibri" w:hAnsi="Calibri" w:cs="Arial"/>
              </w:rPr>
              <w:t>对接焊缝错边</w:t>
            </w:r>
          </w:p>
        </w:tc>
        <w:tc>
          <w:tcPr>
            <w:tcW w:w="2280" w:type="dxa"/>
            <w:vMerge w:val="continue"/>
            <w:vAlign w:val="center"/>
          </w:tcPr>
          <w:p>
            <w:pPr>
              <w:jc w:val="center"/>
              <w:rPr>
                <w:rFonts w:ascii="Calibri" w:hAnsi="Calibri" w:cs="Arial"/>
              </w:rPr>
            </w:pPr>
          </w:p>
        </w:tc>
        <w:tc>
          <w:tcPr>
            <w:tcW w:w="1641" w:type="dxa"/>
            <w:vMerge w:val="continue"/>
            <w:vAlign w:val="center"/>
          </w:tcPr>
          <w:p>
            <w:pPr>
              <w:jc w:val="center"/>
              <w:rPr>
                <w:rFonts w:ascii="Calibri" w:hAnsi="Calibri"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Merge w:val="continue"/>
            <w:vAlign w:val="center"/>
          </w:tcPr>
          <w:p>
            <w:pPr>
              <w:jc w:val="center"/>
              <w:rPr>
                <w:rFonts w:ascii="Calibri" w:hAnsi="Calibri" w:cs="Arial"/>
              </w:rPr>
            </w:pPr>
          </w:p>
        </w:tc>
        <w:tc>
          <w:tcPr>
            <w:tcW w:w="1060" w:type="dxa"/>
            <w:vMerge w:val="continue"/>
            <w:vAlign w:val="center"/>
          </w:tcPr>
          <w:p>
            <w:pPr>
              <w:jc w:val="center"/>
              <w:rPr>
                <w:rFonts w:ascii="Calibri" w:hAnsi="Calibri" w:cs="Arial"/>
              </w:rPr>
            </w:pPr>
          </w:p>
        </w:tc>
        <w:tc>
          <w:tcPr>
            <w:tcW w:w="2810" w:type="dxa"/>
            <w:vAlign w:val="center"/>
          </w:tcPr>
          <w:p>
            <w:pPr>
              <w:jc w:val="center"/>
              <w:rPr>
                <w:rFonts w:ascii="Calibri" w:hAnsi="Calibri" w:cs="Arial"/>
              </w:rPr>
            </w:pPr>
            <w:r>
              <w:rPr>
                <w:rFonts w:hint="eastAsia" w:ascii="Calibri" w:hAnsi="Calibri" w:cs="Arial"/>
              </w:rPr>
              <w:t>角焊缝焊脚尺寸</w:t>
            </w:r>
          </w:p>
        </w:tc>
        <w:tc>
          <w:tcPr>
            <w:tcW w:w="2280" w:type="dxa"/>
            <w:vMerge w:val="continue"/>
            <w:vAlign w:val="center"/>
          </w:tcPr>
          <w:p>
            <w:pPr>
              <w:jc w:val="center"/>
              <w:rPr>
                <w:rFonts w:ascii="Calibri" w:hAnsi="Calibri" w:cs="Arial"/>
              </w:rPr>
            </w:pPr>
          </w:p>
        </w:tc>
        <w:tc>
          <w:tcPr>
            <w:tcW w:w="1641" w:type="dxa"/>
            <w:vMerge w:val="continue"/>
            <w:vAlign w:val="center"/>
          </w:tcPr>
          <w:p>
            <w:pPr>
              <w:jc w:val="center"/>
              <w:rPr>
                <w:rFonts w:ascii="Calibri" w:hAnsi="Calibri"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vAlign w:val="center"/>
          </w:tcPr>
          <w:p>
            <w:pPr>
              <w:jc w:val="center"/>
              <w:rPr>
                <w:rFonts w:ascii="Calibri" w:hAnsi="Calibri" w:cs="Arial"/>
              </w:rPr>
            </w:pPr>
            <w:r>
              <w:rPr>
                <w:rFonts w:hint="eastAsia" w:ascii="Calibri" w:hAnsi="Calibri" w:cs="Arial"/>
              </w:rPr>
              <w:t>5</w:t>
            </w:r>
          </w:p>
        </w:tc>
        <w:tc>
          <w:tcPr>
            <w:tcW w:w="3870" w:type="dxa"/>
            <w:gridSpan w:val="2"/>
            <w:vAlign w:val="center"/>
          </w:tcPr>
          <w:p>
            <w:pPr>
              <w:jc w:val="center"/>
              <w:rPr>
                <w:rFonts w:ascii="Calibri" w:hAnsi="Calibri" w:cs="Arial"/>
              </w:rPr>
            </w:pPr>
            <w:r>
              <w:rPr>
                <w:rFonts w:hint="eastAsia" w:ascii="Calibri" w:hAnsi="Calibri" w:cs="Arial"/>
              </w:rPr>
              <w:t>焊缝超声检测</w:t>
            </w:r>
          </w:p>
        </w:tc>
        <w:tc>
          <w:tcPr>
            <w:tcW w:w="2280" w:type="dxa"/>
            <w:vAlign w:val="center"/>
          </w:tcPr>
          <w:p>
            <w:pPr>
              <w:jc w:val="center"/>
              <w:rPr>
                <w:rFonts w:ascii="Calibri" w:hAnsi="Calibri" w:cs="Arial"/>
              </w:rPr>
            </w:pPr>
            <w:r>
              <w:rPr>
                <w:rFonts w:hint="eastAsia" w:ascii="Calibri" w:hAnsi="Calibri" w:cs="Arial"/>
              </w:rPr>
              <w:t>GB/T11345-2023</w:t>
            </w:r>
          </w:p>
          <w:p>
            <w:pPr>
              <w:jc w:val="center"/>
              <w:rPr>
                <w:rFonts w:hint="eastAsia" w:ascii="Calibri" w:hAnsi="Calibri" w:cs="Arial"/>
              </w:rPr>
            </w:pPr>
            <w:r>
              <w:rPr>
                <w:rFonts w:hint="eastAsia" w:ascii="Calibri" w:hAnsi="Calibri" w:cs="Arial"/>
              </w:rPr>
              <w:t>GB/T50621-2010</w:t>
            </w:r>
          </w:p>
          <w:p>
            <w:pPr>
              <w:jc w:val="center"/>
              <w:rPr>
                <w:rFonts w:ascii="Calibri" w:hAnsi="Calibri" w:cs="Arial"/>
              </w:rPr>
            </w:pPr>
            <w:r>
              <w:rPr>
                <w:rFonts w:ascii="Calibri" w:hAnsi="Calibri" w:cs="Arial"/>
              </w:rPr>
              <w:t>GB 50205-2020</w:t>
            </w:r>
          </w:p>
          <w:p>
            <w:pPr>
              <w:jc w:val="center"/>
              <w:rPr>
                <w:rFonts w:ascii="Calibri" w:hAnsi="Calibri" w:cs="Arial"/>
              </w:rPr>
            </w:pPr>
            <w:r>
              <w:rPr>
                <w:rFonts w:hint="eastAsia" w:ascii="Calibri" w:hAnsi="Calibri" w:cs="Arial"/>
              </w:rPr>
              <w:t>JG/T203-2007</w:t>
            </w:r>
          </w:p>
          <w:p>
            <w:pPr>
              <w:jc w:val="center"/>
              <w:rPr>
                <w:rFonts w:ascii="Calibri" w:hAnsi="Calibri" w:cs="Arial"/>
              </w:rPr>
            </w:pPr>
            <w:r>
              <w:rPr>
                <w:rFonts w:hint="eastAsia" w:ascii="Calibri" w:hAnsi="Calibri" w:cs="Arial"/>
              </w:rPr>
              <w:t>JG/T 144-2016</w:t>
            </w:r>
          </w:p>
        </w:tc>
        <w:tc>
          <w:tcPr>
            <w:tcW w:w="1641" w:type="dxa"/>
            <w:vAlign w:val="center"/>
          </w:tcPr>
          <w:p>
            <w:pPr>
              <w:jc w:val="center"/>
              <w:rPr>
                <w:rFonts w:ascii="Calibri" w:hAnsi="Calibri" w:cs="Arial"/>
              </w:rPr>
            </w:pPr>
            <w:r>
              <w:rPr>
                <w:rFonts w:hint="eastAsia" w:ascii="Calibri" w:hAnsi="Calibri" w:cs="Arial"/>
              </w:rPr>
              <w:t>标准或产品图纸有要求时</w:t>
            </w:r>
          </w:p>
        </w:tc>
      </w:tr>
    </w:tbl>
    <w:p>
      <w:pPr>
        <w:adjustRightInd w:val="0"/>
        <w:snapToGrid w:val="0"/>
        <w:spacing w:line="440" w:lineRule="exact"/>
        <w:ind w:firstLine="420" w:firstLineChars="200"/>
        <w:rPr>
          <w:szCs w:val="21"/>
        </w:rPr>
      </w:pPr>
      <w:r>
        <w:rPr>
          <w:rFonts w:hint="eastAsia"/>
          <w:szCs w:val="21"/>
        </w:rPr>
        <w:t>注：抽样构件的一级焊缝、二级焊缝全部检测，焊缝总检测数不少于10条。</w:t>
      </w:r>
    </w:p>
    <w:p>
      <w:pPr>
        <w:adjustRightInd w:val="0"/>
        <w:snapToGrid w:val="0"/>
        <w:spacing w:line="440" w:lineRule="exact"/>
        <w:ind w:firstLine="420" w:firstLineChars="200"/>
        <w:rPr>
          <w:szCs w:val="21"/>
        </w:rPr>
      </w:pPr>
      <w:r>
        <w:rPr>
          <w:szCs w:val="21"/>
        </w:rPr>
        <w:t>执行</w:t>
      </w:r>
      <w:r>
        <w:rPr>
          <w:rFonts w:hint="eastAsia"/>
          <w:szCs w:val="21"/>
        </w:rPr>
        <w:t>其他标准</w:t>
      </w:r>
      <w:r>
        <w:rPr>
          <w:szCs w:val="21"/>
        </w:rPr>
        <w:t>的产品，检验项目参照上述内容执行。</w:t>
      </w:r>
    </w:p>
    <w:p>
      <w:pPr>
        <w:snapToGrid w:val="0"/>
        <w:spacing w:line="440" w:lineRule="exact"/>
        <w:ind w:firstLine="420" w:firstLineChars="200"/>
        <w:rPr>
          <w:color w:val="000000"/>
          <w:szCs w:val="21"/>
        </w:rPr>
      </w:pPr>
      <w:r>
        <w:rPr>
          <w:rFonts w:hint="eastAsia"/>
          <w:color w:val="000000"/>
          <w:szCs w:val="21"/>
        </w:rPr>
        <w:t>凡是注日期的文件，其随后所有的修改单（不包括勘误的内容）或修订版不适用于本细则。凡是不注日期的文件，其最新版本适用于本细则。</w:t>
      </w:r>
    </w:p>
    <w:p>
      <w:pPr>
        <w:adjustRightInd w:val="0"/>
        <w:snapToGrid w:val="0"/>
        <w:spacing w:line="440" w:lineRule="exact"/>
        <w:ind w:firstLine="420" w:firstLineChars="200"/>
        <w:rPr>
          <w:rFonts w:ascii="宋体" w:hAnsi="宋体"/>
          <w:szCs w:val="21"/>
        </w:rPr>
      </w:pPr>
      <w:r>
        <w:rPr>
          <w:rFonts w:hint="eastAsia"/>
          <w:color w:val="000000"/>
          <w:szCs w:val="21"/>
        </w:rPr>
        <w:t>复检时所检测的样品为备用样品</w:t>
      </w:r>
      <w:r>
        <w:rPr>
          <w:rFonts w:hint="eastAsia" w:ascii="宋体" w:hAnsi="宋体"/>
          <w:szCs w:val="21"/>
        </w:rPr>
        <w:t>。</w:t>
      </w:r>
    </w:p>
    <w:p>
      <w:pPr>
        <w:adjustRightInd w:val="0"/>
        <w:snapToGrid w:val="0"/>
        <w:spacing w:line="440" w:lineRule="exact"/>
        <w:ind w:firstLine="420" w:firstLineChars="200"/>
        <w:rPr>
          <w:rFonts w:ascii="宋体" w:hAnsi="宋体"/>
          <w:szCs w:val="21"/>
        </w:rPr>
      </w:pPr>
    </w:p>
    <w:p>
      <w:pPr>
        <w:snapToGrid w:val="0"/>
        <w:spacing w:line="360" w:lineRule="auto"/>
        <w:rPr>
          <w:rFonts w:ascii="黑体" w:hAnsi="黑体" w:eastAsia="黑体"/>
          <w:b w:val="0"/>
          <w:bCs/>
          <w:szCs w:val="21"/>
        </w:rPr>
      </w:pPr>
      <w:r>
        <w:rPr>
          <w:rFonts w:hint="eastAsia" w:ascii="黑体" w:hAnsi="黑体" w:eastAsia="黑体"/>
          <w:b w:val="0"/>
          <w:bCs/>
          <w:szCs w:val="21"/>
          <w:lang w:val="en-US" w:eastAsia="zh-CN"/>
        </w:rPr>
        <w:t xml:space="preserve">3 </w:t>
      </w:r>
      <w:r>
        <w:rPr>
          <w:rFonts w:ascii="黑体" w:hAnsi="黑体" w:eastAsia="黑体"/>
          <w:b w:val="0"/>
          <w:bCs/>
          <w:szCs w:val="21"/>
        </w:rPr>
        <w:t>判定规则</w:t>
      </w:r>
    </w:p>
    <w:p>
      <w:pPr>
        <w:snapToGrid w:val="0"/>
        <w:spacing w:line="360" w:lineRule="auto"/>
        <w:rPr>
          <w:rStyle w:val="7"/>
          <w:color w:val="000000"/>
          <w:szCs w:val="21"/>
        </w:rPr>
      </w:pPr>
      <w:r>
        <w:rPr>
          <w:rStyle w:val="7"/>
          <w:color w:val="000000"/>
          <w:szCs w:val="21"/>
        </w:rPr>
        <w:t>3.1依据标准</w:t>
      </w:r>
    </w:p>
    <w:p>
      <w:pPr>
        <w:snapToGrid w:val="0"/>
        <w:spacing w:line="480" w:lineRule="auto"/>
        <w:ind w:firstLine="420" w:firstLineChars="200"/>
        <w:rPr>
          <w:rFonts w:eastAsiaTheme="minorEastAsia"/>
          <w:szCs w:val="21"/>
        </w:rPr>
      </w:pPr>
      <w:r>
        <w:rPr>
          <w:rFonts w:hint="eastAsia" w:eastAsiaTheme="minorEastAsia"/>
          <w:szCs w:val="21"/>
        </w:rPr>
        <w:t>JG/T 144-2016  门式钢架轻型房屋钢构件</w:t>
      </w:r>
    </w:p>
    <w:p>
      <w:pPr>
        <w:snapToGrid w:val="0"/>
        <w:spacing w:line="480" w:lineRule="auto"/>
        <w:ind w:firstLine="420" w:firstLineChars="200"/>
        <w:rPr>
          <w:rFonts w:eastAsiaTheme="minorEastAsia"/>
          <w:szCs w:val="21"/>
        </w:rPr>
      </w:pPr>
      <w:r>
        <w:rPr>
          <w:rFonts w:hint="eastAsia" w:eastAsiaTheme="minorEastAsia"/>
          <w:szCs w:val="21"/>
        </w:rPr>
        <w:t>GB/T 50621-2010  钢结构现场检测技术标准(附条文说明)</w:t>
      </w:r>
    </w:p>
    <w:p>
      <w:pPr>
        <w:snapToGrid w:val="0"/>
        <w:spacing w:line="480" w:lineRule="auto"/>
        <w:ind w:firstLine="420" w:firstLineChars="200"/>
        <w:rPr>
          <w:rFonts w:eastAsiaTheme="minorEastAsia"/>
          <w:szCs w:val="21"/>
        </w:rPr>
      </w:pPr>
      <w:r>
        <w:rPr>
          <w:rFonts w:hint="eastAsia" w:eastAsiaTheme="minorEastAsia"/>
          <w:szCs w:val="21"/>
        </w:rPr>
        <w:t>GB/T 709-2019   热轧钢板和钢带的尺寸、外形、重量及允许偏差</w:t>
      </w:r>
    </w:p>
    <w:p>
      <w:pPr>
        <w:snapToGrid w:val="0"/>
        <w:spacing w:line="480" w:lineRule="auto"/>
        <w:ind w:firstLine="420" w:firstLineChars="200"/>
        <w:rPr>
          <w:rFonts w:eastAsiaTheme="minorEastAsia"/>
          <w:szCs w:val="21"/>
        </w:rPr>
      </w:pPr>
      <w:r>
        <w:rPr>
          <w:rFonts w:hint="eastAsia" w:eastAsiaTheme="minorEastAsia"/>
          <w:szCs w:val="21"/>
        </w:rPr>
        <w:t>GB/T 11345-2023  焊缝无损检测 超声检测 技术、检测等级和评定</w:t>
      </w:r>
    </w:p>
    <w:p>
      <w:pPr>
        <w:snapToGrid w:val="0"/>
        <w:spacing w:line="480" w:lineRule="auto"/>
        <w:ind w:firstLine="420" w:firstLineChars="200"/>
        <w:rPr>
          <w:rFonts w:eastAsiaTheme="minorEastAsia"/>
          <w:szCs w:val="21"/>
        </w:rPr>
      </w:pPr>
      <w:r>
        <w:rPr>
          <w:rFonts w:hint="eastAsia" w:eastAsiaTheme="minorEastAsia"/>
          <w:szCs w:val="21"/>
        </w:rPr>
        <w:t>GB/T 11344-2021  无损检测 超声测厚</w:t>
      </w:r>
    </w:p>
    <w:p>
      <w:pPr>
        <w:snapToGrid w:val="0"/>
        <w:spacing w:line="480" w:lineRule="auto"/>
        <w:ind w:firstLine="420" w:firstLineChars="200"/>
        <w:rPr>
          <w:rFonts w:eastAsiaTheme="minorEastAsia"/>
          <w:szCs w:val="21"/>
        </w:rPr>
      </w:pPr>
      <w:r>
        <w:rPr>
          <w:rFonts w:hint="eastAsia" w:eastAsiaTheme="minorEastAsia"/>
          <w:szCs w:val="21"/>
        </w:rPr>
        <w:t>JG/T 203-2007    钢结构超声波探伤及质量分级法</w:t>
      </w:r>
    </w:p>
    <w:p>
      <w:pPr>
        <w:snapToGrid w:val="0"/>
        <w:spacing w:line="480" w:lineRule="auto"/>
        <w:ind w:firstLine="420" w:firstLineChars="200"/>
        <w:rPr>
          <w:rFonts w:hint="eastAsia" w:eastAsiaTheme="minorEastAsia"/>
          <w:szCs w:val="21"/>
        </w:rPr>
      </w:pPr>
      <w:r>
        <w:rPr>
          <w:rFonts w:hint="eastAsia" w:eastAsiaTheme="minorEastAsia"/>
          <w:szCs w:val="21"/>
        </w:rPr>
        <w:t>GB/T 4956-2003   磁性基体上非磁性覆盖层 覆盖层厚度测量 磁性法</w:t>
      </w:r>
    </w:p>
    <w:p>
      <w:pPr>
        <w:snapToGrid w:val="0"/>
        <w:spacing w:line="480" w:lineRule="auto"/>
        <w:ind w:firstLine="420" w:firstLineChars="200"/>
        <w:rPr>
          <w:rFonts w:ascii="Calibri" w:hAnsi="Calibri" w:cs="Arial"/>
        </w:rPr>
      </w:pPr>
      <w:r>
        <w:rPr>
          <w:rFonts w:eastAsiaTheme="minorEastAsia"/>
          <w:szCs w:val="21"/>
        </w:rPr>
        <w:t>GB 50205-2020</w:t>
      </w:r>
      <w:r>
        <w:rPr>
          <w:rFonts w:hint="eastAsia" w:ascii="Calibri" w:hAnsi="Calibri" w:cs="Arial"/>
        </w:rPr>
        <w:t xml:space="preserve">  钢结构工程施工质量验收标准</w:t>
      </w:r>
    </w:p>
    <w:p>
      <w:pPr>
        <w:snapToGrid w:val="0"/>
        <w:spacing w:line="480" w:lineRule="auto"/>
        <w:ind w:firstLine="420" w:firstLineChars="200"/>
        <w:rPr>
          <w:rStyle w:val="7"/>
          <w:rFonts w:ascii="宋体" w:hAnsi="宋体"/>
          <w:color w:val="000000"/>
          <w:szCs w:val="21"/>
        </w:rPr>
      </w:pPr>
      <w:r>
        <w:rPr>
          <w:rFonts w:hint="eastAsia"/>
        </w:rPr>
        <w:t>现行有效的企业标准、团体标准、地方标准及产品明示质量要</w:t>
      </w:r>
      <w:r>
        <w:rPr>
          <w:rFonts w:hint="eastAsia" w:ascii="宋体" w:hAnsi="宋体"/>
          <w:szCs w:val="21"/>
        </w:rPr>
        <w:t>求</w:t>
      </w:r>
    </w:p>
    <w:p>
      <w:pPr>
        <w:snapToGrid w:val="0"/>
        <w:spacing w:line="440" w:lineRule="exact"/>
        <w:rPr>
          <w:rFonts w:ascii="宋体" w:hAnsi="宋体"/>
          <w:szCs w:val="21"/>
        </w:rPr>
      </w:pPr>
      <w:r>
        <w:rPr>
          <w:szCs w:val="21"/>
        </w:rPr>
        <w:t>3.2</w:t>
      </w:r>
      <w:r>
        <w:rPr>
          <w:rFonts w:hint="eastAsia" w:ascii="宋体" w:hAnsi="宋体"/>
          <w:szCs w:val="21"/>
        </w:rPr>
        <w:t>判定原则</w:t>
      </w:r>
    </w:p>
    <w:p>
      <w:pPr>
        <w:snapToGrid w:val="0"/>
        <w:spacing w:line="440" w:lineRule="exact"/>
        <w:ind w:firstLine="417" w:firstLineChars="199"/>
        <w:rPr>
          <w:rFonts w:ascii="宋体" w:hAnsi="宋体"/>
          <w:szCs w:val="21"/>
        </w:rPr>
      </w:pPr>
      <w:r>
        <w:rPr>
          <w:rFonts w:hint="eastAsia" w:ascii="宋体" w:hAnsi="宋体"/>
          <w:szCs w:val="21"/>
        </w:rPr>
        <w:t>若被检产品明示的质量要求高于本细则中检验项目依据的标准要求时，应按被检产品明示的质量要求判定。</w:t>
      </w:r>
    </w:p>
    <w:p>
      <w:pPr>
        <w:snapToGrid w:val="0"/>
        <w:spacing w:line="440" w:lineRule="exact"/>
        <w:ind w:firstLine="417" w:firstLineChars="199"/>
        <w:rPr>
          <w:rFonts w:ascii="宋体" w:hAnsi="宋体"/>
          <w:szCs w:val="21"/>
        </w:rPr>
      </w:pPr>
      <w:r>
        <w:rPr>
          <w:rFonts w:hint="eastAsia" w:ascii="宋体" w:hAnsi="宋体"/>
          <w:szCs w:val="21"/>
        </w:rPr>
        <w:t>若被检产品明示的质量要求低于本细则中检验项目依据的强制性标准要求时，应按照强制性标准要求判定。</w:t>
      </w:r>
    </w:p>
    <w:p>
      <w:pPr>
        <w:snapToGrid w:val="0"/>
        <w:spacing w:line="440" w:lineRule="exact"/>
        <w:ind w:firstLine="417" w:firstLineChars="199"/>
        <w:rPr>
          <w:rFonts w:ascii="宋体" w:hAnsi="宋体"/>
          <w:szCs w:val="21"/>
        </w:rPr>
      </w:pPr>
      <w:r>
        <w:rPr>
          <w:rFonts w:hint="eastAsia" w:ascii="宋体" w:hAnsi="宋体"/>
          <w:szCs w:val="21"/>
        </w:rPr>
        <w:t>若被检产品明示的质量要求低于或包含本细则中检验项目依据的推荐性标准要求时，应以被检产品明示的质量要求判定。但应在检验报告中注明该项目的实测值以及推荐性标准的标准值。</w:t>
      </w:r>
    </w:p>
    <w:p>
      <w:pPr>
        <w:snapToGrid w:val="0"/>
        <w:spacing w:line="440" w:lineRule="exact"/>
        <w:ind w:firstLine="417" w:firstLineChars="199"/>
        <w:rPr>
          <w:rFonts w:ascii="宋体" w:hAnsi="宋体"/>
          <w:szCs w:val="21"/>
        </w:rPr>
      </w:pPr>
      <w:r>
        <w:rPr>
          <w:rFonts w:hint="eastAsia" w:ascii="宋体" w:hAnsi="宋体"/>
          <w:szCs w:val="21"/>
        </w:rPr>
        <w:t>若被检产品明示的质量要求缺少本细则中检验项目依据的强制性标准要求时，应按照强制性标准要求判定。</w:t>
      </w:r>
    </w:p>
    <w:p>
      <w:pPr>
        <w:snapToGrid w:val="0"/>
        <w:spacing w:line="440" w:lineRule="exact"/>
        <w:ind w:firstLine="417" w:firstLineChars="199"/>
        <w:rPr>
          <w:rFonts w:ascii="宋体" w:hAnsi="宋体"/>
          <w:color w:val="000000"/>
          <w:szCs w:val="21"/>
        </w:rPr>
      </w:pPr>
      <w:r>
        <w:rPr>
          <w:rFonts w:hint="eastAsia" w:ascii="宋体" w:hAnsi="宋体"/>
          <w:szCs w:val="21"/>
        </w:rPr>
        <w:t>若被检产品明示的质量要求缺少本细则中检验项目依据的推荐性标准要求时，该项目不参与判定。但应在检验报告中注明该项目的实测值以及推荐性标准的标准值</w:t>
      </w:r>
      <w:r>
        <w:rPr>
          <w:rFonts w:hint="eastAsia" w:ascii="宋体" w:hAnsi="宋体"/>
          <w:color w:val="000000"/>
          <w:szCs w:val="21"/>
        </w:rPr>
        <w:t>。</w:t>
      </w:r>
    </w:p>
    <w:p>
      <w:pPr>
        <w:widowControl w:val="0"/>
        <w:adjustRightInd w:val="0"/>
        <w:snapToGrid w:val="0"/>
        <w:spacing w:line="440" w:lineRule="exact"/>
        <w:textAlignment w:val="auto"/>
        <w:rPr>
          <w:color w:val="000000"/>
          <w:szCs w:val="21"/>
        </w:rPr>
      </w:pPr>
      <w:r>
        <w:rPr>
          <w:rFonts w:hint="eastAsia"/>
          <w:color w:val="000000"/>
          <w:szCs w:val="21"/>
        </w:rPr>
        <w:t>3</w:t>
      </w:r>
      <w:r>
        <w:rPr>
          <w:color w:val="000000"/>
          <w:szCs w:val="21"/>
        </w:rPr>
        <w:t xml:space="preserve">.3 </w:t>
      </w:r>
      <w:r>
        <w:rPr>
          <w:rFonts w:hint="eastAsia"/>
          <w:color w:val="000000"/>
          <w:szCs w:val="21"/>
        </w:rPr>
        <w:t>综合结论判定</w:t>
      </w:r>
    </w:p>
    <w:p>
      <w:pPr>
        <w:widowControl w:val="0"/>
        <w:snapToGrid w:val="0"/>
        <w:spacing w:line="440" w:lineRule="exact"/>
        <w:ind w:firstLine="420" w:firstLineChars="200"/>
        <w:textAlignment w:val="auto"/>
        <w:rPr>
          <w:color w:val="000000"/>
          <w:szCs w:val="21"/>
        </w:rPr>
      </w:pPr>
      <w:r>
        <w:rPr>
          <w:color w:val="000000"/>
          <w:szCs w:val="21"/>
        </w:rPr>
        <w:t>经检验，检验项目中任一项或一项以上不合格，判定被抽查产品为</w:t>
      </w:r>
      <w:r>
        <w:rPr>
          <w:rFonts w:hint="eastAsia"/>
          <w:color w:val="000000"/>
          <w:szCs w:val="21"/>
        </w:rPr>
        <w:t>“</w:t>
      </w:r>
      <w:r>
        <w:rPr>
          <w:color w:val="000000"/>
          <w:szCs w:val="21"/>
        </w:rPr>
        <w:t>不合格</w:t>
      </w:r>
      <w:r>
        <w:rPr>
          <w:rFonts w:hint="eastAsia"/>
          <w:color w:val="000000"/>
          <w:szCs w:val="21"/>
        </w:rPr>
        <w:t>”。</w:t>
      </w:r>
    </w:p>
    <w:p>
      <w:pPr>
        <w:widowControl w:val="0"/>
        <w:snapToGrid w:val="0"/>
        <w:spacing w:line="440" w:lineRule="exact"/>
        <w:ind w:firstLine="420" w:firstLineChars="200"/>
        <w:textAlignment w:val="auto"/>
        <w:rPr>
          <w:rFonts w:hAnsi="宋体"/>
        </w:rPr>
      </w:pPr>
      <w:r>
        <w:rPr>
          <w:szCs w:val="21"/>
        </w:rPr>
        <w:t>检验项目全部</w:t>
      </w:r>
      <w:r>
        <w:rPr>
          <w:rFonts w:hint="eastAsia"/>
          <w:szCs w:val="21"/>
        </w:rPr>
        <w:t>符合明示质量要求</w:t>
      </w:r>
      <w:r>
        <w:rPr>
          <w:szCs w:val="21"/>
        </w:rPr>
        <w:t>，</w:t>
      </w:r>
      <w:r>
        <w:rPr>
          <w:rFonts w:hint="eastAsia"/>
          <w:szCs w:val="21"/>
        </w:rPr>
        <w:t>但不符合本细则检验项目依据的推荐性标准，</w:t>
      </w:r>
      <w:r>
        <w:rPr>
          <w:szCs w:val="21"/>
        </w:rPr>
        <w:t>判定被抽查产品</w:t>
      </w:r>
      <w:r>
        <w:rPr>
          <w:rFonts w:hint="eastAsia" w:hAnsi="宋体"/>
        </w:rPr>
        <w:t>为</w:t>
      </w:r>
      <w:r>
        <w:rPr>
          <w:rFonts w:hint="eastAsia"/>
          <w:szCs w:val="21"/>
        </w:rPr>
        <w:t>“</w:t>
      </w:r>
      <w:r>
        <w:rPr>
          <w:rFonts w:hint="eastAsia" w:hAnsi="宋体"/>
        </w:rPr>
        <w:t>所检项目符合</w:t>
      </w:r>
      <w:r>
        <w:rPr>
          <w:rFonts w:hint="eastAsia"/>
          <w:szCs w:val="21"/>
        </w:rPr>
        <w:t>明示质量要求</w:t>
      </w:r>
      <w:r>
        <w:rPr>
          <w:rFonts w:hint="eastAsia" w:hAnsi="宋体"/>
        </w:rPr>
        <w:t>，未达</w:t>
      </w:r>
      <w:r>
        <w:rPr>
          <w:rFonts w:hint="eastAsia"/>
          <w:szCs w:val="21"/>
        </w:rPr>
        <w:t>到</w:t>
      </w:r>
      <w:r>
        <w:rPr>
          <w:szCs w:val="21"/>
        </w:rPr>
        <w:t>××</w:t>
      </w:r>
      <w:r>
        <w:rPr>
          <w:rFonts w:hint="eastAsia"/>
          <w:szCs w:val="21"/>
        </w:rPr>
        <w:t>标准规定</w:t>
      </w:r>
      <w:r>
        <w:rPr>
          <w:rFonts w:hint="eastAsia" w:hAnsi="宋体"/>
        </w:rPr>
        <w:t>”。（注：</w:t>
      </w:r>
      <w:r>
        <w:rPr>
          <w:szCs w:val="21"/>
        </w:rPr>
        <w:t>××为具体标准名称</w:t>
      </w:r>
      <w:r>
        <w:rPr>
          <w:rFonts w:hint="eastAsia" w:hAnsi="宋体"/>
        </w:rPr>
        <w:t>）</w:t>
      </w:r>
    </w:p>
    <w:p>
      <w:pPr>
        <w:snapToGrid w:val="0"/>
        <w:spacing w:line="440" w:lineRule="exact"/>
        <w:ind w:firstLine="417" w:firstLineChars="199"/>
        <w:rPr>
          <w:rFonts w:ascii="宋体" w:hAnsi="宋体"/>
          <w:color w:val="000000"/>
          <w:szCs w:val="21"/>
        </w:rPr>
      </w:pPr>
      <w:r>
        <w:rPr>
          <w:color w:val="000000"/>
          <w:szCs w:val="21"/>
        </w:rPr>
        <w:t>检验项目全部</w:t>
      </w:r>
      <w:r>
        <w:rPr>
          <w:rFonts w:hint="eastAsia"/>
          <w:color w:val="000000"/>
          <w:szCs w:val="21"/>
        </w:rPr>
        <w:t>符合明示质量要求</w:t>
      </w:r>
      <w:r>
        <w:rPr>
          <w:color w:val="000000"/>
          <w:szCs w:val="21"/>
        </w:rPr>
        <w:t>，</w:t>
      </w:r>
      <w:r>
        <w:rPr>
          <w:rFonts w:hint="eastAsia"/>
          <w:color w:val="000000"/>
          <w:szCs w:val="21"/>
        </w:rPr>
        <w:t>且符合本细则检验项目依据的推荐性标准，</w:t>
      </w:r>
      <w:r>
        <w:rPr>
          <w:rFonts w:hint="eastAsia" w:hAnsi="宋体"/>
        </w:rPr>
        <w:t>判定被抽查产品为</w:t>
      </w:r>
      <w:r>
        <w:rPr>
          <w:rFonts w:hint="eastAsia"/>
          <w:color w:val="000000"/>
          <w:szCs w:val="21"/>
        </w:rPr>
        <w:t>“所检项目符合本次监督抽查要求”。</w:t>
      </w:r>
    </w:p>
    <w:p>
      <w:pPr>
        <w:snapToGrid w:val="0"/>
        <w:spacing w:line="480" w:lineRule="auto"/>
        <w:rPr>
          <w:rStyle w:val="7"/>
          <w:color w:val="000000"/>
          <w:szCs w:val="21"/>
        </w:rPr>
      </w:pPr>
    </w:p>
    <w:sectPr>
      <w:headerReference r:id="rId3" w:type="default"/>
      <w:footerReference r:id="rId4" w:type="default"/>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微软雅黑"/>
    <w:panose1 w:val="00000000000000000000"/>
    <w:charset w:val="00"/>
    <w:family w:val="script"/>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Style w:val="7"/>
        <w:sz w:val="21"/>
        <w:szCs w:val="21"/>
      </w:rPr>
    </w:pPr>
  </w:p>
  <w:p>
    <w:pPr>
      <w:pStyle w:val="18"/>
      <w:ind w:right="360"/>
      <w:rPr>
        <w:rStyle w:val="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rPr>
        <w:rStyle w:val="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2"/>
  </w:compat>
  <w:docVars>
    <w:docVar w:name="commondata" w:val="eyJoZGlkIjoiODAzZjVmOTJmMTQ2Y2IwNDdlNmVjOTI4OGYyZTk2NDYifQ=="/>
  </w:docVars>
  <w:rsids>
    <w:rsidRoot w:val="00DD7BDD"/>
    <w:rsid w:val="00020A18"/>
    <w:rsid w:val="00057C2F"/>
    <w:rsid w:val="0007396B"/>
    <w:rsid w:val="00107879"/>
    <w:rsid w:val="001327D7"/>
    <w:rsid w:val="001558AA"/>
    <w:rsid w:val="00267060"/>
    <w:rsid w:val="002B2EE9"/>
    <w:rsid w:val="002B5CB9"/>
    <w:rsid w:val="002D2055"/>
    <w:rsid w:val="00385DF1"/>
    <w:rsid w:val="003C70FD"/>
    <w:rsid w:val="003D0E45"/>
    <w:rsid w:val="003D2BB5"/>
    <w:rsid w:val="003E55B5"/>
    <w:rsid w:val="00406BC3"/>
    <w:rsid w:val="004768E1"/>
    <w:rsid w:val="005816F5"/>
    <w:rsid w:val="00593E8E"/>
    <w:rsid w:val="0059692D"/>
    <w:rsid w:val="005B29F1"/>
    <w:rsid w:val="005D1BD7"/>
    <w:rsid w:val="00603876"/>
    <w:rsid w:val="00611F9F"/>
    <w:rsid w:val="00625DEC"/>
    <w:rsid w:val="00635ED1"/>
    <w:rsid w:val="006628A9"/>
    <w:rsid w:val="006D7396"/>
    <w:rsid w:val="006F3078"/>
    <w:rsid w:val="007E2746"/>
    <w:rsid w:val="0080493A"/>
    <w:rsid w:val="0092208A"/>
    <w:rsid w:val="00935489"/>
    <w:rsid w:val="00947C25"/>
    <w:rsid w:val="00A068B9"/>
    <w:rsid w:val="00A356F1"/>
    <w:rsid w:val="00AC152D"/>
    <w:rsid w:val="00B009E6"/>
    <w:rsid w:val="00B216D7"/>
    <w:rsid w:val="00B27EAC"/>
    <w:rsid w:val="00B4240D"/>
    <w:rsid w:val="00B43228"/>
    <w:rsid w:val="00B501FB"/>
    <w:rsid w:val="00B54C4B"/>
    <w:rsid w:val="00CE1C6D"/>
    <w:rsid w:val="00CE2FAC"/>
    <w:rsid w:val="00CF6334"/>
    <w:rsid w:val="00D431DE"/>
    <w:rsid w:val="00D6183A"/>
    <w:rsid w:val="00D75445"/>
    <w:rsid w:val="00DB7271"/>
    <w:rsid w:val="00DD7BDD"/>
    <w:rsid w:val="00DF7872"/>
    <w:rsid w:val="00E85B9A"/>
    <w:rsid w:val="00EB5496"/>
    <w:rsid w:val="00F210DD"/>
    <w:rsid w:val="00F304DA"/>
    <w:rsid w:val="00FD77F3"/>
    <w:rsid w:val="15D10EB6"/>
    <w:rsid w:val="1C945808"/>
    <w:rsid w:val="39E24337"/>
    <w:rsid w:val="451E092A"/>
    <w:rsid w:val="47CE7124"/>
    <w:rsid w:val="6A674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textAlignment w:val="baseline"/>
    </w:pPr>
    <w:rPr>
      <w:rFonts w:ascii="Times New Roman" w:hAnsi="Times New Roman" w:eastAsia="宋体" w:cs="Times New Roman"/>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31"/>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3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autoRedefine/>
    <w:qFormat/>
    <w:uiPriority w:val="0"/>
    <w:rPr>
      <w:color w:val="0000FF"/>
      <w:u w:val="single"/>
    </w:rPr>
  </w:style>
  <w:style w:type="character" w:customStyle="1" w:styleId="7">
    <w:name w:val="NormalCharacter"/>
    <w:autoRedefine/>
    <w:semiHidden/>
    <w:qFormat/>
    <w:uiPriority w:val="0"/>
  </w:style>
  <w:style w:type="table" w:customStyle="1" w:styleId="8">
    <w:name w:val="TableNormal"/>
    <w:autoRedefine/>
    <w:semiHidden/>
    <w:qFormat/>
    <w:uiPriority w:val="0"/>
    <w:tblPr>
      <w:tblCellMar>
        <w:top w:w="0" w:type="dxa"/>
        <w:left w:w="0" w:type="dxa"/>
        <w:bottom w:w="0" w:type="dxa"/>
        <w:right w:w="0" w:type="dxa"/>
      </w:tblCellMar>
    </w:tblPr>
  </w:style>
  <w:style w:type="paragraph" w:customStyle="1" w:styleId="9">
    <w:name w:val="AnnotationText"/>
    <w:basedOn w:val="1"/>
    <w:link w:val="10"/>
    <w:autoRedefine/>
    <w:qFormat/>
    <w:uiPriority w:val="0"/>
    <w:pPr>
      <w:jc w:val="left"/>
    </w:pPr>
  </w:style>
  <w:style w:type="character" w:customStyle="1" w:styleId="10">
    <w:name w:val="UserStyle_0"/>
    <w:link w:val="9"/>
    <w:autoRedefine/>
    <w:qFormat/>
    <w:uiPriority w:val="0"/>
    <w:rPr>
      <w:kern w:val="2"/>
      <w:sz w:val="21"/>
      <w:szCs w:val="22"/>
    </w:rPr>
  </w:style>
  <w:style w:type="paragraph" w:customStyle="1" w:styleId="11">
    <w:name w:val="BodyText"/>
    <w:basedOn w:val="1"/>
    <w:link w:val="12"/>
    <w:autoRedefine/>
    <w:qFormat/>
    <w:uiPriority w:val="0"/>
    <w:pPr>
      <w:spacing w:after="120"/>
    </w:pPr>
  </w:style>
  <w:style w:type="character" w:customStyle="1" w:styleId="12">
    <w:name w:val="UserStyle_1"/>
    <w:link w:val="11"/>
    <w:autoRedefine/>
    <w:qFormat/>
    <w:uiPriority w:val="0"/>
    <w:rPr>
      <w:kern w:val="2"/>
      <w:sz w:val="21"/>
      <w:szCs w:val="22"/>
    </w:rPr>
  </w:style>
  <w:style w:type="paragraph" w:customStyle="1" w:styleId="13">
    <w:name w:val="BodyTextIndent"/>
    <w:basedOn w:val="1"/>
    <w:autoRedefine/>
    <w:qFormat/>
    <w:uiPriority w:val="0"/>
    <w:pPr>
      <w:ind w:firstLine="600" w:firstLineChars="200"/>
    </w:pPr>
    <w:rPr>
      <w:rFonts w:eastAsia="仿宋_GB2312"/>
      <w:sz w:val="30"/>
      <w:szCs w:val="24"/>
    </w:rPr>
  </w:style>
  <w:style w:type="paragraph" w:customStyle="1" w:styleId="14">
    <w:name w:val="PlainText"/>
    <w:basedOn w:val="1"/>
    <w:link w:val="15"/>
    <w:autoRedefine/>
    <w:qFormat/>
    <w:uiPriority w:val="0"/>
    <w:rPr>
      <w:rFonts w:ascii="宋体" w:hAnsi="Courier New"/>
      <w:szCs w:val="21"/>
    </w:rPr>
  </w:style>
  <w:style w:type="character" w:customStyle="1" w:styleId="15">
    <w:name w:val="UserStyle_2"/>
    <w:link w:val="14"/>
    <w:autoRedefine/>
    <w:qFormat/>
    <w:uiPriority w:val="0"/>
    <w:rPr>
      <w:rFonts w:ascii="宋体" w:hAnsi="Courier New"/>
      <w:kern w:val="2"/>
      <w:sz w:val="21"/>
      <w:szCs w:val="21"/>
    </w:rPr>
  </w:style>
  <w:style w:type="paragraph" w:customStyle="1" w:styleId="16">
    <w:name w:val="Acetate"/>
    <w:basedOn w:val="1"/>
    <w:link w:val="17"/>
    <w:autoRedefine/>
    <w:qFormat/>
    <w:uiPriority w:val="0"/>
    <w:rPr>
      <w:sz w:val="18"/>
      <w:szCs w:val="18"/>
    </w:rPr>
  </w:style>
  <w:style w:type="character" w:customStyle="1" w:styleId="17">
    <w:name w:val="UserStyle_3"/>
    <w:link w:val="16"/>
    <w:autoRedefine/>
    <w:qFormat/>
    <w:uiPriority w:val="0"/>
    <w:rPr>
      <w:kern w:val="2"/>
      <w:sz w:val="18"/>
      <w:szCs w:val="18"/>
    </w:rPr>
  </w:style>
  <w:style w:type="paragraph" w:customStyle="1" w:styleId="18">
    <w:name w:val="Footer"/>
    <w:basedOn w:val="1"/>
    <w:autoRedefine/>
    <w:qFormat/>
    <w:uiPriority w:val="0"/>
    <w:pPr>
      <w:tabs>
        <w:tab w:val="center" w:pos="4153"/>
        <w:tab w:val="right" w:pos="8306"/>
      </w:tabs>
      <w:snapToGrid w:val="0"/>
      <w:jc w:val="left"/>
    </w:pPr>
    <w:rPr>
      <w:sz w:val="18"/>
      <w:szCs w:val="18"/>
    </w:rPr>
  </w:style>
  <w:style w:type="paragraph" w:customStyle="1" w:styleId="19">
    <w:name w:val="Header"/>
    <w:basedOn w:val="1"/>
    <w:autoRedefine/>
    <w:qFormat/>
    <w:uiPriority w:val="0"/>
    <w:pPr>
      <w:pBdr>
        <w:bottom w:val="single" w:color="000000" w:sz="6" w:space="1"/>
      </w:pBdr>
      <w:tabs>
        <w:tab w:val="center" w:pos="4153"/>
        <w:tab w:val="right" w:pos="8306"/>
      </w:tabs>
      <w:snapToGrid w:val="0"/>
      <w:jc w:val="center"/>
    </w:pPr>
    <w:rPr>
      <w:sz w:val="18"/>
      <w:szCs w:val="18"/>
    </w:rPr>
  </w:style>
  <w:style w:type="paragraph" w:customStyle="1" w:styleId="20">
    <w:name w:val="AnnotationSubject"/>
    <w:basedOn w:val="9"/>
    <w:next w:val="9"/>
    <w:link w:val="21"/>
    <w:autoRedefine/>
    <w:qFormat/>
    <w:uiPriority w:val="0"/>
    <w:rPr>
      <w:b/>
      <w:bCs/>
    </w:rPr>
  </w:style>
  <w:style w:type="character" w:customStyle="1" w:styleId="21">
    <w:name w:val="UserStyle_4"/>
    <w:link w:val="20"/>
    <w:autoRedefine/>
    <w:qFormat/>
    <w:uiPriority w:val="0"/>
  </w:style>
  <w:style w:type="table" w:customStyle="1" w:styleId="22">
    <w:name w:val="TableGrid"/>
    <w:basedOn w:val="8"/>
    <w:autoRedefine/>
    <w:qFormat/>
    <w:uiPriority w:val="0"/>
    <w:tblPr>
      <w:tblCellMar>
        <w:top w:w="0" w:type="dxa"/>
        <w:left w:w="0" w:type="dxa"/>
        <w:bottom w:w="0" w:type="dxa"/>
        <w:right w:w="0" w:type="dxa"/>
      </w:tblCellMar>
    </w:tblPr>
  </w:style>
  <w:style w:type="character" w:customStyle="1" w:styleId="23">
    <w:name w:val="AnnotationReference"/>
    <w:autoRedefine/>
    <w:qFormat/>
    <w:uiPriority w:val="0"/>
    <w:rPr>
      <w:sz w:val="21"/>
      <w:szCs w:val="21"/>
    </w:rPr>
  </w:style>
  <w:style w:type="character" w:customStyle="1" w:styleId="24">
    <w:name w:val="UserStyle_5"/>
    <w:autoRedefine/>
    <w:qFormat/>
    <w:uiPriority w:val="0"/>
    <w:rPr>
      <w:rFonts w:ascii="黑体" w:hAnsi="宋体" w:eastAsia="黑体"/>
      <w:color w:val="000000"/>
      <w:sz w:val="32"/>
      <w:szCs w:val="32"/>
    </w:rPr>
  </w:style>
  <w:style w:type="paragraph" w:customStyle="1" w:styleId="25">
    <w:name w:val="UserStyle_6"/>
    <w:basedOn w:val="1"/>
    <w:autoRedefine/>
    <w:qFormat/>
    <w:uiPriority w:val="0"/>
    <w:pPr>
      <w:ind w:firstLine="420" w:firstLineChars="200"/>
    </w:pPr>
  </w:style>
  <w:style w:type="paragraph" w:customStyle="1" w:styleId="26">
    <w:name w:val="179"/>
    <w:basedOn w:val="1"/>
    <w:autoRedefine/>
    <w:qFormat/>
    <w:uiPriority w:val="0"/>
    <w:pPr>
      <w:ind w:firstLine="420" w:firstLineChars="200"/>
    </w:pPr>
  </w:style>
  <w:style w:type="paragraph" w:customStyle="1" w:styleId="27">
    <w:name w:val="UserStyle_7"/>
    <w:autoRedefine/>
    <w:qFormat/>
    <w:uiPriority w:val="0"/>
    <w:pPr>
      <w:textAlignment w:val="baseline"/>
    </w:pPr>
    <w:rPr>
      <w:rFonts w:ascii="仿宋" w:hAnsi="Times New Roman" w:eastAsia="仿宋" w:cs="Times New Roman"/>
      <w:color w:val="000000"/>
      <w:sz w:val="24"/>
      <w:szCs w:val="24"/>
      <w:lang w:val="en-US" w:eastAsia="zh-CN" w:bidi="ar-SA"/>
    </w:rPr>
  </w:style>
  <w:style w:type="character" w:customStyle="1" w:styleId="28">
    <w:name w:val="UserStyle_8"/>
    <w:autoRedefine/>
    <w:qFormat/>
    <w:uiPriority w:val="0"/>
    <w:rPr>
      <w:rFonts w:ascii="宋体" w:hAnsi="Courier New"/>
      <w:kern w:val="2"/>
      <w:sz w:val="21"/>
      <w:szCs w:val="21"/>
    </w:rPr>
  </w:style>
  <w:style w:type="paragraph" w:customStyle="1" w:styleId="29">
    <w:name w:val="UserStyle_9"/>
    <w:basedOn w:val="1"/>
    <w:autoRedefine/>
    <w:qFormat/>
    <w:uiPriority w:val="0"/>
    <w:rPr>
      <w:color w:val="000000"/>
      <w:kern w:val="0"/>
      <w:szCs w:val="21"/>
    </w:rPr>
  </w:style>
  <w:style w:type="character" w:customStyle="1" w:styleId="30">
    <w:name w:val="页眉 Char"/>
    <w:basedOn w:val="5"/>
    <w:link w:val="3"/>
    <w:autoRedefine/>
    <w:semiHidden/>
    <w:qFormat/>
    <w:uiPriority w:val="99"/>
    <w:rPr>
      <w:kern w:val="2"/>
      <w:sz w:val="18"/>
      <w:szCs w:val="18"/>
    </w:rPr>
  </w:style>
  <w:style w:type="character" w:customStyle="1" w:styleId="31">
    <w:name w:val="页脚 Char"/>
    <w:basedOn w:val="5"/>
    <w:link w:val="2"/>
    <w:autoRedefine/>
    <w:semiHidden/>
    <w:qFormat/>
    <w:uiPriority w:val="99"/>
    <w:rPr>
      <w:kern w:val="2"/>
      <w:sz w:val="18"/>
      <w:szCs w:val="18"/>
    </w:rPr>
  </w:style>
  <w:style w:type="character" w:customStyle="1" w:styleId="32">
    <w:name w:val="个人答复风格"/>
    <w:autoRedefine/>
    <w:qFormat/>
    <w:uiPriority w:val="0"/>
    <w:rPr>
      <w:rFonts w:ascii="Arial" w:hAnsi="Arial" w:eastAsia="宋体"/>
      <w:color w:val="auto"/>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257</Words>
  <Characters>1467</Characters>
  <Lines>12</Lines>
  <Paragraphs>3</Paragraphs>
  <TotalTime>19</TotalTime>
  <ScaleCrop>false</ScaleCrop>
  <LinksUpToDate>false</LinksUpToDate>
  <CharactersWithSpaces>1721</CharactersWithSpaces>
  <Application>WPS Office_12.1.0.16388_F1E327BC-269C-435d-A152-05C5408002CA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2024-03-19T01:21:00Z</dcterms:created>
  <dc:creator>mzs</dc:creator>
  <lastModifiedBy>菠萝啵啵</lastModifiedBy>
  <dcterms:modified xsi:type="dcterms:W3CDTF">2024-03-25T07:21:40Z</dcterms:modified>
  <revision>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35FFBAF9E33E4E05A4668B22A196F1CF_13</vt:lpwstr>
  </property>
</Properties>
</file>