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Spec="center" w:tblpY="196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5460"/>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658" w:type="dxa"/>
            <w:gridSpan w:val="3"/>
            <w:noWrap w:val="0"/>
            <w:vAlign w:val="top"/>
          </w:tcPr>
          <w:p>
            <w:pPr>
              <w:keepNext w:val="0"/>
              <w:keepLines w:val="0"/>
              <w:pageBreakBefore w:val="0"/>
              <w:widowControl w:val="0"/>
              <w:numPr>
                <w:ilvl w:val="0"/>
                <w:numId w:val="0"/>
              </w:numPr>
              <w:kinsoku/>
              <w:wordWrap/>
              <w:overflowPunct/>
              <w:topLinePunct w:val="0"/>
              <w:bidi w:val="0"/>
              <w:snapToGrid/>
              <w:spacing w:before="157" w:beforeLines="50" w:after="157" w:afterLines="50" w:line="620" w:lineRule="exact"/>
              <w:jc w:val="center"/>
              <w:textAlignment w:val="auto"/>
              <w:rPr>
                <w:rFonts w:hint="eastAsia" w:ascii="黑体" w:hAnsi="黑体" w:eastAsia="黑体" w:cs="黑体"/>
                <w:sz w:val="32"/>
                <w:szCs w:val="32"/>
                <w:vertAlign w:val="baseline"/>
                <w:lang w:eastAsia="zh-CN"/>
              </w:rPr>
            </w:pPr>
            <w:bookmarkStart w:id="0" w:name="_GoBack"/>
            <w:bookmarkEnd w:id="0"/>
            <w:r>
              <w:rPr>
                <w:rFonts w:hint="eastAsia" w:ascii="黑体" w:hAnsi="宋体" w:eastAsia="黑体" w:cs="宋体"/>
                <w:sz w:val="32"/>
                <w:szCs w:val="32"/>
                <w:lang w:eastAsia="zh-CN"/>
              </w:rPr>
              <w:t>一、</w:t>
            </w:r>
            <w:r>
              <w:rPr>
                <w:rFonts w:hint="default" w:ascii="黑体" w:hAnsi="宋体" w:eastAsia="黑体" w:cs="宋体"/>
                <w:sz w:val="32"/>
                <w:szCs w:val="32"/>
                <w:lang w:eastAsia="zh-CN"/>
              </w:rPr>
              <w:t>拟</w:t>
            </w:r>
            <w:r>
              <w:rPr>
                <w:rFonts w:hint="eastAsia" w:ascii="黑体" w:hAnsi="宋体" w:eastAsia="黑体" w:cs="宋体"/>
                <w:sz w:val="32"/>
                <w:szCs w:val="32"/>
              </w:rPr>
              <w:t>废止的行政规范性文件目录</w:t>
            </w:r>
            <w:r>
              <w:rPr>
                <w:rFonts w:hint="eastAsia" w:ascii="黑体" w:hAnsi="宋体" w:eastAsia="黑体" w:cs="宋体"/>
                <w:sz w:val="32"/>
                <w:szCs w:val="32"/>
                <w:lang w:eastAsia="zh-CN"/>
              </w:rPr>
              <w:t>（共</w:t>
            </w:r>
            <w:r>
              <w:rPr>
                <w:rFonts w:hint="eastAsia" w:ascii="黑体" w:hAnsi="宋体" w:eastAsia="黑体" w:cs="宋体"/>
                <w:sz w:val="32"/>
                <w:szCs w:val="32"/>
                <w:lang w:val="en-US" w:eastAsia="zh-CN"/>
              </w:rPr>
              <w:t>10件</w:t>
            </w:r>
            <w:r>
              <w:rPr>
                <w:rFonts w:hint="eastAsia" w:ascii="黑体" w:hAnsi="宋体" w:eastAsia="黑体" w:cs="宋体"/>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62" w:type="dxa"/>
            <w:noWrap w:val="0"/>
            <w:vAlign w:val="center"/>
          </w:tcPr>
          <w:p>
            <w:pPr>
              <w:jc w:val="center"/>
              <w:rPr>
                <w:rFonts w:hint="eastAsia" w:eastAsia="宋体"/>
                <w:vertAlign w:val="baseline"/>
                <w:lang w:eastAsia="zh-CN"/>
              </w:rPr>
            </w:pPr>
            <w:r>
              <w:rPr>
                <w:rFonts w:hint="eastAsia" w:ascii="黑体" w:hAnsi="黑体" w:eastAsia="黑体" w:cs="黑体"/>
                <w:sz w:val="32"/>
                <w:szCs w:val="32"/>
                <w:vertAlign w:val="baseline"/>
                <w:lang w:eastAsia="zh-CN"/>
              </w:rPr>
              <w:t>序号</w:t>
            </w:r>
          </w:p>
        </w:tc>
        <w:tc>
          <w:tcPr>
            <w:tcW w:w="5460" w:type="dxa"/>
            <w:noWrap w:val="0"/>
            <w:vAlign w:val="center"/>
          </w:tcPr>
          <w:p>
            <w:pPr>
              <w:spacing w:line="720" w:lineRule="auto"/>
              <w:jc w:val="center"/>
              <w:rPr>
                <w:rFonts w:hint="eastAsia" w:eastAsia="宋体"/>
                <w:vertAlign w:val="baseline"/>
                <w:lang w:eastAsia="zh-CN"/>
              </w:rPr>
            </w:pPr>
            <w:r>
              <w:rPr>
                <w:rFonts w:hint="eastAsia" w:ascii="黑体" w:hAnsi="黑体" w:eastAsia="黑体" w:cs="黑体"/>
                <w:sz w:val="32"/>
                <w:szCs w:val="32"/>
                <w:vertAlign w:val="baseline"/>
                <w:lang w:eastAsia="zh-CN"/>
              </w:rPr>
              <w:t>名称及文号</w:t>
            </w:r>
          </w:p>
        </w:tc>
        <w:tc>
          <w:tcPr>
            <w:tcW w:w="2236" w:type="dxa"/>
            <w:noWrap w:val="0"/>
            <w:vAlign w:val="center"/>
          </w:tcPr>
          <w:p>
            <w:pPr>
              <w:spacing w:line="720" w:lineRule="auto"/>
              <w:jc w:val="center"/>
              <w:rPr>
                <w:rFonts w:hint="eastAsia" w:eastAsia="宋体"/>
                <w:vertAlign w:val="baseline"/>
                <w:lang w:eastAsia="zh-CN"/>
              </w:rPr>
            </w:pPr>
            <w:r>
              <w:rPr>
                <w:rFonts w:hint="eastAsia" w:ascii="黑体" w:hAnsi="黑体" w:eastAsia="黑体" w:cs="黑体"/>
                <w:sz w:val="32"/>
                <w:szCs w:val="32"/>
                <w:vertAlign w:val="baseline"/>
                <w:lang w:eastAsia="zh-CN"/>
              </w:rPr>
              <w:t>废止理由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6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1</w:t>
            </w:r>
          </w:p>
        </w:tc>
        <w:tc>
          <w:tcPr>
            <w:tcW w:w="5460" w:type="dxa"/>
            <w:noWrap w:val="0"/>
            <w:vAlign w:val="top"/>
          </w:tcPr>
          <w:p>
            <w:pPr>
              <w:rPr>
                <w:sz w:val="24"/>
                <w:szCs w:val="24"/>
                <w:vertAlign w:val="baseline"/>
              </w:rPr>
            </w:pPr>
            <w:r>
              <w:rPr>
                <w:rFonts w:hint="eastAsia" w:ascii="仿宋_GB2312" w:hAnsi="宋体" w:eastAsia="仿宋_GB2312" w:cs="宋体"/>
                <w:color w:val="auto"/>
                <w:sz w:val="24"/>
                <w:szCs w:val="24"/>
                <w:lang w:val="en-US" w:eastAsia="zh-CN"/>
              </w:rPr>
              <w:t>湖州市人民政府关于加强涉水建设项目管理的意见（湖政发〔2005〕49号ZJEC00—2005—0005）</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不适应当前经济社会发展情况。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6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2</w:t>
            </w:r>
          </w:p>
        </w:tc>
        <w:tc>
          <w:tcPr>
            <w:tcW w:w="5460" w:type="dxa"/>
            <w:noWrap w:val="0"/>
            <w:vAlign w:val="top"/>
          </w:tcPr>
          <w:p>
            <w:pP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湖州市人民政府办公室关于印发&lt;湖州市重点市场认定办法&gt;的通知（湖政办函〔2006〕18号）ZJEC01—2006—0006）</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不适应当前经济社会发展情况。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6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3</w:t>
            </w:r>
          </w:p>
        </w:tc>
        <w:tc>
          <w:tcPr>
            <w:tcW w:w="5460" w:type="dxa"/>
            <w:noWrap w:val="0"/>
            <w:vAlign w:val="top"/>
          </w:tcPr>
          <w:p>
            <w:pP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湖州市人民政府办公室关于印发湖州市租赁经营企业工资支付保证金制度试行办法的通知（湖政办发〔2013〕123号ZJEC01—2013—0002）</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不适应当前经济社会发展情况。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6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4</w:t>
            </w:r>
          </w:p>
        </w:tc>
        <w:tc>
          <w:tcPr>
            <w:tcW w:w="5460" w:type="dxa"/>
            <w:noWrap w:val="0"/>
            <w:vAlign w:val="top"/>
          </w:tcPr>
          <w:p>
            <w:pP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湖州市人民政府办公室关于促进民办博物馆发展的意见（湖政办发〔2013〕133号</w:t>
            </w:r>
            <w:r>
              <w:rPr>
                <w:rFonts w:hint="eastAsia" w:ascii="仿宋_GB2312" w:hAnsi="宋体" w:eastAsia="仿宋_GB2312" w:cs="宋体"/>
                <w:color w:val="auto"/>
                <w:sz w:val="24"/>
                <w:szCs w:val="24"/>
              </w:rPr>
              <w:tab/>
            </w:r>
            <w:r>
              <w:rPr>
                <w:rFonts w:hint="eastAsia" w:ascii="仿宋_GB2312" w:hAnsi="宋体" w:eastAsia="仿宋_GB2312" w:cs="宋体"/>
                <w:color w:val="auto"/>
                <w:sz w:val="24"/>
                <w:szCs w:val="24"/>
              </w:rPr>
              <w:t>ZJEC01—2013—0007）</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不适应当前经济社会发展情况。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6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5</w:t>
            </w:r>
          </w:p>
        </w:tc>
        <w:tc>
          <w:tcPr>
            <w:tcW w:w="546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湖州市人民政府办公室关于加强税收征管保障工作的实施意见（湖政办发〔2014〕43号ZJEC01—2014—0002）</w:t>
            </w:r>
          </w:p>
        </w:tc>
        <w:tc>
          <w:tcPr>
            <w:tcW w:w="2236" w:type="dxa"/>
            <w:noWrap w:val="0"/>
            <w:vAlign w:val="top"/>
          </w:tcPr>
          <w:p>
            <w:pP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eastAsia="zh-CN"/>
              </w:rPr>
              <w:t>文件所依据的上位依据之一《浙江省人民政府办公厅关于加强税收征管保障工作的意见》（浙政办发</w:t>
            </w:r>
            <w:r>
              <w:rPr>
                <w:rFonts w:hint="default" w:ascii="仿宋_GB2312" w:hAnsi="仿宋_GB2312" w:eastAsia="仿宋_GB2312" w:cs="仿宋_GB2312"/>
                <w:sz w:val="22"/>
                <w:szCs w:val="22"/>
                <w:vertAlign w:val="baseline"/>
                <w:lang w:val="en" w:eastAsia="zh-CN"/>
              </w:rPr>
              <w:t>[</w:t>
            </w:r>
            <w:r>
              <w:rPr>
                <w:rFonts w:hint="eastAsia" w:ascii="仿宋_GB2312" w:hAnsi="仿宋_GB2312" w:eastAsia="仿宋_GB2312" w:cs="仿宋_GB2312"/>
                <w:sz w:val="22"/>
                <w:szCs w:val="22"/>
                <w:vertAlign w:val="baseline"/>
                <w:lang w:val="en-US" w:eastAsia="zh-CN"/>
              </w:rPr>
              <w:t>2013</w:t>
            </w:r>
            <w:r>
              <w:rPr>
                <w:rFonts w:hint="default" w:ascii="仿宋_GB2312" w:hAnsi="仿宋_GB2312" w:eastAsia="仿宋_GB2312" w:cs="仿宋_GB2312"/>
                <w:sz w:val="22"/>
                <w:szCs w:val="22"/>
                <w:vertAlign w:val="baseline"/>
                <w:lang w:val="en" w:eastAsia="zh-CN"/>
              </w:rPr>
              <w:t>]</w:t>
            </w:r>
            <w:r>
              <w:rPr>
                <w:rFonts w:hint="eastAsia" w:ascii="仿宋_GB2312" w:hAnsi="仿宋_GB2312" w:eastAsia="仿宋_GB2312" w:cs="仿宋_GB2312"/>
                <w:sz w:val="22"/>
                <w:szCs w:val="22"/>
                <w:vertAlign w:val="baseline"/>
                <w:lang w:val="en-US" w:eastAsia="zh-CN"/>
              </w:rPr>
              <w:t>145号）已失效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6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6</w:t>
            </w:r>
          </w:p>
        </w:tc>
        <w:tc>
          <w:tcPr>
            <w:tcW w:w="546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湖州市人民政府办公室关于印发湖州市本级开展调整城镇土地使用税政策促进土地集约节约利用工作实施方案(试行)的通知（湖政办函〔2014〕46号ZJEC01—2014—0026）</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不适应当前税收征管的现实需要。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6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7</w:t>
            </w:r>
          </w:p>
        </w:tc>
        <w:tc>
          <w:tcPr>
            <w:tcW w:w="546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湖州市人民政府办公室关于补齐科技短板加快创新驱动的十二条意见（湖政办发〔2016〕81号ZJEC01—2016—0026）</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不适应当前经济社会发展情况。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6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8</w:t>
            </w:r>
          </w:p>
        </w:tc>
        <w:tc>
          <w:tcPr>
            <w:tcW w:w="546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湖州市人民政府关于提升危险废物管理水平防范环境风险的若干意见（湖政发〔2017〕55号ZJEC00—2017—0021）</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不符合公平竞争审查要求。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96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9</w:t>
            </w:r>
          </w:p>
        </w:tc>
        <w:tc>
          <w:tcPr>
            <w:tcW w:w="546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湖州市人民政府办公室关于加快推进绿色产品认证试点的九条意见（试行）（湖政办发〔2018〕82号ZJEC01—2018—0047）</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不适应现行工作要求和营商环境优化工作。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962" w:type="dxa"/>
            <w:noWrap w:val="0"/>
            <w:vAlign w:val="center"/>
          </w:tcPr>
          <w:p>
            <w:pPr>
              <w:spacing w:line="480" w:lineRule="auto"/>
              <w:jc w:val="center"/>
              <w:rPr>
                <w:rFonts w:hint="default"/>
                <w:vertAlign w:val="baseline"/>
                <w:lang w:val="en-US" w:eastAsia="zh-CN"/>
              </w:rPr>
            </w:pPr>
            <w:r>
              <w:rPr>
                <w:rFonts w:hint="eastAsia"/>
                <w:vertAlign w:val="baseline"/>
                <w:lang w:val="en-US" w:eastAsia="zh-CN"/>
              </w:rPr>
              <w:t>10</w:t>
            </w:r>
          </w:p>
        </w:tc>
        <w:tc>
          <w:tcPr>
            <w:tcW w:w="546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湖州市人民政府办公室关于调整市本级城镇土地使用税政策促进土地集约节约利用的补充意见（湖政办函〔2019〕12号ZJEC01—2019—0018）</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不适应当前税收征管的现实需要。</w:t>
            </w:r>
          </w:p>
        </w:tc>
      </w:tr>
    </w:tbl>
    <w:p/>
    <w:tbl>
      <w:tblPr>
        <w:tblStyle w:val="5"/>
        <w:tblpPr w:leftFromText="180" w:rightFromText="180" w:vertAnchor="page" w:horzAnchor="page" w:tblpXSpec="center" w:tblpY="196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550"/>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658" w:type="dxa"/>
            <w:gridSpan w:val="3"/>
            <w:noWrap w:val="0"/>
            <w:vAlign w:val="top"/>
          </w:tcPr>
          <w:p>
            <w:pPr>
              <w:spacing w:line="720" w:lineRule="auto"/>
              <w:jc w:val="center"/>
              <w:rPr>
                <w:rFonts w:hint="eastAsia" w:ascii="黑体" w:hAnsi="黑体" w:eastAsia="黑体" w:cs="黑体"/>
                <w:sz w:val="32"/>
                <w:szCs w:val="32"/>
                <w:vertAlign w:val="baseline"/>
                <w:lang w:eastAsia="zh-CN"/>
              </w:rPr>
            </w:pPr>
            <w:r>
              <w:rPr>
                <w:rFonts w:hint="eastAsia" w:ascii="黑体" w:hAnsi="宋体" w:eastAsia="黑体" w:cs="宋体"/>
                <w:sz w:val="32"/>
                <w:szCs w:val="32"/>
                <w:lang w:val="en-US" w:eastAsia="zh-CN"/>
              </w:rPr>
              <w:t>二、拟修改的行政规范性文件目录（共14件）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72" w:type="dxa"/>
            <w:noWrap w:val="0"/>
            <w:vAlign w:val="center"/>
          </w:tcPr>
          <w:p>
            <w:pPr>
              <w:jc w:val="center"/>
              <w:rPr>
                <w:rFonts w:hint="eastAsia" w:eastAsia="宋体"/>
                <w:vertAlign w:val="baseline"/>
                <w:lang w:eastAsia="zh-CN"/>
              </w:rPr>
            </w:pPr>
            <w:r>
              <w:rPr>
                <w:rFonts w:hint="eastAsia" w:ascii="黑体" w:hAnsi="黑体" w:eastAsia="黑体" w:cs="黑体"/>
                <w:sz w:val="32"/>
                <w:szCs w:val="32"/>
                <w:vertAlign w:val="baseline"/>
                <w:lang w:eastAsia="zh-CN"/>
              </w:rPr>
              <w:t>序号</w:t>
            </w:r>
          </w:p>
        </w:tc>
        <w:tc>
          <w:tcPr>
            <w:tcW w:w="5550" w:type="dxa"/>
            <w:noWrap w:val="0"/>
            <w:vAlign w:val="center"/>
          </w:tcPr>
          <w:p>
            <w:pPr>
              <w:spacing w:line="720" w:lineRule="auto"/>
              <w:jc w:val="center"/>
              <w:rPr>
                <w:rFonts w:hint="eastAsia" w:eastAsia="宋体"/>
                <w:vertAlign w:val="baseline"/>
                <w:lang w:eastAsia="zh-CN"/>
              </w:rPr>
            </w:pPr>
            <w:r>
              <w:rPr>
                <w:rFonts w:hint="eastAsia" w:ascii="黑体" w:hAnsi="黑体" w:eastAsia="黑体" w:cs="黑体"/>
                <w:sz w:val="32"/>
                <w:szCs w:val="32"/>
                <w:vertAlign w:val="baseline"/>
                <w:lang w:eastAsia="zh-CN"/>
              </w:rPr>
              <w:t>名称及文号</w:t>
            </w:r>
          </w:p>
        </w:tc>
        <w:tc>
          <w:tcPr>
            <w:tcW w:w="2236" w:type="dxa"/>
            <w:noWrap w:val="0"/>
            <w:vAlign w:val="center"/>
          </w:tcPr>
          <w:p>
            <w:pPr>
              <w:spacing w:line="720" w:lineRule="auto"/>
              <w:jc w:val="center"/>
              <w:rPr>
                <w:rFonts w:hint="eastAsia" w:eastAsia="宋体"/>
                <w:vertAlign w:val="baseline"/>
                <w:lang w:eastAsia="zh-CN"/>
              </w:rPr>
            </w:pPr>
            <w:r>
              <w:rPr>
                <w:rFonts w:hint="eastAsia" w:ascii="黑体" w:hAnsi="黑体" w:eastAsia="黑体" w:cs="黑体"/>
                <w:sz w:val="32"/>
                <w:szCs w:val="32"/>
                <w:vertAlign w:val="baseline"/>
                <w:lang w:eastAsia="zh-CN"/>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7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1</w:t>
            </w:r>
          </w:p>
        </w:tc>
        <w:tc>
          <w:tcPr>
            <w:tcW w:w="5550" w:type="dxa"/>
            <w:noWrap w:val="0"/>
            <w:vAlign w:val="top"/>
          </w:tcPr>
          <w:p>
            <w:pPr>
              <w:rPr>
                <w:sz w:val="24"/>
                <w:szCs w:val="24"/>
                <w:vertAlign w:val="baseline"/>
              </w:rPr>
            </w:pPr>
            <w:r>
              <w:rPr>
                <w:rFonts w:hint="eastAsia" w:ascii="仿宋_GB2312" w:hAnsi="宋体" w:eastAsia="仿宋_GB2312" w:cs="宋体"/>
                <w:color w:val="auto"/>
                <w:sz w:val="24"/>
                <w:szCs w:val="24"/>
                <w:lang w:val="en-US" w:eastAsia="zh-CN"/>
              </w:rPr>
              <w:t>湖州市人民政府办公室关于印发湖州市建设工程勘察设计管理办法的通知（湖政办发〔2007〕41号</w:t>
            </w:r>
            <w:r>
              <w:rPr>
                <w:rFonts w:hint="eastAsia" w:ascii="仿宋_GB2312" w:hAnsi="宋体" w:eastAsia="仿宋_GB2312" w:cs="宋体"/>
                <w:color w:val="auto"/>
                <w:sz w:val="24"/>
                <w:szCs w:val="24"/>
              </w:rPr>
              <w:t>ZJEC01—2007—0005</w:t>
            </w:r>
            <w:r>
              <w:rPr>
                <w:rFonts w:hint="eastAsia" w:ascii="仿宋_GB2312" w:hAnsi="宋体" w:eastAsia="仿宋_GB2312" w:cs="宋体"/>
                <w:color w:val="auto"/>
                <w:sz w:val="24"/>
                <w:szCs w:val="24"/>
                <w:lang w:val="en-US" w:eastAsia="zh-CN"/>
              </w:rPr>
              <w:t>）</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不符合公平竞争审查要求。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7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2</w:t>
            </w:r>
          </w:p>
        </w:tc>
        <w:tc>
          <w:tcPr>
            <w:tcW w:w="5550" w:type="dxa"/>
            <w:noWrap w:val="0"/>
            <w:vAlign w:val="top"/>
          </w:tcPr>
          <w:p>
            <w:pP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湖州市人民政府办公室关于促进湖州市广告产业提升发展实施意见（湖政办发〔2011〕25号ZJEC01—2011—0002）</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法律法规和上级文件内容调整。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7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3</w:t>
            </w:r>
          </w:p>
        </w:tc>
        <w:tc>
          <w:tcPr>
            <w:tcW w:w="5550" w:type="dxa"/>
            <w:noWrap w:val="0"/>
            <w:vAlign w:val="top"/>
          </w:tcPr>
          <w:p>
            <w:pP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湖州市人民政府办公室关于印发湖州市农产品质量奖评选管理办法的通知（湖政办发〔2013〕72号ZJEC01—2013—0024）</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不符合公平竞争审查要求。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7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4</w:t>
            </w:r>
          </w:p>
        </w:tc>
        <w:tc>
          <w:tcPr>
            <w:tcW w:w="5550" w:type="dxa"/>
            <w:noWrap w:val="0"/>
            <w:vAlign w:val="top"/>
          </w:tcPr>
          <w:p>
            <w:pP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湖州市人民政府关于大力促进健康产业发展的实施意见（湖政发〔2015〕15号ZJEC00—2015—0006）</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rPr>
              <w:t>不符合</w:t>
            </w:r>
            <w:r>
              <w:rPr>
                <w:rFonts w:hint="eastAsia" w:ascii="仿宋_GB2312" w:hAnsi="仿宋_GB2312" w:eastAsia="仿宋_GB2312" w:cs="仿宋_GB2312"/>
                <w:sz w:val="22"/>
                <w:szCs w:val="22"/>
                <w:vertAlign w:val="baseline"/>
                <w:lang w:eastAsia="zh-CN"/>
              </w:rPr>
              <w:t>优化营商环境政策精神。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7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5</w:t>
            </w:r>
          </w:p>
        </w:tc>
        <w:tc>
          <w:tcPr>
            <w:tcW w:w="555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湖州市人民政府关于环境污染责任保险工作的实施意见（湖政发〔2017〕54号ZJEC00—2017—0020）</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不适应经济社会发展情况。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7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6</w:t>
            </w:r>
          </w:p>
        </w:tc>
        <w:tc>
          <w:tcPr>
            <w:tcW w:w="555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湖州市人民政府办公室关于印发湖州市企业投资项目“标准地”模式实施方案和湖州市企业投资项目发改委“一窗服务”实施方案的通知（湖政办发〔2018〕3号ZJEC01—2018—0001）</w:t>
            </w:r>
          </w:p>
        </w:tc>
        <w:tc>
          <w:tcPr>
            <w:tcW w:w="2236" w:type="dxa"/>
            <w:noWrap w:val="0"/>
            <w:vAlign w:val="top"/>
          </w:tcPr>
          <w:p>
            <w:pPr>
              <w:rPr>
                <w:rFonts w:hint="eastAsia" w:ascii="仿宋_GB2312" w:hAnsi="仿宋_GB2312" w:eastAsia="仿宋_GB2312" w:cs="仿宋_GB2312"/>
                <w:sz w:val="22"/>
                <w:szCs w:val="22"/>
                <w:vertAlign w:val="baseline"/>
              </w:rPr>
            </w:pPr>
            <w:r>
              <w:rPr>
                <w:rFonts w:hint="eastAsia" w:ascii="仿宋_GB2312" w:hAnsi="仿宋_GB2312" w:eastAsia="仿宋_GB2312" w:cs="仿宋_GB2312"/>
                <w:color w:val="auto"/>
                <w:kern w:val="0"/>
                <w:sz w:val="22"/>
                <w:szCs w:val="22"/>
                <w:u w:val="none" w:color="000000"/>
                <w:lang w:val="en-US" w:eastAsia="zh-CN" w:bidi="ar-SA"/>
              </w:rPr>
              <w:t>不符合全国统大一市场政策要求。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7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7</w:t>
            </w:r>
          </w:p>
        </w:tc>
        <w:tc>
          <w:tcPr>
            <w:tcW w:w="555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湖州市人民政府办公室关于印发《湖州市政府质量奖评审管理办法（2018年修订）》的通知（湖政办发〔2018〕62号ZJEC01—2018—0033）</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法律法规和上级文件内容调整。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7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8</w:t>
            </w:r>
          </w:p>
        </w:tc>
        <w:tc>
          <w:tcPr>
            <w:tcW w:w="555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湖州市人民政府办公室关于印发湖州市促进融资担保行业健康发展实施办法的通知（湖政办发〔2019〕29号ZJEC01—2019—0015）</w:t>
            </w:r>
          </w:p>
        </w:tc>
        <w:tc>
          <w:tcPr>
            <w:tcW w:w="2236" w:type="dxa"/>
            <w:noWrap w:val="0"/>
            <w:vAlign w:val="top"/>
          </w:tcPr>
          <w:p>
            <w:pPr>
              <w:rPr>
                <w:rFonts w:hint="eastAsia" w:ascii="仿宋_GB2312" w:hAnsi="仿宋_GB2312" w:eastAsia="仿宋_GB2312" w:cs="仿宋_GB2312"/>
                <w:sz w:val="22"/>
                <w:szCs w:val="22"/>
                <w:vertAlign w:val="baseline"/>
              </w:rPr>
            </w:pPr>
            <w:r>
              <w:rPr>
                <w:rFonts w:hint="eastAsia" w:ascii="仿宋_GB2312" w:hAnsi="仿宋_GB2312" w:eastAsia="仿宋_GB2312" w:cs="仿宋_GB2312"/>
                <w:sz w:val="22"/>
                <w:szCs w:val="22"/>
                <w:vertAlign w:val="baseline"/>
                <w:lang w:eastAsia="zh-CN"/>
              </w:rPr>
              <w:t>不符合公平竞争审查要求。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72" w:type="dxa"/>
            <w:noWrap w:val="0"/>
            <w:vAlign w:val="center"/>
          </w:tcPr>
          <w:p>
            <w:pPr>
              <w:spacing w:line="480" w:lineRule="auto"/>
              <w:jc w:val="center"/>
              <w:rPr>
                <w:rFonts w:hint="eastAsia" w:eastAsia="宋体"/>
                <w:vertAlign w:val="baseline"/>
                <w:lang w:val="en-US" w:eastAsia="zh-CN"/>
              </w:rPr>
            </w:pPr>
            <w:r>
              <w:rPr>
                <w:rFonts w:hint="eastAsia"/>
                <w:vertAlign w:val="baseline"/>
                <w:lang w:val="en-US" w:eastAsia="zh-CN"/>
              </w:rPr>
              <w:t>9</w:t>
            </w:r>
          </w:p>
        </w:tc>
        <w:tc>
          <w:tcPr>
            <w:tcW w:w="555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湖州市人民政府关于加快推动文化产业成为千亿级产业的实施意见（湖政发〔2020〕11号ZJEC00—2020—0009）</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结合市直政府性专项资金政策整合优化工作对有关内容修改。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72" w:type="dxa"/>
            <w:noWrap w:val="0"/>
            <w:vAlign w:val="center"/>
          </w:tcPr>
          <w:p>
            <w:pPr>
              <w:spacing w:line="480" w:lineRule="auto"/>
              <w:jc w:val="center"/>
              <w:rPr>
                <w:rFonts w:hint="default"/>
                <w:vertAlign w:val="baseline"/>
                <w:lang w:val="en-US" w:eastAsia="zh-CN"/>
              </w:rPr>
            </w:pPr>
            <w:r>
              <w:rPr>
                <w:rFonts w:hint="eastAsia"/>
                <w:vertAlign w:val="baseline"/>
                <w:lang w:val="en-US" w:eastAsia="zh-CN"/>
              </w:rPr>
              <w:t>10</w:t>
            </w:r>
          </w:p>
        </w:tc>
        <w:tc>
          <w:tcPr>
            <w:tcW w:w="555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湖州市人民政府办公室关于印发湖州市本级新能源汽车推广应用地方补助实施办法的通知（湖政办发〔2020〕31号ZJEC01—2020—0013）</w:t>
            </w:r>
          </w:p>
        </w:tc>
        <w:tc>
          <w:tcPr>
            <w:tcW w:w="2236" w:type="dxa"/>
            <w:noWrap w:val="0"/>
            <w:vAlign w:val="top"/>
          </w:tcPr>
          <w:p>
            <w:pPr>
              <w:rPr>
                <w:rFonts w:hint="eastAsia" w:ascii="仿宋_GB2312" w:hAnsi="仿宋_GB2312" w:eastAsia="仿宋_GB2312" w:cs="仿宋_GB2312"/>
                <w:sz w:val="22"/>
                <w:szCs w:val="22"/>
                <w:vertAlign w:val="baseline"/>
              </w:rPr>
            </w:pPr>
            <w:r>
              <w:rPr>
                <w:rFonts w:hint="eastAsia" w:ascii="仿宋_GB2312" w:hAnsi="仿宋_GB2312" w:eastAsia="仿宋_GB2312" w:cs="仿宋_GB2312"/>
                <w:sz w:val="22"/>
                <w:szCs w:val="22"/>
                <w:vertAlign w:val="baseline"/>
                <w:lang w:eastAsia="zh-CN"/>
              </w:rPr>
              <w:t>不符合公平竞争审查要求。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72" w:type="dxa"/>
            <w:noWrap w:val="0"/>
            <w:vAlign w:val="center"/>
          </w:tcPr>
          <w:p>
            <w:pPr>
              <w:spacing w:line="480" w:lineRule="auto"/>
              <w:jc w:val="center"/>
              <w:rPr>
                <w:rFonts w:hint="default"/>
                <w:vertAlign w:val="baseline"/>
                <w:lang w:val="en-US" w:eastAsia="zh-CN"/>
              </w:rPr>
            </w:pPr>
            <w:r>
              <w:rPr>
                <w:rFonts w:hint="eastAsia"/>
                <w:vertAlign w:val="baseline"/>
                <w:lang w:val="en-US" w:eastAsia="zh-CN"/>
              </w:rPr>
              <w:t>11</w:t>
            </w:r>
          </w:p>
        </w:tc>
        <w:tc>
          <w:tcPr>
            <w:tcW w:w="555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湖州市人民政府关于印发湖州市公共数据安全管理暂行办法的通知（湖政发〔2020〕17号ZJEC00-2020-0014）</w:t>
            </w:r>
          </w:p>
        </w:tc>
        <w:tc>
          <w:tcPr>
            <w:tcW w:w="2236" w:type="dxa"/>
            <w:noWrap w:val="0"/>
            <w:vAlign w:val="top"/>
          </w:tcPr>
          <w:p>
            <w:pPr>
              <w:rPr>
                <w:rFonts w:hint="eastAsia" w:ascii="仿宋_GB2312" w:hAnsi="仿宋_GB2312" w:eastAsia="仿宋_GB2312" w:cs="仿宋_GB2312"/>
                <w:sz w:val="22"/>
                <w:szCs w:val="22"/>
                <w:vertAlign w:val="baseline"/>
              </w:rPr>
            </w:pPr>
            <w:r>
              <w:rPr>
                <w:rFonts w:hint="eastAsia" w:ascii="仿宋_GB2312" w:hAnsi="仿宋_GB2312" w:eastAsia="仿宋_GB2312" w:cs="仿宋_GB2312"/>
                <w:sz w:val="22"/>
                <w:szCs w:val="22"/>
                <w:vertAlign w:val="baseline"/>
                <w:lang w:eastAsia="zh-CN"/>
              </w:rPr>
              <w:t>不符合公平竞争审查要求。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72" w:type="dxa"/>
            <w:noWrap w:val="0"/>
            <w:vAlign w:val="center"/>
          </w:tcPr>
          <w:p>
            <w:pPr>
              <w:spacing w:line="480" w:lineRule="auto"/>
              <w:jc w:val="center"/>
              <w:rPr>
                <w:rFonts w:hint="default"/>
                <w:vertAlign w:val="baseline"/>
                <w:lang w:val="en-US" w:eastAsia="zh-CN"/>
              </w:rPr>
            </w:pPr>
            <w:r>
              <w:rPr>
                <w:rFonts w:hint="eastAsia"/>
                <w:vertAlign w:val="baseline"/>
                <w:lang w:val="en-US" w:eastAsia="zh-CN"/>
              </w:rPr>
              <w:t>12</w:t>
            </w:r>
          </w:p>
        </w:tc>
        <w:tc>
          <w:tcPr>
            <w:tcW w:w="555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湖州市人民政府办公室关于支持农业高质量发展的意见（湖政办发〔2021〕29号ZJEC01—2021—0007）</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不符合公平竞争审查要求。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72" w:type="dxa"/>
            <w:noWrap w:val="0"/>
            <w:vAlign w:val="center"/>
          </w:tcPr>
          <w:p>
            <w:pPr>
              <w:spacing w:line="480" w:lineRule="auto"/>
              <w:jc w:val="center"/>
              <w:rPr>
                <w:rFonts w:hint="default"/>
                <w:vertAlign w:val="baseline"/>
                <w:lang w:val="en-US" w:eastAsia="zh-CN"/>
              </w:rPr>
            </w:pPr>
            <w:r>
              <w:rPr>
                <w:rFonts w:hint="eastAsia"/>
                <w:vertAlign w:val="baseline"/>
                <w:lang w:val="en-US" w:eastAsia="zh-CN"/>
              </w:rPr>
              <w:t>13</w:t>
            </w:r>
          </w:p>
        </w:tc>
        <w:tc>
          <w:tcPr>
            <w:tcW w:w="5550" w:type="dxa"/>
            <w:noWrap w:val="0"/>
            <w:vAlign w:val="top"/>
          </w:tcPr>
          <w:p>
            <w:pPr>
              <w:jc w:val="both"/>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湖州市人民政府办公室关于印发湖州市牛羊定点屠宰实施方案的通知（湖政办发〔2023〕1号ZJEC01-2023-0001）</w:t>
            </w:r>
          </w:p>
        </w:tc>
        <w:tc>
          <w:tcPr>
            <w:tcW w:w="2236" w:type="dxa"/>
            <w:noWrap w:val="0"/>
            <w:vAlign w:val="top"/>
          </w:tcPr>
          <w:p>
            <w:pPr>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个别条款与上位依据存在冲突。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72" w:type="dxa"/>
            <w:noWrap w:val="0"/>
            <w:vAlign w:val="center"/>
          </w:tcPr>
          <w:p>
            <w:pPr>
              <w:spacing w:line="480" w:lineRule="auto"/>
              <w:jc w:val="center"/>
              <w:rPr>
                <w:rFonts w:hint="default"/>
                <w:vertAlign w:val="baseline"/>
                <w:lang w:val="en-US" w:eastAsia="zh-CN"/>
              </w:rPr>
            </w:pPr>
            <w:r>
              <w:rPr>
                <w:rFonts w:hint="eastAsia"/>
                <w:vertAlign w:val="baseline"/>
                <w:lang w:val="en-US" w:eastAsia="zh-CN"/>
              </w:rPr>
              <w:t>14</w:t>
            </w:r>
          </w:p>
        </w:tc>
        <w:tc>
          <w:tcPr>
            <w:tcW w:w="5550" w:type="dxa"/>
            <w:noWrap w:val="0"/>
            <w:vAlign w:val="top"/>
          </w:tcPr>
          <w:p>
            <w:pPr>
              <w:rPr>
                <w:rFonts w:hint="eastAsia" w:ascii="仿宋_GB2312" w:hAnsi="宋体" w:eastAsia="仿宋_GB2312" w:cs="宋体"/>
                <w:color w:val="auto"/>
                <w:kern w:val="2"/>
                <w:sz w:val="24"/>
                <w:szCs w:val="24"/>
                <w:lang w:val="en-US" w:eastAsia="zh-CN" w:bidi="ar-SA"/>
              </w:rPr>
            </w:pPr>
            <w:r>
              <w:rPr>
                <w:rFonts w:hint="eastAsia" w:ascii="仿宋_GB2312" w:hAnsi="宋体" w:eastAsia="仿宋_GB2312" w:cs="宋体"/>
                <w:color w:val="auto"/>
                <w:kern w:val="2"/>
                <w:sz w:val="24"/>
                <w:szCs w:val="24"/>
                <w:lang w:val="en-US" w:eastAsia="zh-CN" w:bidi="ar-SA"/>
              </w:rPr>
              <w:t>湖州市人民政府办公室关于印发湖州市政务信息化项目管理办法的通知（湖政办发〔2023〕15号ZJEC01-2023-0002）</w:t>
            </w:r>
          </w:p>
        </w:tc>
        <w:tc>
          <w:tcPr>
            <w:tcW w:w="2236" w:type="dxa"/>
            <w:noWrap w:val="0"/>
            <w:vAlign w:val="top"/>
          </w:tcPr>
          <w:p>
            <w:pPr>
              <w:rPr>
                <w:rFonts w:hint="eastAsia" w:eastAsia="宋体"/>
                <w:vertAlign w:val="baseline"/>
                <w:lang w:eastAsia="zh-CN"/>
              </w:rPr>
            </w:pPr>
            <w:r>
              <w:rPr>
                <w:rFonts w:hint="eastAsia" w:ascii="仿宋_GB2312" w:hAnsi="仿宋_GB2312" w:eastAsia="仿宋_GB2312" w:cs="仿宋_GB2312"/>
                <w:sz w:val="22"/>
                <w:szCs w:val="22"/>
                <w:vertAlign w:val="baseline"/>
                <w:lang w:eastAsia="zh-CN"/>
              </w:rPr>
              <w:t>涉嫌减免法定程序。</w:t>
            </w:r>
          </w:p>
        </w:tc>
      </w:tr>
    </w:tbl>
    <w:p>
      <w:pPr>
        <w:pStyle w:val="2"/>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E4DD8"/>
    <w:rsid w:val="3E8E4DD8"/>
    <w:rsid w:val="65930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uiPriority w:val="99"/>
    <w:pPr>
      <w:widowControl w:val="0"/>
      <w:autoSpaceDE w:val="0"/>
      <w:autoSpaceDN w:val="0"/>
      <w:adjustRightInd w:val="0"/>
    </w:pPr>
    <w:rPr>
      <w:rFonts w:ascii="Calibri" w:hAnsi="Calibri" w:eastAsia="宋体" w:cs="Calibri"/>
      <w:color w:val="000000"/>
      <w:kern w:val="0"/>
      <w:sz w:val="24"/>
      <w:szCs w:val="24"/>
      <w:lang w:val="en-US" w:eastAsia="zh-CN" w:bidi="ar-SA"/>
    </w:rPr>
  </w:style>
  <w:style w:type="paragraph" w:styleId="3">
    <w:name w:val="Plain Text"/>
    <w:basedOn w:val="1"/>
    <w:qFormat/>
    <w:uiPriority w:val="99"/>
    <w:rPr>
      <w:rFonts w:ascii="宋体" w:hAnsi="Courier New" w:cs="Courier New"/>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2024-03-28T07:54:00Z</dcterms:created>
  <dc:creator>陆锋锋</dc:creator>
  <lastModifiedBy>陆锋锋</lastModifiedBy>
  <dcterms:modified xsi:type="dcterms:W3CDTF">2024-03-28T07:55:56Z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