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德清县生态环境监测站</w:t>
      </w: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2024年单位预算</w:t>
      </w:r>
    </w:p>
    <w:p>
      <w:pPr>
        <w:spacing w:line="560" w:lineRule="exact"/>
        <w:ind w:firstLine="590" w:firstLineChars="196"/>
        <w:rPr>
          <w:rStyle w:val="9"/>
          <w:color w:val="000000"/>
          <w:sz w:val="30"/>
          <w:szCs w:val="30"/>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二、2024年德清县生态环境监测站单位预算安排情况说明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（一）关于德清县生态环境监测站2024年收支预算情况的总体说明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（二）关于德清县生态环境监测站2024年收入预算情况说明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（三）关于德清县生态环境监测站2024年支出预算情况说明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（四）关于德清县生态环境监测站2024年财政拨款收支预算情况的总体说明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（五）关于德清县生态环境监测站2024年一般公共预算拨款情况说明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（六）关于德清县生态环境监测站2024年一般公共预算基本支出情况说明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（七）关于德清县生态环境监测站2024年政府性基金预算支出情况说明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（八）关于德清县生态环境监测站2024年国有资本经营预算支出情况说明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（九）关于德清县生态环境监测站2024年一般公共预算“三公”经费预算情况说明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四、2024年德清县生态环境监测站单位预算表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right="0" w:rightChars="0" w:firstLine="640" w:firstLineChars="200"/>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1、贯彻执行国家、省和市有关生态环境的法律法规和政策，根据职责和授权拟订并监督实施生态环境保护规范性文件。</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2、负责生态环境保护方面的制度建设。会同有关部门拟订并组织实施本行政区域生态环境政策、规划。会同有关部门编制并监督实施辖区重点区域、流域、饮用水水源地生态环境规划和水功能区划。</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3、统筹协调和监督管理生态环境保护工作。组织协调辖区环境污染事故和生态破坏事件的调查处理，指导协调辖区突发生态环境事件的应急、预警工作，参与实施生态环境损害赔偿制度。</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4、监督管理减排目标的落实。根据国家和省、市核定的污染物减排指标，组织制定并监督实施本辖区污染物排放总量控制计划及相关措施，监督实施排污许可制度，监督检查污染物减排任务完成情况，实施生态环境保护目标责任制。组织协调应对气候变化和温室气体减排工作。</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5、负责环境污染防治的监督管理。制定本辖区大气、水、土壤、噪声、光、恶臭、固体废物、化学品、机动车等的污染防治管理制度并监督实施。组织、指导城乡生态环境综合整治工作, 监督、指导农业面源污染治理工作。组织协调区域大气污染联防联控工作。会同有关部门监督管理饮用水水源地生态环境保护工作。</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6、指导协调和监督生态保护修复工作。监督管理对生态环境有影响的自然资源开发利用活动、生态环境建设和生态破坏恢复工作，以及监督野生动植物保护、湿地生态环境保护等工作。指导协调和监督农村生态环境保护，组织协调生物多样性保护</w:t>
      </w:r>
      <w:r>
        <w:rPr>
          <w:rFonts w:hint="eastAsia" w:ascii="仿宋_GB2312" w:eastAsia="仿宋_GB2312"/>
          <w:bCs/>
          <w:sz w:val="32"/>
          <w:szCs w:val="32"/>
          <w:lang w:val="en-US" w:eastAsia="zh-CN"/>
        </w:rPr>
        <w:t>，</w:t>
      </w:r>
      <w:r>
        <w:rPr>
          <w:rFonts w:hint="eastAsia" w:ascii="仿宋_GB2312" w:eastAsia="仿宋_GB2312"/>
          <w:bCs/>
          <w:sz w:val="32"/>
          <w:szCs w:val="32"/>
        </w:rPr>
        <w:t>参与生态保护补偿工作。</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7、负责辐射环境安全的监管工作。监督管理核技术应用、电磁辐射、放射源和放射性废物，以及伴有放射性矿产资源开发利用中的污染防治。</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8、负责生态环境准入的监督管理。组织实施生态环境准入清单。按国家、省市规定和授权审批或审查开发建设区域、规划、项目环境影响评价文件。</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9、负责生态环境监测工作。组织开展生态环境相关监测。组织开展生态环境质量状况调查评价、预警预测。统一发布辖区环境状况公报和重大生态环境相关信息。承担生态环境信息化工作。</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10、承担生态环境保护综合行政执法相关工作。按照生态环境保护综合行政执法改革要求，负责相关领域综合行政执法。</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11、组织开展生态环境科技工作，组织生态环境科学研究和技术工程示范，推动生态环境技术管理体系建设。</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12、会同有关部门管理生态环境有关资金。提出生态环境方面政府财政性资金安排的建议，配合有关部门组织实施投资项目，并监督管理资金使用。参与指导循环经济和生态环保产业。</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13、组织开展和指导生态环境宣传教育工作。制定并组织实施生态环境保护宣传教育规划，引导、鼓励社会组织和公众参与生态环境保护。</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14、协助县委生态文明建设办公室推进生态文明建设。</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15、完成市生态环境局和德清县委、县政府交办的其他任务。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ind w:firstLine="627" w:firstLineChars="196"/>
        <w:rPr>
          <w:rFonts w:hint="eastAsia" w:eastAsia="仿宋_GB2312"/>
          <w:lang w:eastAsia="zh-CN"/>
        </w:rPr>
      </w:pPr>
      <w:r>
        <w:rPr>
          <w:rFonts w:hint="eastAsia" w:ascii="仿宋_GB2312" w:eastAsia="仿宋_GB2312"/>
          <w:bCs/>
          <w:sz w:val="32"/>
          <w:szCs w:val="32"/>
        </w:rPr>
        <w:t>从预算单位构成看，德清县生态环境监测站预算包括：</w:t>
      </w:r>
      <w:r>
        <w:rPr>
          <w:rFonts w:hint="eastAsia" w:ascii="仿宋_GB2312" w:eastAsia="仿宋_GB2312"/>
          <w:bCs/>
          <w:sz w:val="32"/>
          <w:szCs w:val="32"/>
          <w:lang w:eastAsia="zh-CN"/>
        </w:rPr>
        <w:t>德清县生态环境监测站。</w:t>
      </w:r>
    </w:p>
    <w:p>
      <w:pPr>
        <w:spacing w:line="520" w:lineRule="exact"/>
        <w:ind w:firstLine="640" w:firstLineChars="200"/>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二、2024年德清县生态环境监测站单位预算安排情况说明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（一）关于德清县生态环境监测站</w:t>
      </w:r>
      <w:r>
        <w:rPr>
          <w:rStyle w:val="9"/>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综合预算的原则，德清县生态环境监测站</w:t>
      </w:r>
      <w:r>
        <w:rPr>
          <w:rFonts w:hint="eastAsia" w:ascii="仿宋_GB2312" w:eastAsia="仿宋_GB2312"/>
          <w:color w:val="000000"/>
          <w:sz w:val="32"/>
          <w:szCs w:val="32"/>
        </w:rPr>
        <w:t>所有收入和支出均纳入部门预算管理。收入包括：一般公共预算拨款收入；支出包括：社会保障和就业支出、卫生健康支出、节能环保支出。德清县生态环境监测站2024年收支总预算1111.61万元。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（二）关于德清县生态环境监测站2024年收入预算情况说明</w:t>
      </w:r>
    </w:p>
    <w:p>
      <w:pPr>
        <w:keepNext w:val="0"/>
        <w:keepLines w:val="0"/>
        <w:pageBreakBefore w:val="0"/>
        <w:kinsoku/>
        <w:wordWrap/>
        <w:overflowPunct/>
        <w:topLinePunct w:val="0"/>
        <w:bidi w:val="0"/>
        <w:spacing w:line="500" w:lineRule="exact"/>
        <w:ind w:firstLine="642"/>
        <w:textAlignment w:val="auto"/>
        <w:rPr>
          <w:rFonts w:hint="eastAsia" w:ascii="仿宋_GB2312" w:eastAsia="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rPr>
        <w:t>德清县生态环境监测站2024年收入预算1111.61万元，比上年执行数减少</w:t>
      </w:r>
      <w:r>
        <w:rPr>
          <w:rFonts w:hint="eastAsia" w:ascii="仿宋_GB2312" w:hAnsi="仿宋_GB2312" w:eastAsia="仿宋_GB2312" w:cs="仿宋_GB2312"/>
          <w:color w:val="000000"/>
          <w:sz w:val="32"/>
          <w:szCs w:val="32"/>
          <w:highlight w:val="none"/>
          <w:lang w:val="en-US" w:eastAsia="zh-CN"/>
        </w:rPr>
        <w:t>23.62</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2.1</w:t>
      </w:r>
      <w:r>
        <w:rPr>
          <w:rFonts w:hint="eastAsia" w:ascii="仿宋_GB2312" w:hAnsi="仿宋_GB2312" w:eastAsia="仿宋_GB2312" w:cs="仿宋_GB2312"/>
          <w:color w:val="000000"/>
          <w:sz w:val="32"/>
          <w:highlight w:val="none"/>
        </w:rPr>
        <w:t>%，</w:t>
      </w:r>
      <w:r>
        <w:rPr>
          <w:rFonts w:hint="eastAsia" w:ascii="仿宋_GB2312" w:eastAsia="仿宋_GB2312"/>
          <w:color w:val="000000"/>
          <w:sz w:val="32"/>
          <w:szCs w:val="32"/>
        </w:rPr>
        <w:t>主要是项目资金安排与上年相比有变动。</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1111.61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（三）关于德清县生态环境监测站2024年支出预算情况说明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德清县生态环境监测站</w:t>
      </w:r>
      <w:r>
        <w:rPr>
          <w:rFonts w:hint="eastAsia" w:ascii="仿宋_GB2312" w:hAnsi="仿宋_GB2312" w:eastAsia="仿宋_GB2312" w:cs="仿宋_GB2312"/>
          <w:color w:val="000000"/>
          <w:sz w:val="32"/>
          <w:szCs w:val="32"/>
          <w:highlight w:val="none"/>
        </w:rPr>
        <w:t>2024年支出预算1111.61万元，比上年执行数减少</w:t>
      </w:r>
      <w:r>
        <w:rPr>
          <w:rFonts w:hint="eastAsia" w:ascii="仿宋_GB2312" w:hAnsi="仿宋_GB2312" w:eastAsia="仿宋_GB2312" w:cs="仿宋_GB2312"/>
          <w:color w:val="000000"/>
          <w:sz w:val="32"/>
          <w:szCs w:val="32"/>
          <w:highlight w:val="none"/>
          <w:lang w:val="en-US" w:eastAsia="zh-CN"/>
        </w:rPr>
        <w:t>23.62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2.1</w:t>
      </w:r>
      <w:r>
        <w:rPr>
          <w:rFonts w:hint="eastAsia" w:ascii="仿宋_GB2312" w:hAnsi="仿宋_GB2312" w:eastAsia="仿宋_GB2312" w:cs="仿宋_GB2312"/>
          <w:color w:val="000000"/>
          <w:sz w:val="32"/>
          <w:highlight w:val="none"/>
        </w:rPr>
        <w:t>%，</w:t>
      </w:r>
      <w:r>
        <w:rPr>
          <w:rFonts w:hint="eastAsia" w:ascii="仿宋_GB2312" w:eastAsia="仿宋_GB2312"/>
          <w:color w:val="000000"/>
          <w:sz w:val="32"/>
          <w:szCs w:val="32"/>
          <w:highlight w:val="none"/>
        </w:rPr>
        <w:t>主</w:t>
      </w:r>
      <w:r>
        <w:rPr>
          <w:rFonts w:hint="eastAsia" w:ascii="仿宋_GB2312" w:eastAsia="仿宋_GB2312"/>
          <w:color w:val="000000"/>
          <w:sz w:val="32"/>
          <w:szCs w:val="32"/>
        </w:rPr>
        <w:t>要是项目资金安排与上年相比有变动。</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1.按支出功能分类，包括社会保障和就业支出40.61万元卫生健康支出25.57万元、节能环保支出1045.43万元。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2.按支出用途分类，包括人员支出597.94万元，占53.8%；日常公用支出124.32万元，占11.2%；项目支出389.35万元，占35.0%。</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（四）关于德清县生态环境监测站2024年财政拨款收支预算情况的总体说明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德清县生态环境监测站2024年财政拨款收支总预算1111.61万元。收入包括：一般公共预算1111.61万元；支出包括：社会保障和就业支出40.61万元、卫生健康支出25.57万元、节能环保支出1045.43万元。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关于德清县生态环境监测站2024年一般公共预算拨款情况说明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　德清县生态环境监测站</w:t>
      </w:r>
      <w:r>
        <w:rPr>
          <w:rFonts w:hint="eastAsia" w:ascii="仿宋_GB2312" w:hAnsi="仿宋_GB2312" w:eastAsia="仿宋_GB2312" w:cs="仿宋_GB2312"/>
          <w:color w:val="000000"/>
          <w:sz w:val="32"/>
          <w:szCs w:val="32"/>
          <w:highlight w:val="none"/>
        </w:rPr>
        <w:t>2024年支出预算1111.61万元，比上年执行数减少</w:t>
      </w:r>
      <w:r>
        <w:rPr>
          <w:rFonts w:hint="eastAsia" w:ascii="仿宋_GB2312" w:hAnsi="仿宋_GB2312" w:eastAsia="仿宋_GB2312" w:cs="仿宋_GB2312"/>
          <w:color w:val="000000"/>
          <w:sz w:val="32"/>
          <w:szCs w:val="32"/>
          <w:highlight w:val="none"/>
          <w:lang w:val="en-US" w:eastAsia="zh-CN"/>
        </w:rPr>
        <w:t>23.62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2.1</w:t>
      </w:r>
      <w:r>
        <w:rPr>
          <w:rFonts w:hint="eastAsia" w:ascii="仿宋_GB2312" w:hAnsi="仿宋_GB2312" w:eastAsia="仿宋_GB2312" w:cs="仿宋_GB2312"/>
          <w:color w:val="000000"/>
          <w:sz w:val="32"/>
          <w:highlight w:val="none"/>
        </w:rPr>
        <w:t>%，</w:t>
      </w:r>
      <w:r>
        <w:rPr>
          <w:rFonts w:hint="eastAsia" w:ascii="仿宋_GB2312" w:eastAsia="仿宋_GB2312"/>
          <w:color w:val="000000"/>
          <w:sz w:val="32"/>
          <w:szCs w:val="32"/>
          <w:highlight w:val="none"/>
        </w:rPr>
        <w:t>主</w:t>
      </w:r>
      <w:r>
        <w:rPr>
          <w:rFonts w:hint="eastAsia" w:ascii="仿宋_GB2312" w:eastAsia="仿宋_GB2312"/>
          <w:color w:val="000000"/>
          <w:sz w:val="32"/>
          <w:szCs w:val="32"/>
        </w:rPr>
        <w:t>要是项目资金安排与上年相比有变动。</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社会保障和就业支出40.61万元，占3.7%；卫生健康支出25.57万元，占2.3%；节能环保支出1045.43万元，占94.0%。</w:t>
      </w:r>
    </w:p>
    <w:p>
      <w:pPr>
        <w:numPr>
          <w:ilvl w:val="0"/>
          <w:numId w:val="0"/>
        </w:num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一般公共预算拨款具体使用情况。</w:t>
      </w:r>
    </w:p>
    <w:p>
      <w:pPr>
        <w:keepNext w:val="0"/>
        <w:keepLines w:val="0"/>
        <w:pageBreakBefore w:val="0"/>
        <w:kinsoku/>
        <w:wordWrap/>
        <w:overflowPunct/>
        <w:topLinePunct w:val="0"/>
        <w:bidi w:val="0"/>
        <w:spacing w:line="500" w:lineRule="exact"/>
        <w:ind w:firstLine="640"/>
        <w:jc w:val="left"/>
        <w:textAlignment w:val="auto"/>
        <w:rPr>
          <w:rFonts w:ascii="仿宋_GB2312" w:eastAsia="仿宋_GB2312"/>
          <w:color w:val="000000"/>
          <w:sz w:val="32"/>
          <w:szCs w:val="32"/>
        </w:rPr>
      </w:pPr>
      <w:r>
        <w:rPr>
          <w:rFonts w:hint="eastAsia" w:ascii="仿宋_GB2312" w:eastAsia="仿宋_GB2312"/>
          <w:color w:val="000000"/>
          <w:sz w:val="32"/>
          <w:szCs w:val="32"/>
        </w:rPr>
        <w:t>（1）社会保障和就业支出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事业单位离退休</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rPr>
        <w:t>4.3</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万元，主要用于事业单位离退休干部职工福利费及活动费。</w:t>
      </w:r>
    </w:p>
    <w:p>
      <w:pPr>
        <w:keepNext w:val="0"/>
        <w:keepLines w:val="0"/>
        <w:pageBreakBefore w:val="0"/>
        <w:kinsoku/>
        <w:wordWrap/>
        <w:overflowPunct/>
        <w:topLinePunct w:val="0"/>
        <w:bidi w:val="0"/>
        <w:spacing w:line="500" w:lineRule="exact"/>
        <w:ind w:firstLine="640"/>
        <w:jc w:val="left"/>
        <w:textAlignment w:val="auto"/>
        <w:rPr>
          <w:rFonts w:ascii="仿宋_GB2312" w:eastAsia="仿宋_GB2312"/>
          <w:color w:val="000000"/>
          <w:sz w:val="32"/>
          <w:szCs w:val="32"/>
        </w:rPr>
      </w:pPr>
      <w:r>
        <w:rPr>
          <w:rFonts w:hint="eastAsia" w:ascii="仿宋_GB2312" w:eastAsia="仿宋_GB2312"/>
          <w:color w:val="000000"/>
          <w:sz w:val="32"/>
          <w:szCs w:val="32"/>
        </w:rPr>
        <w:t>（2）社会保障和就业支出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机关事业单位基本养老保险缴费支出（项）</w:t>
      </w:r>
      <w:r>
        <w:rPr>
          <w:rFonts w:hint="eastAsia" w:ascii="仿宋_GB2312" w:eastAsia="仿宋_GB2312"/>
          <w:color w:val="000000"/>
          <w:sz w:val="32"/>
          <w:szCs w:val="32"/>
          <w:lang w:val="en-US" w:eastAsia="zh-CN"/>
        </w:rPr>
        <w:t>24.20</w:t>
      </w:r>
      <w:r>
        <w:rPr>
          <w:rFonts w:hint="eastAsia" w:ascii="仿宋_GB2312" w:eastAsia="仿宋_GB2312"/>
          <w:color w:val="000000"/>
          <w:sz w:val="32"/>
          <w:szCs w:val="32"/>
        </w:rPr>
        <w:t>万元，主要用于事业单位基本养老保险缴费支出。</w:t>
      </w:r>
    </w:p>
    <w:p>
      <w:pPr>
        <w:keepNext w:val="0"/>
        <w:keepLines w:val="0"/>
        <w:pageBreakBefore w:val="0"/>
        <w:kinsoku/>
        <w:wordWrap/>
        <w:overflowPunct/>
        <w:topLinePunct w:val="0"/>
        <w:bidi w:val="0"/>
        <w:spacing w:line="500" w:lineRule="exact"/>
        <w:ind w:firstLine="640"/>
        <w:jc w:val="left"/>
        <w:textAlignment w:val="auto"/>
        <w:rPr>
          <w:rFonts w:ascii="仿宋_GB2312" w:eastAsia="仿宋_GB2312"/>
          <w:color w:val="000000"/>
          <w:sz w:val="32"/>
          <w:szCs w:val="32"/>
        </w:rPr>
      </w:pPr>
      <w:r>
        <w:rPr>
          <w:rFonts w:hint="eastAsia" w:ascii="仿宋_GB2312" w:eastAsia="仿宋_GB2312"/>
          <w:color w:val="000000"/>
          <w:sz w:val="32"/>
          <w:szCs w:val="32"/>
        </w:rPr>
        <w:t>（3）社会保障和就业支出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机关事业单位职业年金缴费支出（项）</w:t>
      </w:r>
      <w:r>
        <w:rPr>
          <w:rFonts w:hint="eastAsia" w:ascii="仿宋_GB2312" w:eastAsia="仿宋_GB2312"/>
          <w:color w:val="000000"/>
          <w:sz w:val="32"/>
          <w:szCs w:val="32"/>
          <w:lang w:val="en-US" w:eastAsia="zh-CN"/>
        </w:rPr>
        <w:t>12.10</w:t>
      </w:r>
      <w:r>
        <w:rPr>
          <w:rFonts w:hint="eastAsia" w:ascii="仿宋_GB2312" w:eastAsia="仿宋_GB2312"/>
          <w:color w:val="000000"/>
          <w:sz w:val="32"/>
          <w:szCs w:val="32"/>
        </w:rPr>
        <w:t>万元，主要用于事业单位职业年金缴费支出。</w:t>
      </w:r>
    </w:p>
    <w:p>
      <w:pPr>
        <w:keepNext w:val="0"/>
        <w:keepLines w:val="0"/>
        <w:pageBreakBefore w:val="0"/>
        <w:kinsoku/>
        <w:wordWrap/>
        <w:overflowPunct/>
        <w:topLinePunct w:val="0"/>
        <w:bidi w:val="0"/>
        <w:spacing w:line="5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（4）卫生健康支出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行政事业单位医疗</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事业单位医疗</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lang w:val="en-US" w:eastAsia="zh-CN"/>
        </w:rPr>
        <w:t>25.57</w:t>
      </w:r>
      <w:r>
        <w:rPr>
          <w:rFonts w:hint="eastAsia" w:ascii="仿宋_GB2312" w:eastAsia="仿宋_GB2312"/>
          <w:color w:val="000000"/>
          <w:sz w:val="32"/>
          <w:szCs w:val="32"/>
        </w:rPr>
        <w:t>万元，主要用于本单位按照国家政策干部职工缴纳的基本医疗保险费用方面的支出。</w:t>
      </w:r>
    </w:p>
    <w:p>
      <w:pPr>
        <w:keepNext w:val="0"/>
        <w:keepLines w:val="0"/>
        <w:pageBreakBefore w:val="0"/>
        <w:kinsoku/>
        <w:wordWrap/>
        <w:overflowPunct/>
        <w:topLinePunct w:val="0"/>
        <w:bidi w:val="0"/>
        <w:spacing w:line="5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）节能环保支出（类）污染</w:t>
      </w:r>
      <w:r>
        <w:rPr>
          <w:rFonts w:hint="eastAsia" w:ascii="仿宋_GB2312" w:eastAsia="仿宋_GB2312"/>
          <w:color w:val="000000"/>
          <w:sz w:val="32"/>
          <w:szCs w:val="32"/>
          <w:lang w:eastAsia="zh-CN"/>
        </w:rPr>
        <w:t>减排</w:t>
      </w:r>
      <w:r>
        <w:rPr>
          <w:rFonts w:hint="eastAsia" w:ascii="仿宋_GB2312" w:eastAsia="仿宋_GB2312"/>
          <w:color w:val="000000"/>
          <w:sz w:val="32"/>
          <w:szCs w:val="32"/>
        </w:rPr>
        <w:t>（款）生态环境监测与信息（项）</w:t>
      </w:r>
      <w:r>
        <w:rPr>
          <w:rFonts w:hint="eastAsia" w:ascii="仿宋_GB2312" w:eastAsia="仿宋_GB2312"/>
          <w:color w:val="000000"/>
          <w:sz w:val="32"/>
          <w:szCs w:val="32"/>
          <w:lang w:val="en-US" w:eastAsia="zh-CN"/>
        </w:rPr>
        <w:t>1045.43</w:t>
      </w:r>
      <w:r>
        <w:rPr>
          <w:rFonts w:hint="eastAsia" w:ascii="仿宋_GB2312" w:eastAsia="仿宋_GB2312"/>
          <w:color w:val="000000"/>
          <w:sz w:val="32"/>
          <w:szCs w:val="32"/>
        </w:rPr>
        <w:t>万元，主要用于监测站的基本支出和项目支出。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（六）关于德清县生态环境监测站2024年一般公共预算基本支出情况说明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德清县生态环境监测站2024年一般公共预算基本支出722.26万元，其中：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人员经费597.94万元，主要包括：基本工资、津贴补贴、奖金、</w:t>
      </w:r>
      <w:r>
        <w:rPr>
          <w:rFonts w:hint="eastAsia" w:ascii="仿宋_GB2312" w:eastAsia="仿宋_GB2312"/>
          <w:color w:val="000000"/>
          <w:sz w:val="32"/>
          <w:szCs w:val="32"/>
          <w:lang w:eastAsia="zh-CN"/>
        </w:rPr>
        <w:t>伙食补助费、</w:t>
      </w:r>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退休费、其他对个人和家庭的补助支出；</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公用经费124.32万元，主要包括：办公费、印刷费、电费、邮电费、物业管理费、差旅费、维修（护）费、租赁费、培训费、公务接待费、工会经费、公务用车运行维护费、其他商品和服务支出</w:t>
      </w:r>
      <w:r>
        <w:rPr>
          <w:rFonts w:hint="eastAsia" w:ascii="仿宋_GB2312" w:eastAsia="仿宋_GB2312"/>
          <w:color w:val="000000"/>
          <w:sz w:val="32"/>
          <w:szCs w:val="32"/>
          <w:lang w:eastAsia="zh-CN"/>
        </w:rPr>
        <w:t>、其他资本性支出</w:t>
      </w:r>
      <w:r>
        <w:rPr>
          <w:rFonts w:hint="eastAsia" w:ascii="仿宋_GB2312" w:eastAsia="仿宋_GB2312"/>
          <w:color w:val="000000"/>
          <w:sz w:val="32"/>
          <w:szCs w:val="32"/>
        </w:rPr>
        <w:t>。</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（七）关于德清县生态环境监测站2024年政府性基金预算支出情况说明</w:t>
      </w:r>
    </w:p>
    <w:p>
      <w:pPr>
        <w:spacing w:line="520" w:lineRule="exact"/>
        <w:ind w:firstLine="642"/>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德清县生态环境监测站</w:t>
      </w:r>
      <w:r>
        <w:fldChar w:fldCharType="end"/>
      </w:r>
      <w:r>
        <w:rPr>
          <w:rFonts w:hint="eastAsia" w:ascii="仿宋_GB2312" w:hAnsi="仿宋_GB2312" w:eastAsia="仿宋_GB2312" w:cs="仿宋_GB2312"/>
          <w:color w:val="000000"/>
          <w:sz w:val="32"/>
          <w:szCs w:val="32"/>
          <w:highlight w:val="none"/>
          <w:lang w:val="en-US" w:eastAsia="zh-CN"/>
        </w:rPr>
        <w:t>2024年没有使用政府性基金预算拨款安排的支出。</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德清县生态环境监测站</w:t>
      </w:r>
      <w:r>
        <w:rPr>
          <w:rFonts w:hint="eastAsia" w:ascii="楷体_GB2312" w:hAnsi="楷体_GB2312" w:eastAsia="楷体_GB2312" w:cs="楷体_GB2312"/>
          <w:bCs/>
          <w:color w:val="000000"/>
          <w:sz w:val="32"/>
          <w:szCs w:val="32"/>
          <w:highlight w:val="none"/>
        </w:rPr>
        <w:t>国有资本经营预算支出情况说明</w:t>
      </w:r>
    </w:p>
    <w:p>
      <w:pPr>
        <w:spacing w:line="520" w:lineRule="exact"/>
        <w:ind w:firstLine="627" w:firstLineChars="196"/>
        <w:rPr>
          <w:rFonts w:hint="eastAsia"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德清县生态环境监测站</w:t>
      </w:r>
      <w:r>
        <w:rPr>
          <w:highlight w:val="none"/>
        </w:rPr>
        <w:fldChar w:fldCharType="end"/>
      </w:r>
      <w:r>
        <w:rPr>
          <w:rFonts w:hint="eastAsia" w:ascii="仿宋_GB2312" w:hAnsi="仿宋_GB2312" w:eastAsia="仿宋_GB2312" w:cs="仿宋_GB2312"/>
          <w:color w:val="000000"/>
          <w:sz w:val="32"/>
          <w:szCs w:val="32"/>
          <w:highlight w:val="none"/>
          <w:lang w:val="en-US" w:eastAsia="zh-CN"/>
        </w:rPr>
        <w:t>2024年没有使用国有资本经营预算拨款安排的支出。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（九）关于德清县生态环境监测站2024年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hint="eastAsia" w:ascii="仿宋_GB2312" w:hAnsi="仿宋_GB2312" w:eastAsia="仿宋_GB2312"/>
          <w:sz w:val="32"/>
        </w:rPr>
      </w:pPr>
      <w:r>
        <w:rPr>
          <w:rFonts w:hint="eastAsia" w:ascii="仿宋_GB2312" w:hAnsi="仿宋_GB2312" w:eastAsia="仿宋_GB2312"/>
          <w:sz w:val="32"/>
        </w:rPr>
        <w:t>德清县生态环境监测站2024年“三公”经费预算数为9.00万元，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0.06</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0.7</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年预算未安排，主要原因是由相关部门从严审批控制，根据实际情况调整，年初未纳入部门预算</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公务接待费：2024年安排公务接待费预算1.00万元，比上年预算数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0.06</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eastAsia="仿宋_GB2312"/>
          <w:color w:val="000000"/>
          <w:sz w:val="32"/>
          <w:szCs w:val="32"/>
          <w:lang w:val="en-US" w:eastAsia="zh-CN"/>
        </w:rPr>
        <w:t>5.7</w:t>
      </w:r>
      <w:r>
        <w:rPr>
          <w:rFonts w:hint="eastAsia" w:ascii="仿宋_GB2312" w:hAnsi="仿宋_GB2312" w:eastAsia="仿宋_GB2312" w:cs="仿宋_GB2312"/>
          <w:sz w:val="32"/>
          <w:szCs w:val="32"/>
        </w:rPr>
        <w:t>%。主要用于接待上级及兄弟省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来德进行调研、考察、学习交流等支出。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严控</w:t>
      </w:r>
      <w:r>
        <w:rPr>
          <w:rFonts w:hint="eastAsia" w:ascii="仿宋_GB2312" w:hAnsi="仿宋_GB2312" w:eastAsia="仿宋_GB2312" w:cs="仿宋_GB2312"/>
          <w:sz w:val="32"/>
          <w:szCs w:val="32"/>
        </w:rPr>
        <w:t>调研、考察、学习交流等支出，同时严格执行中央八项规定，严格控制公务接待。</w:t>
      </w:r>
    </w:p>
    <w:p>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.公务用车购置及运行维护费：2024年安排公务用车购置及运行维护费预算8.00万元，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预算数持平</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数持平</w:t>
      </w:r>
      <w:r>
        <w:rPr>
          <w:rFonts w:hint="eastAsia" w:ascii="仿宋_GB2312" w:eastAsia="仿宋_GB2312"/>
          <w:sz w:val="32"/>
          <w:szCs w:val="32"/>
          <w:highlight w:val="none"/>
        </w:rPr>
        <w:t>；公务用车运行维护费支出</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.00万元，</w:t>
      </w:r>
      <w:r>
        <w:rPr>
          <w:rFonts w:hint="eastAsia" w:ascii="仿宋_GB2312" w:eastAsia="仿宋_GB2312"/>
          <w:sz w:val="32"/>
          <w:szCs w:val="32"/>
        </w:rPr>
        <w:t>主要用于监测站所需的公务用车燃料费、维修费、过桥过路费、保险费等支出。</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数持平</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bookmarkStart w:id="1" w:name="_GoBack"/>
      <w:bookmarkEnd w:id="1"/>
    </w:p>
    <w:p>
      <w:pPr>
        <w:pStyle w:val="14"/>
        <w:spacing w:line="520" w:lineRule="exact"/>
        <w:ind w:firstLine="643" w:firstLineChars="200"/>
        <w:rPr>
          <w:rFonts w:ascii="仿宋_GB2312" w:eastAsia="仿宋_GB2312"/>
          <w:b/>
          <w:bCs/>
          <w:sz w:val="32"/>
          <w:szCs w:val="32"/>
        </w:rPr>
      </w:pPr>
      <w:r>
        <w:rPr>
          <w:rFonts w:hint="eastAsia" w:ascii="仿宋_GB2312" w:hAnsi="仿宋_GB2312" w:eastAsia="仿宋_GB2312" w:cs="仿宋_GB2312"/>
          <w:b/>
          <w:color w:val="000000"/>
          <w:sz w:val="32"/>
          <w:szCs w:val="32"/>
        </w:rPr>
        <w:t>1.</w:t>
      </w:r>
      <w:r>
        <w:rPr>
          <w:rFonts w:hint="eastAsia" w:ascii="仿宋_GB2312" w:eastAsia="仿宋_GB2312"/>
          <w:b/>
          <w:bCs/>
          <w:sz w:val="32"/>
          <w:szCs w:val="32"/>
        </w:rPr>
        <w:t>政府采购情况。</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2024年德清县生态环境监测站</w:t>
      </w:r>
      <w:r>
        <w:rPr>
          <w:rFonts w:hint="eastAsia" w:ascii="仿宋_GB2312" w:eastAsia="仿宋_GB2312"/>
          <w:color w:val="000000"/>
          <w:sz w:val="32"/>
          <w:szCs w:val="32"/>
        </w:rPr>
        <w:t>各单位政府采购预算总额</w:t>
      </w:r>
      <w:r>
        <w:rPr>
          <w:rFonts w:ascii="仿宋_GB2312" w:eastAsia="仿宋_GB2312"/>
          <w:color w:val="000000"/>
          <w:sz w:val="32"/>
          <w:szCs w:val="32"/>
        </w:rPr>
        <w:t>304.65</w:t>
      </w:r>
      <w:r>
        <w:rPr>
          <w:rFonts w:hint="eastAsia" w:ascii="仿宋_GB2312" w:eastAsia="仿宋_GB2312"/>
          <w:color w:val="000000"/>
          <w:sz w:val="32"/>
          <w:szCs w:val="32"/>
        </w:rPr>
        <w:t>万元，其中：政府采购货物预算101.30万元、政府采购工程预算0.00万元、政府采购服务预算</w:t>
      </w:r>
      <w:r>
        <w:rPr>
          <w:rFonts w:ascii="仿宋_GB2312" w:eastAsia="仿宋_GB2312"/>
          <w:color w:val="000000"/>
          <w:sz w:val="32"/>
          <w:szCs w:val="32"/>
        </w:rPr>
        <w:t>203.35</w:t>
      </w:r>
      <w:r>
        <w:rPr>
          <w:rFonts w:hint="eastAsia" w:ascii="仿宋_GB2312" w:eastAsia="仿宋_GB2312"/>
          <w:color w:val="000000"/>
          <w:sz w:val="32"/>
          <w:szCs w:val="32"/>
        </w:rPr>
        <w:t>万元。</w:t>
      </w:r>
    </w:p>
    <w:p>
      <w:pPr>
        <w:pStyle w:val="14"/>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截至2023年12月31日，所属各预算单位共有车辆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2辆</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2024年部门预算未安排购置车辆、单位价值50万元以上通用设备及单位价值100万元以上专用设备</w:t>
      </w:r>
      <w:r>
        <w:rPr>
          <w:rFonts w:hint="eastAsia" w:ascii="仿宋_GB2312" w:hAnsi="仿宋_GB2312" w:eastAsia="仿宋_GB2312" w:cs="仿宋_GB2312"/>
          <w:sz w:val="32"/>
          <w:szCs w:val="32"/>
        </w:rPr>
        <w:t>。</w:t>
      </w:r>
    </w:p>
    <w:p>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2024年德清县生态环境监测站其他运转类项目和特定目标类项目均实行绩效目标管理，共计1个一级项目，涉及当年资金389.35万元。同时，将按照相关制度规定开展绩效自评。</w:t>
      </w:r>
    </w:p>
    <w:p>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pStyle w:val="2"/>
        <w:rPr>
          <w:rFonts w:hint="eastAsia"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6"/>
          <w:cols w:space="425" w:num="1"/>
          <w:docGrid w:type="lines" w:linePitch="312" w:charSpace="0"/>
        </w:sectPr>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24"/>
        <w:gridCol w:w="2332"/>
        <w:gridCol w:w="3895"/>
        <w:gridCol w:w="3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82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137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130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9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82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137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130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1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685"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82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37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30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822"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1375"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309"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生态环境监测与信息</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1"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1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r>
    </w:tbl>
    <w:p>
      <w:pPr>
        <w:pStyle w:val="2"/>
        <w:rPr>
          <w:rFonts w:hint="eastAsia" w:ascii="仿宋_GB2312" w:hAnsi="仿宋_GB2312" w:eastAsia="仿宋_GB2312" w:cs="仿宋_GB2312"/>
          <w:sz w:val="32"/>
          <w:szCs w:val="32"/>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916"/>
        <w:gridCol w:w="916"/>
        <w:gridCol w:w="916"/>
        <w:gridCol w:w="557"/>
        <w:gridCol w:w="557"/>
        <w:gridCol w:w="557"/>
        <w:gridCol w:w="557"/>
        <w:gridCol w:w="557"/>
        <w:gridCol w:w="557"/>
        <w:gridCol w:w="560"/>
        <w:gridCol w:w="580"/>
        <w:gridCol w:w="561"/>
        <w:gridCol w:w="561"/>
        <w:gridCol w:w="561"/>
        <w:gridCol w:w="561"/>
        <w:gridCol w:w="561"/>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5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1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5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4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451" w:type="pct"/>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485"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25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5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湖州市生态环境局德清分局</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5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德清县生态环境监测站</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5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
      <w:pPr>
        <w:pStyle w:val="2"/>
      </w:pPr>
    </w:p>
    <w:p>
      <w:pPr>
        <w:pStyle w:val="2"/>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405"/>
        <w:gridCol w:w="2955"/>
        <w:gridCol w:w="456"/>
        <w:gridCol w:w="1101"/>
        <w:gridCol w:w="1058"/>
        <w:gridCol w:w="1074"/>
        <w:gridCol w:w="1379"/>
        <w:gridCol w:w="830"/>
        <w:gridCol w:w="292"/>
        <w:gridCol w:w="541"/>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7" w:type="pct"/>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8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7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7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29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94"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40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1347" w:type="pct"/>
            <w:gridSpan w:val="3"/>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7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7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9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94"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40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47" w:type="pct"/>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8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5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87"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9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294" w:type="pct"/>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404"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7" w:type="pct"/>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3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487"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3"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 w:type="pct"/>
            <w:gridSpan w:val="2"/>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4"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4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pct"/>
            <w:gridSpan w:val="3"/>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8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374"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597.94</w:t>
            </w:r>
          </w:p>
        </w:tc>
        <w:tc>
          <w:tcPr>
            <w:tcW w:w="37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c>
          <w:tcPr>
            <w:tcW w:w="487"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c>
          <w:tcPr>
            <w:tcW w:w="293"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531.76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21111</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531.76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2111101</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生态环境监测与信息</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531.76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172"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104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186" w:type="pct"/>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98"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1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2"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104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2186" w:type="pct"/>
            <w:gridSpan w:val="7"/>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98" w:type="pct"/>
            <w:gridSpan w:val="2"/>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15"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784" w:type="pct"/>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4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86"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9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43"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186" w:type="pct"/>
            <w:gridSpan w:val="7"/>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98" w:type="pct"/>
            <w:gridSpan w:val="2"/>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生态环境监测与信息</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186" w:type="pct"/>
            <w:gridSpan w:val="7"/>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8" w:type="pct"/>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8" w:type="pct"/>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8" w:type="pct"/>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8" w:type="pct"/>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6" w:type="pct"/>
            <w:gridSpan w:val="7"/>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8" w:type="pct"/>
            <w:gridSpan w:val="2"/>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21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r>
    </w:tbl>
    <w:p>
      <w:pPr>
        <w:pStyle w:val="2"/>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9"/>
        <w:gridCol w:w="3849"/>
        <w:gridCol w:w="1479"/>
        <w:gridCol w:w="1465"/>
        <w:gridCol w:w="1465"/>
        <w:gridCol w:w="1468"/>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3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135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3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5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22"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55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3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0" w:type="pct"/>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8"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2"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17"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517"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535" w:type="pct"/>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1111.61</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722.26</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597.94</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40.61</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25.57</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656.08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531.76</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21111</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656.08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531.76</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3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2111101</w:t>
            </w:r>
          </w:p>
        </w:tc>
        <w:tc>
          <w:tcPr>
            <w:tcW w:w="13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生态环境监测与信息</w:t>
            </w:r>
          </w:p>
        </w:tc>
        <w:tc>
          <w:tcPr>
            <w:tcW w:w="5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1045.43</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656.08</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531.76</w:t>
            </w:r>
          </w:p>
        </w:tc>
        <w:tc>
          <w:tcPr>
            <w:tcW w:w="51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r>
    </w:tbl>
    <w:p>
      <w:pPr>
        <w:pStyle w:val="2"/>
      </w:pPr>
    </w:p>
    <w:tbl>
      <w:tblPr>
        <w:tblStyle w:val="6"/>
        <w:tblpPr w:leftFromText="180" w:rightFromText="180" w:vertAnchor="text" w:horzAnchor="page" w:tblpX="1531" w:tblpY="325"/>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4458"/>
        <w:gridCol w:w="2285"/>
        <w:gridCol w:w="2249"/>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79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157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79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585"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2414"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06"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579"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1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9"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0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722.26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597.94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589.03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589.03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71.99</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31099</w:t>
            </w:r>
          </w:p>
        </w:tc>
        <w:tc>
          <w:tcPr>
            <w:tcW w:w="1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其他资本性支出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bl>
    <w:p>
      <w:pPr>
        <w:pStyle w:val="2"/>
      </w:pPr>
    </w:p>
    <w:p>
      <w:pPr>
        <w:pStyle w:val="2"/>
      </w:pPr>
    </w:p>
    <w:p>
      <w:pPr>
        <w:pStyle w:val="2"/>
      </w:pPr>
    </w:p>
    <w:p>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3"/>
        <w:gridCol w:w="1524"/>
        <w:gridCol w:w="1524"/>
        <w:gridCol w:w="1524"/>
        <w:gridCol w:w="1524"/>
        <w:gridCol w:w="1530"/>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6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616"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66" w:type="pct"/>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538" w:type="pct"/>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德清县生态环境监测站</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5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3855"/>
        <w:gridCol w:w="2433"/>
        <w:gridCol w:w="2434"/>
        <w:gridCol w:w="2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137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137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7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0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74"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648"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4"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87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6"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74"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3"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6"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72"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spacing w:line="640" w:lineRule="exact"/>
        <w:rPr>
          <w:rFonts w:ascii="仿宋_GB2312" w:hAnsi="仿宋_GB2312" w:eastAsia="仿宋_GB2312"/>
          <w:sz w:val="24"/>
        </w:rPr>
      </w:pPr>
      <w:r>
        <w:rPr>
          <w:rFonts w:ascii="仿宋_GB2312" w:hAnsi="仿宋_GB2312" w:eastAsia="仿宋_GB2312" w:cs="仿宋_GB2312"/>
          <w:bCs/>
          <w:sz w:val="24"/>
        </w:rPr>
        <w:fldChar w:fldCharType="begin"/>
      </w:r>
      <w:r>
        <w:rPr>
          <w:rFonts w:ascii="仿宋_GB2312" w:hAnsi="仿宋_GB2312" w:eastAsia="仿宋_GB2312" w:cs="仿宋_GB2312"/>
          <w:bCs/>
          <w:sz w:val="24"/>
        </w:rPr>
        <w:instrText xml:space="preserve"> </w:instrText>
      </w:r>
      <w:r>
        <w:rPr>
          <w:rFonts w:hint="eastAsia" w:ascii="仿宋_GB2312" w:hAnsi="仿宋_GB2312" w:eastAsia="仿宋_GB2312" w:cs="仿宋_GB2312"/>
          <w:bCs/>
          <w:sz w:val="24"/>
        </w:rPr>
        <w:instrText xml:space="preserve">LINK </w:instrText>
      </w:r>
      <w:r>
        <w:rPr>
          <w:rFonts w:ascii="仿宋_GB2312" w:hAnsi="仿宋_GB2312" w:eastAsia="仿宋_GB2312" w:cs="仿宋_GB2312"/>
          <w:bCs/>
          <w:sz w:val="24"/>
        </w:rPr>
        <w:instrText xml:space="preserve">Word.Document.8 D:\\Users\\User\\Desktop\\2019年部门预算公开模板.doc OLE_LINK1 </w:instrText>
      </w:r>
      <w:r>
        <w:rPr>
          <w:rFonts w:hint="eastAsia" w:ascii="仿宋_GB2312" w:hAnsi="仿宋_GB2312" w:eastAsia="仿宋_GB2312" w:cs="仿宋_GB2312"/>
          <w:bCs/>
          <w:sz w:val="24"/>
        </w:rPr>
        <w:instrText xml:space="preserve">\a \r \* MERGEFORMAT</w:instrText>
      </w:r>
      <w:r>
        <w:rPr>
          <w:rFonts w:ascii="仿宋_GB2312" w:hAnsi="仿宋_GB2312" w:eastAsia="仿宋_GB2312" w:cs="仿宋_GB2312"/>
          <w:bCs/>
          <w:sz w:val="24"/>
        </w:rPr>
        <w:instrText xml:space="preserve"> </w:instrText>
      </w:r>
      <w:r>
        <w:rPr>
          <w:rFonts w:ascii="仿宋_GB2312" w:hAnsi="仿宋_GB2312" w:eastAsia="仿宋_GB2312" w:cs="仿宋_GB2312"/>
          <w:bCs/>
          <w:sz w:val="24"/>
        </w:rPr>
        <w:fldChar w:fldCharType="separate"/>
      </w:r>
      <w:bookmarkStart w:id="0" w:name="_1611487636"/>
      <w:bookmarkEnd w:id="0"/>
      <w:r>
        <w:rPr>
          <w:rFonts w:hint="eastAsia" w:ascii="仿宋_GB2312" w:hAnsi="仿宋_GB2312" w:eastAsia="仿宋_GB2312" w:cs="仿宋_GB2312"/>
          <w:bCs/>
          <w:sz w:val="24"/>
        </w:rPr>
        <w:t>德清县</w:t>
      </w:r>
      <w:r>
        <w:rPr>
          <w:rFonts w:hint="eastAsia" w:ascii="仿宋_GB2312" w:hAnsi="仿宋_GB2312" w:eastAsia="仿宋_GB2312" w:cs="仿宋_GB2312"/>
          <w:bCs/>
          <w:sz w:val="24"/>
          <w:lang w:eastAsia="zh-CN"/>
        </w:rPr>
        <w:t>生态</w:t>
      </w:r>
      <w:r>
        <w:rPr>
          <w:rFonts w:hint="eastAsia" w:ascii="仿宋_GB2312" w:hAnsi="仿宋_GB2312" w:eastAsia="仿宋_GB2312" w:cs="仿宋_GB2312"/>
          <w:bCs/>
          <w:sz w:val="24"/>
        </w:rPr>
        <w:t>环境监测站202</w:t>
      </w:r>
      <w:r>
        <w:rPr>
          <w:rFonts w:hint="eastAsia" w:ascii="仿宋_GB2312" w:hAnsi="仿宋_GB2312" w:eastAsia="仿宋_GB2312" w:cs="仿宋_GB2312"/>
          <w:bCs/>
          <w:sz w:val="24"/>
          <w:lang w:val="en-US" w:eastAsia="zh-CN"/>
        </w:rPr>
        <w:t>4</w:t>
      </w:r>
      <w:r>
        <w:rPr>
          <w:rFonts w:hint="eastAsia" w:ascii="仿宋_GB2312" w:hAnsi="仿宋_GB2312" w:eastAsia="仿宋_GB2312" w:cs="仿宋_GB2312"/>
          <w:bCs/>
          <w:sz w:val="24"/>
        </w:rPr>
        <w:t>年</w:t>
      </w:r>
      <w:r>
        <w:rPr>
          <w:rFonts w:ascii="仿宋_GB2312" w:hAnsi="仿宋_GB2312" w:eastAsia="仿宋_GB2312" w:cs="仿宋_GB2312"/>
          <w:bCs/>
          <w:sz w:val="24"/>
        </w:rPr>
        <w:fldChar w:fldCharType="end"/>
      </w:r>
      <w:r>
        <w:rPr>
          <w:rFonts w:hint="eastAsia" w:ascii="仿宋_GB2312" w:hAnsi="仿宋_GB2312" w:eastAsia="仿宋_GB2312" w:cs="仿宋_GB2312"/>
          <w:color w:val="000000"/>
          <w:sz w:val="24"/>
          <w:szCs w:val="32"/>
        </w:rPr>
        <w:t>没有政府性基金预算拨款安排的支出，故本表无数据</w:t>
      </w:r>
      <w:r>
        <w:rPr>
          <w:rFonts w:hint="eastAsia" w:ascii="仿宋_GB2312" w:hAnsi="仿宋_GB2312" w:eastAsia="仿宋_GB2312" w:cs="仿宋_GB2312"/>
          <w:sz w:val="24"/>
          <w:szCs w:val="32"/>
        </w:rPr>
        <w:t>。</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5"/>
        <w:gridCol w:w="6374"/>
        <w:gridCol w:w="4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4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9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224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5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2"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4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5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2"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4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8"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2"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24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58"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rPr>
          <w:rFonts w:cs="仿宋_GB2312"/>
          <w:bCs/>
          <w:color w:val="auto"/>
          <w:kern w:val="2"/>
          <w:szCs w:val="20"/>
        </w:rPr>
      </w:pPr>
    </w:p>
    <w:p>
      <w:pPr>
        <w:pStyle w:val="2"/>
        <w:rPr>
          <w:rFonts w:hint="default" w:cs="仿宋_GB2312"/>
          <w:bCs/>
          <w:color w:val="auto"/>
          <w:kern w:val="2"/>
          <w:szCs w:val="20"/>
        </w:rPr>
      </w:pPr>
      <w:r>
        <w:rPr>
          <w:rFonts w:cs="仿宋_GB2312"/>
          <w:bCs/>
          <w:color w:val="auto"/>
          <w:kern w:val="2"/>
          <w:szCs w:val="20"/>
        </w:rPr>
        <w:t>德清县</w:t>
      </w:r>
      <w:r>
        <w:rPr>
          <w:rFonts w:hint="eastAsia" w:cs="仿宋_GB2312"/>
          <w:bCs/>
          <w:color w:val="auto"/>
          <w:kern w:val="2"/>
          <w:szCs w:val="20"/>
          <w:lang w:eastAsia="zh-CN"/>
        </w:rPr>
        <w:t>生态</w:t>
      </w:r>
      <w:r>
        <w:rPr>
          <w:rFonts w:cs="仿宋_GB2312"/>
          <w:bCs/>
          <w:color w:val="auto"/>
          <w:kern w:val="2"/>
          <w:szCs w:val="20"/>
        </w:rPr>
        <w:t>环境监测站202</w:t>
      </w:r>
      <w:r>
        <w:rPr>
          <w:rFonts w:hint="eastAsia" w:cs="仿宋_GB2312"/>
          <w:bCs/>
          <w:color w:val="auto"/>
          <w:kern w:val="2"/>
          <w:szCs w:val="20"/>
          <w:lang w:val="en-US" w:eastAsia="zh-CN"/>
        </w:rPr>
        <w:t>4</w:t>
      </w:r>
      <w:r>
        <w:rPr>
          <w:rFonts w:cs="仿宋_GB2312"/>
          <w:bCs/>
          <w:color w:val="auto"/>
          <w:kern w:val="2"/>
          <w:szCs w:val="20"/>
        </w:rPr>
        <w:t>年没有使用国有资本经营预算拨款安排的支出。</w:t>
      </w:r>
    </w:p>
    <w:p>
      <w:pPr>
        <w:pStyle w:val="2"/>
        <w:rPr>
          <w:rFonts w:hint="default"/>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6"/>
        <w:gridCol w:w="3070"/>
        <w:gridCol w:w="1447"/>
        <w:gridCol w:w="1523"/>
        <w:gridCol w:w="1158"/>
        <w:gridCol w:w="1158"/>
        <w:gridCol w:w="1159"/>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08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1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4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603002-德清县生态环境监测站</w:t>
            </w:r>
          </w:p>
        </w:tc>
        <w:tc>
          <w:tcPr>
            <w:tcW w:w="108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1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4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8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1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vMerge w:val="continue"/>
            <w:tcBorders>
              <w:top w:val="single" w:color="000000" w:themeColor="text1" w:sz="4" w:space="0"/>
              <w:left w:val="single" w:color="000000" w:themeColor="text1"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5" w:type="pct"/>
            <w:vMerge w:val="continue"/>
            <w:tcBorders>
              <w:top w:val="single" w:color="000000" w:themeColor="text1" w:sz="4" w:space="0"/>
              <w:left w:val="single" w:color="000000" w:themeColor="text1"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6"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3"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1"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1"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1"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德清县生态环境监测站</w:t>
            </w:r>
          </w:p>
        </w:tc>
        <w:tc>
          <w:tcPr>
            <w:tcW w:w="10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环境保护监测</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389.35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pgSz w:w="16838" w:h="11906" w:orient="landscape"/>
      <w:pgMar w:top="1463" w:right="1440" w:bottom="1463" w:left="1440" w:header="851" w:footer="992" w:gutter="0"/>
      <w:pgBorders>
        <w:top w:val="none" w:sz="0" w:space="0"/>
        <w:left w:val="none" w:sz="0" w:space="0"/>
        <w:bottom w:val="none" w:sz="0" w:space="0"/>
        <w:right w:val="none" w:sz="0" w:space="0"/>
      </w:pgBorders>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DliNjFkYTBkMjIxYmNiNWQ0Y2QxMDdjOGJjNTE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5F1306"/>
    <w:rsid w:val="038B3421"/>
    <w:rsid w:val="038C7FF1"/>
    <w:rsid w:val="03AA3E3B"/>
    <w:rsid w:val="03EA5C50"/>
    <w:rsid w:val="04600135"/>
    <w:rsid w:val="05054F3D"/>
    <w:rsid w:val="05962A91"/>
    <w:rsid w:val="05F46152"/>
    <w:rsid w:val="05F835B0"/>
    <w:rsid w:val="06113422"/>
    <w:rsid w:val="063B27DE"/>
    <w:rsid w:val="065E25EC"/>
    <w:rsid w:val="06835E42"/>
    <w:rsid w:val="07487AC1"/>
    <w:rsid w:val="07623DA7"/>
    <w:rsid w:val="081119C7"/>
    <w:rsid w:val="08DE4DFD"/>
    <w:rsid w:val="0992356F"/>
    <w:rsid w:val="0A1D1E06"/>
    <w:rsid w:val="0A324668"/>
    <w:rsid w:val="0A4C7CCD"/>
    <w:rsid w:val="0B486D9D"/>
    <w:rsid w:val="0B4F52A1"/>
    <w:rsid w:val="0B652DFD"/>
    <w:rsid w:val="0B654246"/>
    <w:rsid w:val="0BD448F3"/>
    <w:rsid w:val="0C7B7749"/>
    <w:rsid w:val="0CE2397A"/>
    <w:rsid w:val="0CEE5818"/>
    <w:rsid w:val="0DA85472"/>
    <w:rsid w:val="0DDF3EA9"/>
    <w:rsid w:val="0F0A0BC6"/>
    <w:rsid w:val="0F216C64"/>
    <w:rsid w:val="0F3E23E2"/>
    <w:rsid w:val="0F5C4EB1"/>
    <w:rsid w:val="0F760C96"/>
    <w:rsid w:val="0F8B51E9"/>
    <w:rsid w:val="1056084D"/>
    <w:rsid w:val="106B2554"/>
    <w:rsid w:val="1085571C"/>
    <w:rsid w:val="12502B95"/>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80061CB"/>
    <w:rsid w:val="18154C5A"/>
    <w:rsid w:val="18EF3804"/>
    <w:rsid w:val="195C3A7E"/>
    <w:rsid w:val="1A2375F0"/>
    <w:rsid w:val="1AC0275A"/>
    <w:rsid w:val="1AE500E3"/>
    <w:rsid w:val="1B1D1342"/>
    <w:rsid w:val="1B2A6629"/>
    <w:rsid w:val="1BBC2184"/>
    <w:rsid w:val="1C0B42E8"/>
    <w:rsid w:val="1C103D2D"/>
    <w:rsid w:val="1C1965EC"/>
    <w:rsid w:val="1C7701B9"/>
    <w:rsid w:val="1CEA3F89"/>
    <w:rsid w:val="1CF73295"/>
    <w:rsid w:val="1D451326"/>
    <w:rsid w:val="1D5F4748"/>
    <w:rsid w:val="1D99665F"/>
    <w:rsid w:val="1E0565AE"/>
    <w:rsid w:val="1E543C95"/>
    <w:rsid w:val="1E621D9B"/>
    <w:rsid w:val="1E9448CB"/>
    <w:rsid w:val="1E945AB3"/>
    <w:rsid w:val="1EFB5835"/>
    <w:rsid w:val="1F8A1433"/>
    <w:rsid w:val="1FD94E57"/>
    <w:rsid w:val="205247F6"/>
    <w:rsid w:val="206501BF"/>
    <w:rsid w:val="20C21B5F"/>
    <w:rsid w:val="20D8491F"/>
    <w:rsid w:val="2163103A"/>
    <w:rsid w:val="217355DC"/>
    <w:rsid w:val="217D79B3"/>
    <w:rsid w:val="219B3B12"/>
    <w:rsid w:val="21F5798D"/>
    <w:rsid w:val="21F8300E"/>
    <w:rsid w:val="22BA5184"/>
    <w:rsid w:val="22D4227E"/>
    <w:rsid w:val="22FA27EC"/>
    <w:rsid w:val="230477A4"/>
    <w:rsid w:val="234550B7"/>
    <w:rsid w:val="2384696C"/>
    <w:rsid w:val="23B968AE"/>
    <w:rsid w:val="23EF7BC1"/>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77E3DDA"/>
    <w:rsid w:val="283A129B"/>
    <w:rsid w:val="28FE78EF"/>
    <w:rsid w:val="29672817"/>
    <w:rsid w:val="29954B63"/>
    <w:rsid w:val="29A41943"/>
    <w:rsid w:val="29B831E7"/>
    <w:rsid w:val="29DF16A7"/>
    <w:rsid w:val="29F74F67"/>
    <w:rsid w:val="2A0C72AA"/>
    <w:rsid w:val="2A484907"/>
    <w:rsid w:val="2AC1405C"/>
    <w:rsid w:val="2B755902"/>
    <w:rsid w:val="2BA81833"/>
    <w:rsid w:val="2BAC3F70"/>
    <w:rsid w:val="2BB02AB9"/>
    <w:rsid w:val="2C56166B"/>
    <w:rsid w:val="2C7645CC"/>
    <w:rsid w:val="2C772798"/>
    <w:rsid w:val="2CE33635"/>
    <w:rsid w:val="2D391980"/>
    <w:rsid w:val="2D7C6F9A"/>
    <w:rsid w:val="2ED263DE"/>
    <w:rsid w:val="2F312BD6"/>
    <w:rsid w:val="2F4F315F"/>
    <w:rsid w:val="2F5260FE"/>
    <w:rsid w:val="2F78760A"/>
    <w:rsid w:val="30780EC9"/>
    <w:rsid w:val="3138046A"/>
    <w:rsid w:val="31651329"/>
    <w:rsid w:val="31701B38"/>
    <w:rsid w:val="31C46552"/>
    <w:rsid w:val="31EC7268"/>
    <w:rsid w:val="32471A38"/>
    <w:rsid w:val="32691E0F"/>
    <w:rsid w:val="33383E23"/>
    <w:rsid w:val="33722AF4"/>
    <w:rsid w:val="337D0938"/>
    <w:rsid w:val="339F6CDD"/>
    <w:rsid w:val="344952F9"/>
    <w:rsid w:val="34F20284"/>
    <w:rsid w:val="35074561"/>
    <w:rsid w:val="3619346A"/>
    <w:rsid w:val="366152C5"/>
    <w:rsid w:val="379D5AD8"/>
    <w:rsid w:val="37DD34EA"/>
    <w:rsid w:val="3859649B"/>
    <w:rsid w:val="386D2696"/>
    <w:rsid w:val="38CA384A"/>
    <w:rsid w:val="38FE48AD"/>
    <w:rsid w:val="39227B1B"/>
    <w:rsid w:val="39406911"/>
    <w:rsid w:val="39850296"/>
    <w:rsid w:val="39C26750"/>
    <w:rsid w:val="3A7F1D43"/>
    <w:rsid w:val="3A8D223E"/>
    <w:rsid w:val="3B291386"/>
    <w:rsid w:val="3B563038"/>
    <w:rsid w:val="3B7A306D"/>
    <w:rsid w:val="3B80307E"/>
    <w:rsid w:val="3BCA7BD7"/>
    <w:rsid w:val="3C243139"/>
    <w:rsid w:val="3C59537C"/>
    <w:rsid w:val="3C6C37E2"/>
    <w:rsid w:val="3C7D1C3F"/>
    <w:rsid w:val="3C9C277B"/>
    <w:rsid w:val="3CEA3E5A"/>
    <w:rsid w:val="3CFD6A0C"/>
    <w:rsid w:val="3DDA1E4D"/>
    <w:rsid w:val="3DE358D8"/>
    <w:rsid w:val="400943B7"/>
    <w:rsid w:val="40143523"/>
    <w:rsid w:val="40295CD4"/>
    <w:rsid w:val="406B2735"/>
    <w:rsid w:val="41664F40"/>
    <w:rsid w:val="4171469C"/>
    <w:rsid w:val="426E56C6"/>
    <w:rsid w:val="426F6C86"/>
    <w:rsid w:val="4283791D"/>
    <w:rsid w:val="42C454C8"/>
    <w:rsid w:val="43482ADF"/>
    <w:rsid w:val="43497E11"/>
    <w:rsid w:val="438C52D1"/>
    <w:rsid w:val="43AF1DC7"/>
    <w:rsid w:val="442360D8"/>
    <w:rsid w:val="450B3104"/>
    <w:rsid w:val="45267BA9"/>
    <w:rsid w:val="45374F70"/>
    <w:rsid w:val="45A32D85"/>
    <w:rsid w:val="45E922E2"/>
    <w:rsid w:val="46181B9F"/>
    <w:rsid w:val="46B73DB3"/>
    <w:rsid w:val="46B85A12"/>
    <w:rsid w:val="46C20ABF"/>
    <w:rsid w:val="471C5409"/>
    <w:rsid w:val="475E76EE"/>
    <w:rsid w:val="47B54AE2"/>
    <w:rsid w:val="484652C3"/>
    <w:rsid w:val="489E735B"/>
    <w:rsid w:val="48EF215B"/>
    <w:rsid w:val="49547ADE"/>
    <w:rsid w:val="499358EA"/>
    <w:rsid w:val="49A70025"/>
    <w:rsid w:val="4A445CBA"/>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4FEE1814"/>
    <w:rsid w:val="50072C4D"/>
    <w:rsid w:val="50341189"/>
    <w:rsid w:val="50593A6B"/>
    <w:rsid w:val="505F4DFA"/>
    <w:rsid w:val="50837233"/>
    <w:rsid w:val="514C5668"/>
    <w:rsid w:val="51513799"/>
    <w:rsid w:val="518C29B6"/>
    <w:rsid w:val="52170DB7"/>
    <w:rsid w:val="52AA23A8"/>
    <w:rsid w:val="52B7187A"/>
    <w:rsid w:val="52BF3A93"/>
    <w:rsid w:val="53A5465B"/>
    <w:rsid w:val="53B6028C"/>
    <w:rsid w:val="54352A41"/>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EE0F11"/>
    <w:rsid w:val="57F759F2"/>
    <w:rsid w:val="585447AE"/>
    <w:rsid w:val="58AF736D"/>
    <w:rsid w:val="58EC4DE1"/>
    <w:rsid w:val="59605E6B"/>
    <w:rsid w:val="596B72CE"/>
    <w:rsid w:val="59B3494A"/>
    <w:rsid w:val="59EB1B1F"/>
    <w:rsid w:val="59EC6E24"/>
    <w:rsid w:val="5A0B2520"/>
    <w:rsid w:val="5A186813"/>
    <w:rsid w:val="5A3B2376"/>
    <w:rsid w:val="5A40591F"/>
    <w:rsid w:val="5A6F0692"/>
    <w:rsid w:val="5AB64FA1"/>
    <w:rsid w:val="5ABF2E42"/>
    <w:rsid w:val="5B586398"/>
    <w:rsid w:val="5B916903"/>
    <w:rsid w:val="5BEF472E"/>
    <w:rsid w:val="5C932202"/>
    <w:rsid w:val="5CC87E6F"/>
    <w:rsid w:val="5CD918EA"/>
    <w:rsid w:val="5D247D3D"/>
    <w:rsid w:val="5DAE1AC9"/>
    <w:rsid w:val="5E153AF5"/>
    <w:rsid w:val="5F0E1E7F"/>
    <w:rsid w:val="5F112305"/>
    <w:rsid w:val="5F2767B3"/>
    <w:rsid w:val="5FC60533"/>
    <w:rsid w:val="5FE31F70"/>
    <w:rsid w:val="60045498"/>
    <w:rsid w:val="60163727"/>
    <w:rsid w:val="60A93FD7"/>
    <w:rsid w:val="614C1844"/>
    <w:rsid w:val="616E6854"/>
    <w:rsid w:val="617A6C2D"/>
    <w:rsid w:val="618968F0"/>
    <w:rsid w:val="619E6355"/>
    <w:rsid w:val="61BD64DA"/>
    <w:rsid w:val="6215384D"/>
    <w:rsid w:val="627460EE"/>
    <w:rsid w:val="62AC06BC"/>
    <w:rsid w:val="62BF340F"/>
    <w:rsid w:val="633B4987"/>
    <w:rsid w:val="63525D55"/>
    <w:rsid w:val="63F321C7"/>
    <w:rsid w:val="64C20A08"/>
    <w:rsid w:val="64D43BB1"/>
    <w:rsid w:val="64F06443"/>
    <w:rsid w:val="65737FB9"/>
    <w:rsid w:val="65DF5ECF"/>
    <w:rsid w:val="661D7FD4"/>
    <w:rsid w:val="665A45AE"/>
    <w:rsid w:val="66A662C4"/>
    <w:rsid w:val="66DE2D4E"/>
    <w:rsid w:val="67222B8A"/>
    <w:rsid w:val="679D182D"/>
    <w:rsid w:val="67BB6396"/>
    <w:rsid w:val="68794E30"/>
    <w:rsid w:val="687B5327"/>
    <w:rsid w:val="688621C1"/>
    <w:rsid w:val="68C15BDE"/>
    <w:rsid w:val="697274F4"/>
    <w:rsid w:val="6AD23ACD"/>
    <w:rsid w:val="6AE706B2"/>
    <w:rsid w:val="6B103823"/>
    <w:rsid w:val="6B315A81"/>
    <w:rsid w:val="6C3F4637"/>
    <w:rsid w:val="6C9D07C7"/>
    <w:rsid w:val="6CB426A8"/>
    <w:rsid w:val="6D3835CD"/>
    <w:rsid w:val="6D9B59D3"/>
    <w:rsid w:val="6DDF18A8"/>
    <w:rsid w:val="6DE76703"/>
    <w:rsid w:val="6E7742D5"/>
    <w:rsid w:val="6E947A29"/>
    <w:rsid w:val="6EDB4463"/>
    <w:rsid w:val="6EFB1E55"/>
    <w:rsid w:val="701E0D35"/>
    <w:rsid w:val="708C2BAE"/>
    <w:rsid w:val="717A54B6"/>
    <w:rsid w:val="71CF5C16"/>
    <w:rsid w:val="71E47115"/>
    <w:rsid w:val="72124418"/>
    <w:rsid w:val="72BF52A3"/>
    <w:rsid w:val="73520170"/>
    <w:rsid w:val="73B32D5B"/>
    <w:rsid w:val="73C76977"/>
    <w:rsid w:val="74906E74"/>
    <w:rsid w:val="74935D91"/>
    <w:rsid w:val="74D2633E"/>
    <w:rsid w:val="75127B2A"/>
    <w:rsid w:val="756B70AB"/>
    <w:rsid w:val="762D45E7"/>
    <w:rsid w:val="76432C97"/>
    <w:rsid w:val="76472E5B"/>
    <w:rsid w:val="76622032"/>
    <w:rsid w:val="76654669"/>
    <w:rsid w:val="76DA2B8D"/>
    <w:rsid w:val="773F1B2E"/>
    <w:rsid w:val="776141C0"/>
    <w:rsid w:val="77E71EE7"/>
    <w:rsid w:val="78403651"/>
    <w:rsid w:val="784051C1"/>
    <w:rsid w:val="789E16E5"/>
    <w:rsid w:val="78B96EEE"/>
    <w:rsid w:val="78DB40C6"/>
    <w:rsid w:val="7954401D"/>
    <w:rsid w:val="79547EF1"/>
    <w:rsid w:val="79A24C96"/>
    <w:rsid w:val="7A94481E"/>
    <w:rsid w:val="7AC02D1F"/>
    <w:rsid w:val="7AE80A7B"/>
    <w:rsid w:val="7AE861A8"/>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F346A78"/>
    <w:rsid w:val="7F3C55E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autoRedefine/>
    <w:semiHidden/>
    <w:qFormat/>
    <w:uiPriority w:val="0"/>
    <w:pPr>
      <w:shd w:val="clear" w:color="auto" w:fill="000080"/>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bCs/>
    </w:rPr>
  </w:style>
  <w:style w:type="paragraph" w:customStyle="1" w:styleId="10">
    <w:name w:val="Char"/>
    <w:basedOn w:val="1"/>
    <w:autoRedefine/>
    <w:qFormat/>
    <w:uiPriority w:val="0"/>
    <w:rPr>
      <w:rFonts w:ascii="宋体" w:hAnsi="宋体" w:cs="Courier New"/>
      <w:sz w:val="32"/>
      <w:szCs w:val="32"/>
    </w:rPr>
  </w:style>
  <w:style w:type="character" w:customStyle="1" w:styleId="11">
    <w:name w:val="页眉 Char"/>
    <w:link w:val="5"/>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paragraph" w:customStyle="1" w:styleId="13">
    <w:name w:val="[Normal]"/>
    <w:autoRedefine/>
    <w:qFormat/>
    <w:uiPriority w:val="0"/>
    <w:rPr>
      <w:rFonts w:ascii="宋体" w:hAnsi="宋体" w:eastAsia="宋体" w:cs="Times New Roman"/>
      <w:sz w:val="24"/>
      <w:lang w:val="zh-CN" w:eastAsia="zh-CN" w:bidi="ar-SA"/>
    </w:rPr>
  </w:style>
  <w:style w:type="paragraph" w:customStyle="1" w:styleId="14">
    <w:name w:val="p0"/>
    <w:basedOn w:val="1"/>
    <w:autoRedefine/>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19</Pages>
  <Words>9616</Words>
  <Characters>17501</Characters>
  <Lines>145</Lines>
  <Paragraphs>54</Paragraphs>
  <TotalTime>0</TotalTime>
  <ScaleCrop>false</ScaleCrop>
  <LinksUpToDate>false</LinksUpToDate>
  <CharactersWithSpaces>27063</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常晓敏</lastModifiedBy>
  <dcterms:modified xsi:type="dcterms:W3CDTF">2024-02-28T06:52:09Z</dcterms:modified>
  <revision>14</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EDOID">
    <vt:r8>5838458</vt:r8>
  </property>
  <property fmtid="{D5CDD505-2E9C-101B-9397-08002B2CF9AE}" pid="4" name="ICV">
    <vt:lpwstr>24FF21F6D04B41E59660457C2A3DFD3D_13</vt:lpwstr>
  </property>
</Properties>
</file>