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600" w:lineRule="exact"/>
        <w:rPr>
          <w:rFonts w:hint="eastAsia" w:ascii="仿宋" w:hAnsi="仿宋" w:eastAsia="仿宋"/>
          <w:sz w:val="32"/>
          <w:szCs w:val="32"/>
        </w:rPr>
      </w:pPr>
      <w:r>
        <w:rPr>
          <w:rFonts w:hint="eastAsia" w:ascii="仿宋_GB2312" w:hAnsi="黑体" w:eastAsia="仿宋_GB2312"/>
          <w:sz w:val="32"/>
          <w:szCs w:val="32"/>
        </w:rPr>
        <w:t>附件3</w:t>
      </w:r>
    </w:p>
    <w:p>
      <w:pPr>
        <w:suppressAutoHyphens/>
        <w:spacing w:line="600" w:lineRule="exact"/>
        <w:jc w:val="center"/>
        <w:rPr>
          <w:rFonts w:hint="eastAsia" w:ascii="方正小标宋简体" w:eastAsia="方正小标宋简体"/>
          <w:sz w:val="44"/>
          <w:szCs w:val="44"/>
        </w:rPr>
      </w:pPr>
      <w:bookmarkStart w:id="1" w:name="_GoBack"/>
      <w:r>
        <w:rPr>
          <w:rFonts w:hint="eastAsia" w:ascii="方正小标宋简体" w:eastAsia="方正小标宋简体"/>
          <w:sz w:val="44"/>
          <w:szCs w:val="44"/>
        </w:rPr>
        <w:t>财政执法领域适用轻微违法行为不予行政处罚（告知承诺）事项清单</w:t>
      </w:r>
    </w:p>
    <w:bookmarkEnd w:id="1"/>
    <w:tbl>
      <w:tblPr>
        <w:tblStyle w:val="2"/>
        <w:tblW w:w="15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173"/>
        <w:gridCol w:w="1960"/>
        <w:gridCol w:w="2617"/>
        <w:gridCol w:w="7141"/>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ascii="宋体" w:hAnsi="宋体"/>
                <w:b/>
                <w:bCs/>
                <w:kern w:val="0"/>
                <w:sz w:val="18"/>
                <w:szCs w:val="18"/>
              </w:rPr>
            </w:pPr>
            <w:r>
              <w:rPr>
                <w:rFonts w:hint="eastAsia" w:ascii="宋体" w:hAnsi="宋体"/>
                <w:b/>
                <w:bCs/>
                <w:kern w:val="0"/>
                <w:sz w:val="18"/>
                <w:szCs w:val="18"/>
              </w:rPr>
              <w:t>序号</w:t>
            </w:r>
          </w:p>
        </w:tc>
        <w:tc>
          <w:tcPr>
            <w:tcW w:w="1173" w:type="dxa"/>
            <w:tcBorders>
              <w:top w:val="single" w:color="auto" w:sz="4" w:space="0"/>
              <w:left w:val="nil"/>
              <w:bottom w:val="single" w:color="auto" w:sz="4" w:space="0"/>
              <w:right w:val="single" w:color="auto" w:sz="4" w:space="0"/>
            </w:tcBorders>
            <w:noWrap w:val="0"/>
            <w:vAlign w:val="center"/>
          </w:tcPr>
          <w:p>
            <w:pPr>
              <w:suppressAutoHyphens/>
              <w:adjustRightInd w:val="0"/>
              <w:snapToGrid w:val="0"/>
              <w:jc w:val="center"/>
              <w:rPr>
                <w:rFonts w:ascii="宋体" w:hAnsi="宋体"/>
                <w:b/>
                <w:bCs/>
                <w:kern w:val="0"/>
                <w:sz w:val="18"/>
                <w:szCs w:val="18"/>
              </w:rPr>
            </w:pPr>
            <w:r>
              <w:rPr>
                <w:rFonts w:hint="eastAsia" w:ascii="宋体" w:hAnsi="宋体"/>
                <w:b/>
                <w:bCs/>
                <w:kern w:val="0"/>
                <w:sz w:val="18"/>
                <w:szCs w:val="18"/>
              </w:rPr>
              <w:t>不予处罚告知承诺</w:t>
            </w:r>
          </w:p>
        </w:tc>
        <w:tc>
          <w:tcPr>
            <w:tcW w:w="1960" w:type="dxa"/>
            <w:tcBorders>
              <w:top w:val="single" w:color="auto" w:sz="4" w:space="0"/>
              <w:left w:val="nil"/>
              <w:bottom w:val="single" w:color="auto" w:sz="4" w:space="0"/>
              <w:right w:val="single" w:color="auto" w:sz="4" w:space="0"/>
            </w:tcBorders>
            <w:noWrap w:val="0"/>
            <w:vAlign w:val="center"/>
          </w:tcPr>
          <w:p>
            <w:pPr>
              <w:suppressAutoHyphens/>
              <w:adjustRightInd w:val="0"/>
              <w:snapToGrid w:val="0"/>
              <w:jc w:val="center"/>
              <w:rPr>
                <w:rFonts w:ascii="宋体" w:hAnsi="宋体"/>
                <w:b/>
                <w:bCs/>
                <w:kern w:val="0"/>
                <w:sz w:val="18"/>
                <w:szCs w:val="18"/>
              </w:rPr>
            </w:pPr>
            <w:r>
              <w:rPr>
                <w:rFonts w:hint="eastAsia" w:ascii="宋体" w:hAnsi="宋体"/>
                <w:b/>
                <w:bCs/>
                <w:kern w:val="0"/>
                <w:sz w:val="18"/>
                <w:szCs w:val="18"/>
              </w:rPr>
              <w:t>违法行为</w:t>
            </w:r>
          </w:p>
        </w:tc>
        <w:tc>
          <w:tcPr>
            <w:tcW w:w="2617" w:type="dxa"/>
            <w:tcBorders>
              <w:top w:val="single" w:color="auto" w:sz="4" w:space="0"/>
              <w:left w:val="nil"/>
              <w:bottom w:val="single" w:color="auto" w:sz="4" w:space="0"/>
              <w:right w:val="single" w:color="auto" w:sz="4" w:space="0"/>
            </w:tcBorders>
            <w:noWrap w:val="0"/>
            <w:vAlign w:val="center"/>
          </w:tcPr>
          <w:p>
            <w:pPr>
              <w:suppressAutoHyphens/>
              <w:adjustRightInd w:val="0"/>
              <w:snapToGrid w:val="0"/>
              <w:jc w:val="center"/>
              <w:rPr>
                <w:rFonts w:ascii="宋体" w:hAnsi="宋体"/>
                <w:b/>
                <w:bCs/>
                <w:kern w:val="0"/>
                <w:sz w:val="18"/>
                <w:szCs w:val="18"/>
              </w:rPr>
            </w:pPr>
            <w:r>
              <w:rPr>
                <w:rFonts w:hint="eastAsia" w:ascii="宋体" w:hAnsi="宋体"/>
                <w:b/>
                <w:bCs/>
                <w:sz w:val="18"/>
                <w:szCs w:val="18"/>
              </w:rPr>
              <w:t>适用条件</w:t>
            </w:r>
          </w:p>
        </w:tc>
        <w:tc>
          <w:tcPr>
            <w:tcW w:w="7141" w:type="dxa"/>
            <w:tcBorders>
              <w:top w:val="single" w:color="auto" w:sz="4" w:space="0"/>
              <w:left w:val="nil"/>
              <w:bottom w:val="single" w:color="auto" w:sz="4" w:space="0"/>
              <w:right w:val="single" w:color="auto" w:sz="4" w:space="0"/>
            </w:tcBorders>
            <w:noWrap w:val="0"/>
            <w:vAlign w:val="center"/>
          </w:tcPr>
          <w:p>
            <w:pPr>
              <w:suppressAutoHyphens/>
              <w:adjustRightInd w:val="0"/>
              <w:snapToGrid w:val="0"/>
              <w:jc w:val="center"/>
              <w:rPr>
                <w:rFonts w:ascii="宋体" w:hAnsi="宋体"/>
                <w:b/>
                <w:bCs/>
                <w:kern w:val="0"/>
                <w:sz w:val="18"/>
                <w:szCs w:val="18"/>
              </w:rPr>
            </w:pPr>
            <w:r>
              <w:rPr>
                <w:rFonts w:hint="eastAsia" w:ascii="宋体" w:hAnsi="宋体"/>
                <w:b/>
                <w:bCs/>
                <w:sz w:val="18"/>
                <w:szCs w:val="18"/>
              </w:rPr>
              <w:t>相关法律条文</w:t>
            </w:r>
          </w:p>
        </w:tc>
        <w:tc>
          <w:tcPr>
            <w:tcW w:w="1867" w:type="dxa"/>
            <w:tcBorders>
              <w:top w:val="single" w:color="auto" w:sz="4" w:space="0"/>
              <w:left w:val="nil"/>
              <w:bottom w:val="single" w:color="auto" w:sz="4" w:space="0"/>
              <w:right w:val="single" w:color="auto" w:sz="4" w:space="0"/>
            </w:tcBorders>
            <w:noWrap w:val="0"/>
            <w:vAlign w:val="center"/>
          </w:tcPr>
          <w:p>
            <w:pPr>
              <w:suppressAutoHyphens/>
              <w:adjustRightInd w:val="0"/>
              <w:snapToGrid w:val="0"/>
              <w:jc w:val="center"/>
              <w:rPr>
                <w:rFonts w:ascii="宋体" w:hAnsi="宋体"/>
                <w:b/>
                <w:bCs/>
                <w:sz w:val="18"/>
                <w:szCs w:val="18"/>
              </w:rPr>
            </w:pPr>
            <w:r>
              <w:rPr>
                <w:rFonts w:hint="eastAsia" w:ascii="宋体" w:hAnsi="宋体"/>
                <w:b/>
                <w:bCs/>
                <w:sz w:val="18"/>
                <w:szCs w:val="18"/>
              </w:rPr>
              <w:t>适用权限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spacing w:line="240" w:lineRule="exact"/>
              <w:jc w:val="center"/>
              <w:rPr>
                <w:rFonts w:ascii="宋体" w:hAnsi="宋体"/>
                <w:kern w:val="0"/>
                <w:sz w:val="18"/>
                <w:szCs w:val="18"/>
              </w:rPr>
            </w:pPr>
            <w:r>
              <w:rPr>
                <w:rFonts w:hint="eastAsia" w:ascii="宋体" w:hAnsi="宋体"/>
                <w:sz w:val="18"/>
                <w:szCs w:val="18"/>
              </w:rPr>
              <w:t>1</w:t>
            </w:r>
          </w:p>
        </w:tc>
        <w:tc>
          <w:tcPr>
            <w:tcW w:w="1173" w:type="dxa"/>
            <w:tcBorders>
              <w:top w:val="single" w:color="auto" w:sz="4" w:space="0"/>
              <w:left w:val="nil"/>
              <w:bottom w:val="single" w:color="auto" w:sz="4" w:space="0"/>
              <w:right w:val="single" w:color="auto" w:sz="4" w:space="0"/>
            </w:tcBorders>
            <w:noWrap w:val="0"/>
            <w:vAlign w:val="center"/>
          </w:tcPr>
          <w:p>
            <w:pPr>
              <w:suppressAutoHyphens/>
              <w:adjustRightInd w:val="0"/>
              <w:snapToGrid w:val="0"/>
              <w:spacing w:line="240" w:lineRule="exact"/>
              <w:rPr>
                <w:rFonts w:ascii="宋体" w:hAnsi="宋体"/>
                <w:kern w:val="0"/>
                <w:sz w:val="18"/>
                <w:szCs w:val="18"/>
              </w:rPr>
            </w:pPr>
            <w:r>
              <w:rPr>
                <w:rFonts w:hint="eastAsia" w:ascii="宋体" w:hAnsi="宋体"/>
                <w:kern w:val="0"/>
                <w:sz w:val="18"/>
                <w:szCs w:val="18"/>
              </w:rPr>
              <w:t>告知承诺</w:t>
            </w:r>
          </w:p>
        </w:tc>
        <w:tc>
          <w:tcPr>
            <w:tcW w:w="1960" w:type="dxa"/>
            <w:tcBorders>
              <w:top w:val="single" w:color="auto" w:sz="4" w:space="0"/>
              <w:left w:val="nil"/>
              <w:bottom w:val="single" w:color="auto" w:sz="4" w:space="0"/>
              <w:right w:val="single" w:color="auto" w:sz="4" w:space="0"/>
            </w:tcBorders>
            <w:noWrap w:val="0"/>
            <w:vAlign w:val="center"/>
          </w:tcPr>
          <w:p>
            <w:pPr>
              <w:suppressAutoHyphens/>
              <w:autoSpaceDE w:val="0"/>
              <w:autoSpaceDN w:val="0"/>
              <w:adjustRightInd w:val="0"/>
              <w:snapToGrid w:val="0"/>
              <w:spacing w:line="240" w:lineRule="exact"/>
              <w:rPr>
                <w:rFonts w:ascii="宋体" w:hAnsi="宋体"/>
                <w:kern w:val="0"/>
                <w:sz w:val="18"/>
                <w:szCs w:val="18"/>
              </w:rPr>
            </w:pPr>
            <w:r>
              <w:rPr>
                <w:rFonts w:hint="eastAsia" w:ascii="宋体" w:hAnsi="宋体"/>
                <w:sz w:val="18"/>
                <w:szCs w:val="18"/>
              </w:rPr>
              <w:t>注册会计师未按照执业准则、规则确定的工作程序出具报告</w:t>
            </w:r>
          </w:p>
        </w:tc>
        <w:tc>
          <w:tcPr>
            <w:tcW w:w="2617" w:type="dxa"/>
            <w:tcBorders>
              <w:top w:val="single" w:color="auto" w:sz="4" w:space="0"/>
              <w:left w:val="nil"/>
              <w:bottom w:val="single" w:color="auto" w:sz="4" w:space="0"/>
              <w:right w:val="single" w:color="auto" w:sz="4" w:space="0"/>
            </w:tcBorders>
            <w:noWrap w:val="0"/>
            <w:vAlign w:val="center"/>
          </w:tcPr>
          <w:p>
            <w:pPr>
              <w:suppressAutoHyphens/>
              <w:spacing w:line="240" w:lineRule="exact"/>
              <w:rPr>
                <w:rFonts w:ascii="宋体" w:hAnsi="宋体"/>
                <w:kern w:val="0"/>
                <w:sz w:val="18"/>
                <w:szCs w:val="18"/>
              </w:rPr>
            </w:pPr>
            <w:r>
              <w:rPr>
                <w:rFonts w:hint="eastAsia" w:ascii="宋体" w:hAnsi="宋体"/>
                <w:kern w:val="0"/>
                <w:sz w:val="18"/>
                <w:szCs w:val="18"/>
              </w:rPr>
              <w:t>同时符合下列条件：</w:t>
            </w:r>
          </w:p>
          <w:p>
            <w:pPr>
              <w:suppressAutoHyphens/>
              <w:spacing w:line="240" w:lineRule="exact"/>
              <w:rPr>
                <w:rFonts w:hint="eastAsia" w:ascii="宋体" w:hAnsi="宋体"/>
                <w:kern w:val="0"/>
                <w:sz w:val="18"/>
                <w:szCs w:val="18"/>
              </w:rPr>
            </w:pPr>
            <w:r>
              <w:rPr>
                <w:rFonts w:hint="eastAsia" w:ascii="宋体" w:hAnsi="宋体"/>
                <w:kern w:val="0"/>
                <w:sz w:val="18"/>
                <w:szCs w:val="18"/>
              </w:rPr>
              <w:t>1.初次发现存在</w:t>
            </w:r>
            <w:r>
              <w:rPr>
                <w:rFonts w:hint="eastAsia" w:ascii="宋体" w:hAnsi="宋体"/>
                <w:color w:val="333333"/>
                <w:sz w:val="18"/>
                <w:szCs w:val="18"/>
                <w:shd w:val="clear" w:color="auto" w:fill="FFFFFF"/>
              </w:rPr>
              <w:t>未实施严格的逐级复核制度、未按规定编制审计工作底稿的</w:t>
            </w:r>
            <w:r>
              <w:rPr>
                <w:rFonts w:hint="eastAsia" w:ascii="宋体" w:hAnsi="宋体"/>
                <w:kern w:val="0"/>
                <w:sz w:val="18"/>
                <w:szCs w:val="18"/>
              </w:rPr>
              <w:t>违法行为；</w:t>
            </w:r>
          </w:p>
          <w:p>
            <w:pPr>
              <w:suppressAutoHyphens/>
              <w:spacing w:line="240" w:lineRule="exact"/>
              <w:rPr>
                <w:rFonts w:hint="eastAsia" w:ascii="宋体" w:hAnsi="宋体"/>
                <w:kern w:val="0"/>
                <w:sz w:val="18"/>
                <w:szCs w:val="18"/>
              </w:rPr>
            </w:pPr>
            <w:r>
              <w:rPr>
                <w:rFonts w:hint="eastAsia" w:ascii="宋体" w:hAnsi="宋体"/>
                <w:kern w:val="0"/>
                <w:sz w:val="18"/>
                <w:szCs w:val="18"/>
              </w:rPr>
              <w:t>2.</w:t>
            </w:r>
            <w:r>
              <w:rPr>
                <w:rFonts w:hint="eastAsia" w:ascii="宋体" w:hAnsi="宋体"/>
                <w:sz w:val="18"/>
                <w:szCs w:val="18"/>
              </w:rPr>
              <w:t>注册会计师承诺整改并已按照执业准则、规则确定的工作程序进行完善</w:t>
            </w:r>
            <w:r>
              <w:rPr>
                <w:rFonts w:hint="eastAsia" w:ascii="宋体" w:hAnsi="宋体"/>
                <w:kern w:val="0"/>
                <w:sz w:val="18"/>
                <w:szCs w:val="18"/>
              </w:rPr>
              <w:t>；</w:t>
            </w:r>
          </w:p>
          <w:p>
            <w:pPr>
              <w:suppressAutoHyphens/>
              <w:spacing w:line="240" w:lineRule="exact"/>
              <w:rPr>
                <w:rFonts w:ascii="宋体" w:hAnsi="宋体"/>
                <w:kern w:val="0"/>
                <w:sz w:val="18"/>
                <w:szCs w:val="18"/>
              </w:rPr>
            </w:pPr>
            <w:r>
              <w:rPr>
                <w:rFonts w:hint="eastAsia" w:ascii="宋体" w:hAnsi="宋体"/>
                <w:kern w:val="0"/>
                <w:sz w:val="18"/>
                <w:szCs w:val="18"/>
              </w:rPr>
              <w:t>3.危害后果轻微。</w:t>
            </w:r>
          </w:p>
        </w:tc>
        <w:tc>
          <w:tcPr>
            <w:tcW w:w="7141" w:type="dxa"/>
            <w:tcBorders>
              <w:top w:val="single" w:color="auto" w:sz="4" w:space="0"/>
              <w:left w:val="nil"/>
              <w:bottom w:val="single" w:color="auto" w:sz="4" w:space="0"/>
              <w:right w:val="single" w:color="auto" w:sz="4" w:space="0"/>
            </w:tcBorders>
            <w:noWrap w:val="0"/>
            <w:vAlign w:val="center"/>
          </w:tcPr>
          <w:p>
            <w:pPr>
              <w:widowControl/>
              <w:shd w:val="clear" w:color="auto" w:fill="FFFFFF"/>
              <w:suppressAutoHyphens/>
              <w:spacing w:line="240" w:lineRule="exact"/>
              <w:ind w:firstLine="361" w:firstLineChars="200"/>
              <w:jc w:val="left"/>
              <w:rPr>
                <w:rFonts w:ascii="宋体" w:hAnsi="宋体"/>
                <w:color w:val="333333"/>
                <w:sz w:val="18"/>
                <w:szCs w:val="18"/>
                <w:shd w:val="clear" w:color="auto" w:fill="FFFFFF"/>
              </w:rPr>
            </w:pPr>
            <w:r>
              <w:rPr>
                <w:rFonts w:hint="eastAsia" w:ascii="宋体" w:hAnsi="宋体"/>
                <w:b/>
                <w:kern w:val="0"/>
                <w:sz w:val="18"/>
                <w:szCs w:val="18"/>
                <w:shd w:val="clear" w:color="auto" w:fill="FFFFFF"/>
              </w:rPr>
              <w:t>《会计师事务所执业许可和监督管理办法》（财政部令第97号）第六十条 </w:t>
            </w:r>
            <w:r>
              <w:rPr>
                <w:rFonts w:hint="eastAsia" w:ascii="宋体" w:hAnsi="宋体"/>
                <w:sz w:val="18"/>
                <w:szCs w:val="18"/>
                <w:shd w:val="clear" w:color="auto" w:fill="FFFFFF"/>
              </w:rPr>
              <w:t>会计师事务所和注册会计师必须按照执业准则、规则的要求，在实施必要的审计程序后，以经过核实的审计证据为依据，形成审计意见，出具审计报告，不得有下列行为：</w:t>
            </w:r>
            <w:r>
              <w:rPr>
                <w:rFonts w:hint="eastAsia" w:ascii="宋体" w:hAnsi="宋体"/>
                <w:color w:val="333333"/>
                <w:sz w:val="18"/>
                <w:szCs w:val="18"/>
                <w:shd w:val="clear" w:color="auto" w:fill="FFFFFF"/>
              </w:rPr>
              <w:t>（五）未实施严格的逐级复核制度，未按规定编制和保存审计工作底稿。</w:t>
            </w:r>
          </w:p>
          <w:p>
            <w:pPr>
              <w:widowControl/>
              <w:shd w:val="clear" w:color="auto" w:fill="FFFFFF"/>
              <w:suppressAutoHyphens/>
              <w:spacing w:line="240" w:lineRule="exact"/>
              <w:ind w:firstLine="361" w:firstLineChars="200"/>
              <w:jc w:val="left"/>
              <w:rPr>
                <w:rFonts w:hint="eastAsia" w:ascii="宋体" w:hAnsi="宋体"/>
                <w:color w:val="333333"/>
                <w:sz w:val="18"/>
                <w:szCs w:val="18"/>
                <w:shd w:val="clear" w:color="auto" w:fill="FFFFFF"/>
              </w:rPr>
            </w:pPr>
            <w:r>
              <w:rPr>
                <w:rFonts w:hint="eastAsia" w:ascii="宋体" w:hAnsi="宋体"/>
                <w:b/>
                <w:color w:val="333333"/>
                <w:sz w:val="18"/>
                <w:szCs w:val="18"/>
                <w:shd w:val="clear" w:color="auto" w:fill="FFFFFF"/>
              </w:rPr>
              <w:t>《</w:t>
            </w:r>
            <w:r>
              <w:rPr>
                <w:rFonts w:hint="eastAsia" w:ascii="宋体" w:hAnsi="宋体"/>
                <w:b/>
                <w:kern w:val="0"/>
                <w:sz w:val="18"/>
                <w:szCs w:val="18"/>
                <w:shd w:val="clear" w:color="auto" w:fill="FFFFFF"/>
              </w:rPr>
              <w:t>会计师事务所执业许可和监督管理办法》（财政部令第97号）</w:t>
            </w:r>
            <w:r>
              <w:rPr>
                <w:rFonts w:hint="eastAsia" w:ascii="宋体" w:hAnsi="宋体"/>
                <w:b/>
                <w:color w:val="333333"/>
                <w:kern w:val="0"/>
                <w:sz w:val="18"/>
                <w:szCs w:val="18"/>
                <w:shd w:val="clear" w:color="auto" w:fill="FFFFFF"/>
              </w:rPr>
              <w:t>第六十三条 </w:t>
            </w:r>
            <w:r>
              <w:rPr>
                <w:rFonts w:hint="eastAsia" w:ascii="宋体" w:hAnsi="宋体"/>
                <w:color w:val="333333"/>
                <w:sz w:val="18"/>
                <w:szCs w:val="18"/>
                <w:shd w:val="clear" w:color="auto" w:fill="FFFFFF"/>
              </w:rPr>
              <w:t>会计师事务所或者注册会计师违反法律法规及本办法规定的，由省级以上财政部门依法给予行政处罚。</w:t>
            </w:r>
          </w:p>
          <w:p>
            <w:pPr>
              <w:widowControl/>
              <w:shd w:val="clear" w:color="auto" w:fill="FFFFFF"/>
              <w:suppressAutoHyphens/>
              <w:spacing w:line="240" w:lineRule="exact"/>
              <w:ind w:firstLine="360" w:firstLineChars="200"/>
              <w:jc w:val="left"/>
              <w:rPr>
                <w:rFonts w:ascii="宋体" w:hAnsi="宋体"/>
                <w:b/>
                <w:kern w:val="0"/>
                <w:sz w:val="18"/>
                <w:szCs w:val="18"/>
                <w:shd w:val="clear" w:color="auto" w:fill="FFFFFF"/>
              </w:rPr>
            </w:pPr>
            <w:r>
              <w:rPr>
                <w:rFonts w:hint="eastAsia" w:ascii="宋体" w:hAnsi="宋体"/>
                <w:color w:val="333333"/>
                <w:sz w:val="18"/>
                <w:szCs w:val="18"/>
                <w:shd w:val="clear" w:color="auto" w:fill="FFFFFF"/>
              </w:rPr>
              <w:t>违法情节轻微，没有造成危害后果的，省级以上财政部门可以采取责令限期整改、下达监管关注函、出具管理建议书、约谈、通报等方式进行处理。</w:t>
            </w:r>
          </w:p>
        </w:tc>
        <w:tc>
          <w:tcPr>
            <w:tcW w:w="1867" w:type="dxa"/>
            <w:tcBorders>
              <w:top w:val="single" w:color="auto" w:sz="4" w:space="0"/>
              <w:left w:val="nil"/>
              <w:bottom w:val="single" w:color="auto" w:sz="4" w:space="0"/>
              <w:right w:val="single" w:color="auto" w:sz="4" w:space="0"/>
            </w:tcBorders>
            <w:noWrap w:val="0"/>
            <w:vAlign w:val="center"/>
          </w:tcPr>
          <w:p>
            <w:pPr>
              <w:widowControl/>
              <w:shd w:val="clear" w:color="auto" w:fill="FFFFFF"/>
              <w:suppressAutoHyphens/>
              <w:spacing w:line="240" w:lineRule="exact"/>
              <w:jc w:val="center"/>
              <w:rPr>
                <w:rFonts w:ascii="宋体" w:hAnsi="宋体"/>
                <w:b/>
                <w:kern w:val="0"/>
                <w:sz w:val="18"/>
                <w:szCs w:val="18"/>
                <w:shd w:val="clear" w:color="auto" w:fill="FFFFFF"/>
              </w:rPr>
            </w:pPr>
            <w:r>
              <w:rPr>
                <w:rFonts w:hint="eastAsia" w:ascii="宋体" w:hAnsi="宋体"/>
                <w:b/>
                <w:kern w:val="0"/>
                <w:sz w:val="18"/>
                <w:szCs w:val="18"/>
                <w:shd w:val="clear" w:color="auto" w:fill="FFFFFF"/>
              </w:rPr>
              <w:t>省级</w:t>
            </w:r>
          </w:p>
          <w:p>
            <w:pPr>
              <w:widowControl/>
              <w:shd w:val="clear" w:color="auto" w:fill="FFFFFF"/>
              <w:suppressAutoHyphens/>
              <w:spacing w:line="240" w:lineRule="exact"/>
              <w:jc w:val="center"/>
              <w:rPr>
                <w:rFonts w:hint="eastAsia" w:ascii="宋体" w:hAnsi="宋体"/>
                <w:b/>
                <w:kern w:val="0"/>
                <w:sz w:val="18"/>
                <w:szCs w:val="18"/>
                <w:shd w:val="clear" w:color="auto" w:fill="FFFFFF"/>
              </w:rPr>
            </w:pPr>
          </w:p>
          <w:p>
            <w:pPr>
              <w:widowControl/>
              <w:shd w:val="clear" w:color="auto" w:fill="FFFFFF"/>
              <w:suppressAutoHyphens/>
              <w:spacing w:line="240" w:lineRule="exact"/>
              <w:jc w:val="center"/>
              <w:rPr>
                <w:rFonts w:ascii="宋体" w:hAnsi="宋体"/>
                <w:b/>
                <w:kern w:val="0"/>
                <w:sz w:val="18"/>
                <w:szCs w:val="18"/>
                <w:shd w:val="clear" w:color="auto" w:fill="FFFFFF"/>
              </w:rPr>
            </w:pPr>
            <w:r>
              <w:rPr>
                <w:rFonts w:hint="eastAsia" w:ascii="宋体" w:hAnsi="宋体"/>
                <w:bCs/>
                <w:kern w:val="0"/>
                <w:sz w:val="18"/>
                <w:szCs w:val="18"/>
                <w:shd w:val="clear" w:color="auto" w:fill="FFFFFF"/>
              </w:rPr>
              <w:t>（积极配合省级、市级部门贯彻）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spacing w:line="240" w:lineRule="exact"/>
              <w:jc w:val="center"/>
              <w:rPr>
                <w:rFonts w:ascii="宋体" w:hAnsi="宋体"/>
                <w:kern w:val="0"/>
                <w:sz w:val="18"/>
                <w:szCs w:val="18"/>
              </w:rPr>
            </w:pPr>
            <w:r>
              <w:rPr>
                <w:rFonts w:hint="eastAsia" w:ascii="宋体" w:hAnsi="宋体"/>
                <w:kern w:val="0"/>
                <w:sz w:val="18"/>
                <w:szCs w:val="18"/>
              </w:rPr>
              <w:t>2</w:t>
            </w:r>
          </w:p>
        </w:tc>
        <w:tc>
          <w:tcPr>
            <w:tcW w:w="1173" w:type="dxa"/>
            <w:tcBorders>
              <w:top w:val="single" w:color="auto" w:sz="4" w:space="0"/>
              <w:left w:val="nil"/>
              <w:bottom w:val="single" w:color="auto" w:sz="4" w:space="0"/>
              <w:right w:val="single" w:color="auto" w:sz="4" w:space="0"/>
            </w:tcBorders>
            <w:noWrap w:val="0"/>
            <w:vAlign w:val="center"/>
          </w:tcPr>
          <w:p>
            <w:pPr>
              <w:suppressAutoHyphens/>
              <w:adjustRightInd w:val="0"/>
              <w:snapToGrid w:val="0"/>
              <w:spacing w:line="240" w:lineRule="exact"/>
              <w:rPr>
                <w:rFonts w:ascii="宋体" w:hAnsi="宋体"/>
                <w:kern w:val="0"/>
                <w:sz w:val="18"/>
                <w:szCs w:val="18"/>
              </w:rPr>
            </w:pPr>
            <w:r>
              <w:rPr>
                <w:rFonts w:hint="eastAsia" w:ascii="宋体" w:hAnsi="宋体"/>
                <w:kern w:val="0"/>
                <w:sz w:val="18"/>
                <w:szCs w:val="18"/>
              </w:rPr>
              <w:t>告知承诺</w:t>
            </w:r>
          </w:p>
        </w:tc>
        <w:tc>
          <w:tcPr>
            <w:tcW w:w="1960" w:type="dxa"/>
            <w:tcBorders>
              <w:top w:val="single" w:color="auto" w:sz="4" w:space="0"/>
              <w:left w:val="nil"/>
              <w:bottom w:val="single" w:color="auto" w:sz="4" w:space="0"/>
              <w:right w:val="single" w:color="auto" w:sz="4" w:space="0"/>
            </w:tcBorders>
            <w:noWrap w:val="0"/>
            <w:vAlign w:val="center"/>
          </w:tcPr>
          <w:p>
            <w:pPr>
              <w:widowControl/>
              <w:shd w:val="clear" w:color="auto" w:fill="FFFFFF"/>
              <w:suppressAutoHyphens/>
              <w:spacing w:line="240" w:lineRule="exact"/>
              <w:rPr>
                <w:rFonts w:ascii="宋体" w:hAnsi="宋体"/>
                <w:kern w:val="0"/>
                <w:sz w:val="18"/>
                <w:szCs w:val="18"/>
                <w:shd w:val="clear" w:color="auto" w:fill="FFFFFF"/>
              </w:rPr>
            </w:pPr>
            <w:r>
              <w:rPr>
                <w:rFonts w:hint="eastAsia" w:ascii="宋体" w:hAnsi="宋体"/>
                <w:kern w:val="0"/>
                <w:sz w:val="18"/>
                <w:szCs w:val="18"/>
                <w:shd w:val="clear" w:color="auto" w:fill="FFFFFF"/>
              </w:rPr>
              <w:t>会计师事务所及其分所违规办理离职、退伙（转股）或者转所、跨省级行政区划迁移经营场所</w:t>
            </w:r>
          </w:p>
          <w:p>
            <w:pPr>
              <w:suppressAutoHyphens/>
              <w:autoSpaceDE w:val="0"/>
              <w:autoSpaceDN w:val="0"/>
              <w:adjustRightInd w:val="0"/>
              <w:snapToGrid w:val="0"/>
              <w:spacing w:line="240" w:lineRule="exact"/>
              <w:rPr>
                <w:rFonts w:ascii="宋体" w:hAnsi="宋体"/>
                <w:kern w:val="0"/>
                <w:sz w:val="18"/>
                <w:szCs w:val="18"/>
              </w:rPr>
            </w:pPr>
          </w:p>
        </w:tc>
        <w:tc>
          <w:tcPr>
            <w:tcW w:w="2617" w:type="dxa"/>
            <w:tcBorders>
              <w:top w:val="single" w:color="auto" w:sz="4" w:space="0"/>
              <w:left w:val="nil"/>
              <w:bottom w:val="single" w:color="auto" w:sz="4" w:space="0"/>
              <w:right w:val="single" w:color="auto" w:sz="4" w:space="0"/>
            </w:tcBorders>
            <w:noWrap w:val="0"/>
            <w:vAlign w:val="center"/>
          </w:tcPr>
          <w:p>
            <w:pPr>
              <w:suppressAutoHyphens/>
              <w:spacing w:line="240" w:lineRule="exact"/>
              <w:rPr>
                <w:rFonts w:ascii="宋体" w:hAnsi="宋体"/>
                <w:kern w:val="0"/>
                <w:sz w:val="18"/>
                <w:szCs w:val="18"/>
              </w:rPr>
            </w:pPr>
            <w:r>
              <w:rPr>
                <w:rFonts w:hint="eastAsia" w:ascii="宋体" w:hAnsi="宋体"/>
                <w:kern w:val="0"/>
                <w:sz w:val="18"/>
                <w:szCs w:val="18"/>
              </w:rPr>
              <w:t>同时符合下列条件：</w:t>
            </w:r>
          </w:p>
          <w:p>
            <w:pPr>
              <w:numPr>
                <w:ilvl w:val="0"/>
                <w:numId w:val="1"/>
              </w:numPr>
              <w:suppressAutoHyphens/>
              <w:spacing w:line="240" w:lineRule="exact"/>
              <w:rPr>
                <w:rFonts w:hint="eastAsia" w:ascii="宋体" w:hAnsi="宋体"/>
                <w:kern w:val="0"/>
                <w:sz w:val="18"/>
                <w:szCs w:val="18"/>
              </w:rPr>
            </w:pPr>
            <w:r>
              <w:rPr>
                <w:rFonts w:hint="eastAsia" w:ascii="宋体" w:hAnsi="宋体"/>
                <w:kern w:val="0"/>
                <w:sz w:val="18"/>
                <w:szCs w:val="18"/>
              </w:rPr>
              <w:t>初次违法；</w:t>
            </w:r>
          </w:p>
          <w:p>
            <w:pPr>
              <w:suppressAutoHyphens/>
              <w:spacing w:line="240" w:lineRule="exact"/>
              <w:rPr>
                <w:rFonts w:hint="eastAsia" w:ascii="宋体" w:hAnsi="宋体"/>
                <w:kern w:val="0"/>
                <w:sz w:val="18"/>
                <w:szCs w:val="18"/>
              </w:rPr>
            </w:pPr>
            <w:r>
              <w:rPr>
                <w:rFonts w:hint="eastAsia" w:ascii="宋体" w:hAnsi="宋体"/>
                <w:kern w:val="0"/>
                <w:sz w:val="18"/>
                <w:szCs w:val="18"/>
              </w:rPr>
              <w:t>2.主动改正或者在责令改正期限内改正；</w:t>
            </w:r>
          </w:p>
          <w:p>
            <w:pPr>
              <w:suppressAutoHyphens/>
              <w:adjustRightInd w:val="0"/>
              <w:snapToGrid w:val="0"/>
              <w:spacing w:line="240" w:lineRule="exact"/>
              <w:rPr>
                <w:rFonts w:ascii="宋体" w:hAnsi="宋体"/>
                <w:kern w:val="0"/>
                <w:sz w:val="18"/>
                <w:szCs w:val="18"/>
              </w:rPr>
            </w:pPr>
            <w:r>
              <w:rPr>
                <w:rFonts w:hint="eastAsia" w:ascii="宋体" w:hAnsi="宋体"/>
                <w:kern w:val="0"/>
                <w:sz w:val="18"/>
                <w:szCs w:val="18"/>
              </w:rPr>
              <w:t>3.危害后果轻微。</w:t>
            </w:r>
          </w:p>
        </w:tc>
        <w:tc>
          <w:tcPr>
            <w:tcW w:w="7141" w:type="dxa"/>
            <w:tcBorders>
              <w:top w:val="single" w:color="auto" w:sz="4" w:space="0"/>
              <w:left w:val="nil"/>
              <w:bottom w:val="single" w:color="auto" w:sz="4" w:space="0"/>
              <w:right w:val="single" w:color="auto" w:sz="4" w:space="0"/>
            </w:tcBorders>
            <w:noWrap w:val="0"/>
            <w:vAlign w:val="center"/>
          </w:tcPr>
          <w:p>
            <w:pPr>
              <w:widowControl/>
              <w:shd w:val="clear" w:color="auto" w:fill="FFFFFF"/>
              <w:suppressAutoHyphens/>
              <w:spacing w:line="240" w:lineRule="exact"/>
              <w:rPr>
                <w:rFonts w:ascii="宋体" w:hAnsi="宋体"/>
                <w:sz w:val="18"/>
                <w:szCs w:val="18"/>
                <w:shd w:val="clear" w:color="auto" w:fill="FFFFFF"/>
              </w:rPr>
            </w:pPr>
            <w:r>
              <w:rPr>
                <w:rFonts w:hint="eastAsia" w:ascii="宋体" w:hAnsi="宋体"/>
                <w:b/>
                <w:kern w:val="0"/>
                <w:sz w:val="18"/>
                <w:szCs w:val="18"/>
                <w:shd w:val="clear" w:color="auto" w:fill="FFFFFF"/>
              </w:rPr>
              <w:t>《会计师事务所执业许可和监督管理办法》（财政部令第97号）第四十四条</w:t>
            </w:r>
            <w:r>
              <w:rPr>
                <w:rFonts w:hint="eastAsia" w:ascii="宋体" w:hAnsi="宋体"/>
                <w:sz w:val="18"/>
                <w:szCs w:val="18"/>
                <w:shd w:val="clear" w:color="auto" w:fill="FFFFFF"/>
              </w:rPr>
              <w:t xml:space="preserve"> 会计师事务所及其分所在接受财政部或者省级财政部门（以下简称省级以上财政部门）检查、整改及整改情况核查期间，不得办理以下手续：（一）首席合伙人（主任会计师）、审计业务主管合伙人（股东）、质量控制主管合伙人（股东）和相关签字注册会计师的离职、退伙（转股）或者转所；（二）跨省级行政区划迁移经营场所。</w:t>
            </w:r>
          </w:p>
          <w:p>
            <w:pPr>
              <w:suppressAutoHyphens/>
              <w:autoSpaceDE w:val="0"/>
              <w:autoSpaceDN w:val="0"/>
              <w:adjustRightInd w:val="0"/>
              <w:snapToGrid w:val="0"/>
              <w:spacing w:line="240" w:lineRule="exact"/>
              <w:rPr>
                <w:rFonts w:ascii="宋体" w:hAnsi="宋体"/>
                <w:b/>
                <w:kern w:val="0"/>
                <w:sz w:val="18"/>
                <w:szCs w:val="18"/>
              </w:rPr>
            </w:pPr>
            <w:r>
              <w:rPr>
                <w:rFonts w:hint="eastAsia" w:ascii="宋体" w:hAnsi="宋体"/>
                <w:b/>
                <w:kern w:val="0"/>
                <w:sz w:val="18"/>
                <w:szCs w:val="18"/>
              </w:rPr>
              <w:t>《会计师事务所执业许可和监督管理办法》（财政部令第97号）第六十九条</w:t>
            </w:r>
            <w:r>
              <w:rPr>
                <w:rFonts w:hint="eastAsia" w:ascii="宋体" w:hAnsi="宋体"/>
                <w:color w:val="333333"/>
                <w:sz w:val="18"/>
                <w:szCs w:val="18"/>
                <w:shd w:val="clear" w:color="auto" w:fill="FFFFFF"/>
              </w:rPr>
              <w:t>　</w:t>
            </w:r>
            <w:r>
              <w:rPr>
                <w:rFonts w:hint="eastAsia" w:ascii="宋体" w:hAnsi="宋体"/>
                <w:sz w:val="18"/>
                <w:szCs w:val="18"/>
              </w:rPr>
              <w:t>会计师事务所违反本办法第四十四条、第五十四条规定的，由省级以上财政部门对会计师事务所给予警告，可以并处1万元以下的罚款；对会计师事务所首席合伙人（主任会计师）等相关管理人员和直接责任人员给予警告，可以并处1万元以下罚款。</w:t>
            </w:r>
          </w:p>
        </w:tc>
        <w:tc>
          <w:tcPr>
            <w:tcW w:w="1867" w:type="dxa"/>
            <w:tcBorders>
              <w:top w:val="single" w:color="auto" w:sz="4" w:space="0"/>
              <w:left w:val="nil"/>
              <w:bottom w:val="single" w:color="auto" w:sz="4" w:space="0"/>
              <w:right w:val="single" w:color="auto" w:sz="4" w:space="0"/>
            </w:tcBorders>
            <w:noWrap w:val="0"/>
            <w:vAlign w:val="center"/>
          </w:tcPr>
          <w:p>
            <w:pPr>
              <w:suppressAutoHyphens/>
              <w:autoSpaceDE w:val="0"/>
              <w:autoSpaceDN w:val="0"/>
              <w:adjustRightInd w:val="0"/>
              <w:snapToGrid w:val="0"/>
              <w:spacing w:line="240" w:lineRule="exact"/>
              <w:jc w:val="center"/>
              <w:rPr>
                <w:rFonts w:ascii="宋体" w:hAnsi="宋体"/>
                <w:b/>
                <w:kern w:val="0"/>
                <w:sz w:val="18"/>
                <w:szCs w:val="18"/>
              </w:rPr>
            </w:pPr>
            <w:r>
              <w:rPr>
                <w:rFonts w:hint="eastAsia" w:ascii="宋体" w:hAnsi="宋体"/>
                <w:b/>
                <w:kern w:val="0"/>
                <w:sz w:val="18"/>
                <w:szCs w:val="18"/>
              </w:rPr>
              <w:t>省级</w:t>
            </w:r>
          </w:p>
          <w:p>
            <w:pPr>
              <w:suppressAutoHyphens/>
              <w:autoSpaceDE w:val="0"/>
              <w:autoSpaceDN w:val="0"/>
              <w:adjustRightInd w:val="0"/>
              <w:snapToGrid w:val="0"/>
              <w:spacing w:line="240" w:lineRule="exact"/>
              <w:jc w:val="center"/>
              <w:rPr>
                <w:rFonts w:hint="eastAsia" w:ascii="宋体" w:hAnsi="宋体"/>
                <w:b/>
                <w:kern w:val="0"/>
                <w:sz w:val="18"/>
                <w:szCs w:val="18"/>
              </w:rPr>
            </w:pPr>
          </w:p>
          <w:p>
            <w:pPr>
              <w:suppressAutoHyphens/>
              <w:autoSpaceDE w:val="0"/>
              <w:autoSpaceDN w:val="0"/>
              <w:adjustRightInd w:val="0"/>
              <w:snapToGrid w:val="0"/>
              <w:spacing w:line="240" w:lineRule="exact"/>
              <w:jc w:val="center"/>
              <w:rPr>
                <w:rFonts w:ascii="宋体" w:hAnsi="宋体"/>
                <w:b/>
                <w:kern w:val="0"/>
                <w:sz w:val="18"/>
                <w:szCs w:val="18"/>
              </w:rPr>
            </w:pPr>
            <w:r>
              <w:rPr>
                <w:rFonts w:hint="eastAsia" w:ascii="宋体" w:hAnsi="宋体"/>
                <w:bCs/>
                <w:kern w:val="0"/>
                <w:sz w:val="18"/>
                <w:szCs w:val="18"/>
                <w:shd w:val="clear" w:color="auto" w:fill="FFFFFF"/>
              </w:rPr>
              <w:t>（积极配合省级、市级部门贯彻）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spacing w:line="240" w:lineRule="exact"/>
              <w:jc w:val="center"/>
              <w:rPr>
                <w:rFonts w:ascii="宋体" w:hAnsi="宋体"/>
                <w:sz w:val="18"/>
                <w:szCs w:val="18"/>
              </w:rPr>
            </w:pPr>
            <w:r>
              <w:rPr>
                <w:rFonts w:hint="eastAsia" w:ascii="宋体" w:hAnsi="宋体"/>
                <w:kern w:val="0"/>
                <w:sz w:val="18"/>
                <w:szCs w:val="18"/>
              </w:rPr>
              <w:t>3</w:t>
            </w:r>
          </w:p>
        </w:tc>
        <w:tc>
          <w:tcPr>
            <w:tcW w:w="1173" w:type="dxa"/>
            <w:tcBorders>
              <w:top w:val="single" w:color="auto" w:sz="4" w:space="0"/>
              <w:left w:val="nil"/>
              <w:bottom w:val="single" w:color="auto" w:sz="4" w:space="0"/>
              <w:right w:val="single" w:color="auto" w:sz="4" w:space="0"/>
            </w:tcBorders>
            <w:noWrap w:val="0"/>
            <w:vAlign w:val="center"/>
          </w:tcPr>
          <w:p>
            <w:pPr>
              <w:suppressAutoHyphens/>
              <w:adjustRightInd w:val="0"/>
              <w:snapToGrid w:val="0"/>
              <w:spacing w:line="240" w:lineRule="exact"/>
              <w:rPr>
                <w:rFonts w:ascii="宋体" w:hAnsi="宋体"/>
                <w:kern w:val="0"/>
                <w:sz w:val="18"/>
                <w:szCs w:val="18"/>
              </w:rPr>
            </w:pPr>
            <w:r>
              <w:rPr>
                <w:rFonts w:hint="eastAsia" w:ascii="宋体" w:hAnsi="宋体"/>
                <w:kern w:val="0"/>
                <w:sz w:val="18"/>
                <w:szCs w:val="18"/>
              </w:rPr>
              <w:t>告知承诺</w:t>
            </w:r>
          </w:p>
        </w:tc>
        <w:tc>
          <w:tcPr>
            <w:tcW w:w="1960" w:type="dxa"/>
            <w:tcBorders>
              <w:top w:val="single" w:color="auto" w:sz="4" w:space="0"/>
              <w:left w:val="nil"/>
              <w:bottom w:val="single" w:color="auto" w:sz="4" w:space="0"/>
              <w:right w:val="single" w:color="auto" w:sz="4" w:space="0"/>
            </w:tcBorders>
            <w:noWrap w:val="0"/>
            <w:vAlign w:val="center"/>
          </w:tcPr>
          <w:p>
            <w:pPr>
              <w:suppressAutoHyphens/>
              <w:autoSpaceDE w:val="0"/>
              <w:autoSpaceDN w:val="0"/>
              <w:adjustRightInd w:val="0"/>
              <w:snapToGrid w:val="0"/>
              <w:spacing w:line="240" w:lineRule="exact"/>
              <w:rPr>
                <w:rFonts w:ascii="宋体" w:hAnsi="宋体"/>
                <w:sz w:val="18"/>
                <w:szCs w:val="18"/>
              </w:rPr>
            </w:pPr>
            <w:r>
              <w:rPr>
                <w:rFonts w:hint="eastAsia" w:ascii="宋体" w:hAnsi="宋体"/>
                <w:kern w:val="0"/>
                <w:sz w:val="18"/>
                <w:szCs w:val="18"/>
              </w:rPr>
              <w:t>资产评估机构未建立质量控制制度和内部管理制度，或质量控制制度和内部管理制度不健全。</w:t>
            </w:r>
          </w:p>
        </w:tc>
        <w:tc>
          <w:tcPr>
            <w:tcW w:w="2617" w:type="dxa"/>
            <w:tcBorders>
              <w:top w:val="single" w:color="auto" w:sz="4" w:space="0"/>
              <w:left w:val="nil"/>
              <w:bottom w:val="single" w:color="auto" w:sz="4" w:space="0"/>
              <w:right w:val="single" w:color="auto" w:sz="4" w:space="0"/>
            </w:tcBorders>
            <w:noWrap w:val="0"/>
            <w:vAlign w:val="center"/>
          </w:tcPr>
          <w:p>
            <w:pPr>
              <w:suppressAutoHyphens/>
              <w:spacing w:line="240" w:lineRule="exact"/>
              <w:rPr>
                <w:rFonts w:ascii="宋体" w:hAnsi="宋体"/>
                <w:kern w:val="0"/>
                <w:sz w:val="18"/>
                <w:szCs w:val="18"/>
              </w:rPr>
            </w:pPr>
            <w:r>
              <w:rPr>
                <w:rFonts w:hint="eastAsia" w:ascii="宋体" w:hAnsi="宋体"/>
                <w:kern w:val="0"/>
                <w:sz w:val="18"/>
                <w:szCs w:val="18"/>
              </w:rPr>
              <w:t>同时符合下列条件：</w:t>
            </w:r>
          </w:p>
          <w:p>
            <w:pPr>
              <w:suppressAutoHyphens/>
              <w:spacing w:line="240" w:lineRule="exact"/>
              <w:rPr>
                <w:rFonts w:hint="eastAsia" w:ascii="宋体" w:hAnsi="宋体"/>
                <w:kern w:val="0"/>
                <w:sz w:val="18"/>
                <w:szCs w:val="18"/>
              </w:rPr>
            </w:pPr>
            <w:r>
              <w:rPr>
                <w:rFonts w:hint="eastAsia" w:ascii="宋体" w:hAnsi="宋体"/>
                <w:kern w:val="0"/>
                <w:sz w:val="18"/>
                <w:szCs w:val="18"/>
              </w:rPr>
              <w:t>1.初次违法；</w:t>
            </w:r>
          </w:p>
          <w:p>
            <w:pPr>
              <w:suppressAutoHyphens/>
              <w:spacing w:line="240" w:lineRule="exact"/>
              <w:rPr>
                <w:rFonts w:hint="eastAsia" w:ascii="宋体" w:hAnsi="宋体"/>
                <w:kern w:val="0"/>
                <w:sz w:val="18"/>
                <w:szCs w:val="18"/>
              </w:rPr>
            </w:pPr>
            <w:r>
              <w:rPr>
                <w:rFonts w:hint="eastAsia" w:ascii="宋体" w:hAnsi="宋体"/>
                <w:kern w:val="0"/>
                <w:sz w:val="18"/>
                <w:szCs w:val="18"/>
              </w:rPr>
              <w:t>2.主动改正或者在责令限期整改期限内改正；</w:t>
            </w:r>
          </w:p>
          <w:p>
            <w:pPr>
              <w:suppressAutoHyphens/>
              <w:adjustRightInd w:val="0"/>
              <w:snapToGrid w:val="0"/>
              <w:spacing w:line="240" w:lineRule="exact"/>
              <w:rPr>
                <w:rFonts w:ascii="宋体" w:hAnsi="宋体"/>
                <w:b/>
                <w:kern w:val="0"/>
                <w:sz w:val="18"/>
                <w:szCs w:val="18"/>
              </w:rPr>
            </w:pPr>
            <w:r>
              <w:rPr>
                <w:rFonts w:hint="eastAsia" w:ascii="宋体" w:hAnsi="宋体"/>
                <w:kern w:val="0"/>
                <w:sz w:val="18"/>
                <w:szCs w:val="18"/>
              </w:rPr>
              <w:t>3.危害后果轻微。</w:t>
            </w:r>
          </w:p>
        </w:tc>
        <w:tc>
          <w:tcPr>
            <w:tcW w:w="7141" w:type="dxa"/>
            <w:tcBorders>
              <w:top w:val="single" w:color="auto" w:sz="4" w:space="0"/>
              <w:left w:val="nil"/>
              <w:bottom w:val="single" w:color="auto" w:sz="4" w:space="0"/>
              <w:right w:val="single" w:color="auto" w:sz="4" w:space="0"/>
            </w:tcBorders>
            <w:noWrap w:val="0"/>
            <w:vAlign w:val="center"/>
          </w:tcPr>
          <w:p>
            <w:pPr>
              <w:suppressAutoHyphens/>
              <w:autoSpaceDE w:val="0"/>
              <w:autoSpaceDN w:val="0"/>
              <w:adjustRightInd w:val="0"/>
              <w:snapToGrid w:val="0"/>
              <w:spacing w:line="240" w:lineRule="exact"/>
              <w:rPr>
                <w:rFonts w:ascii="宋体" w:hAnsi="宋体"/>
                <w:kern w:val="0"/>
                <w:sz w:val="18"/>
                <w:szCs w:val="18"/>
              </w:rPr>
            </w:pPr>
            <w:r>
              <w:rPr>
                <w:rFonts w:hint="eastAsia" w:ascii="宋体" w:hAnsi="宋体"/>
                <w:kern w:val="0"/>
                <w:sz w:val="18"/>
                <w:szCs w:val="18"/>
              </w:rPr>
              <w:t>《</w:t>
            </w:r>
            <w:r>
              <w:rPr>
                <w:rFonts w:hint="eastAsia" w:ascii="宋体" w:hAnsi="宋体"/>
                <w:b/>
                <w:kern w:val="0"/>
                <w:sz w:val="18"/>
                <w:szCs w:val="18"/>
              </w:rPr>
              <w:t>资产评估行业财政监督管理办法》（财政部令第97号）第十七条</w:t>
            </w:r>
            <w:r>
              <w:rPr>
                <w:rFonts w:hint="eastAsia" w:ascii="宋体" w:hAnsi="宋体"/>
                <w:kern w:val="0"/>
                <w:sz w:val="18"/>
                <w:szCs w:val="18"/>
              </w:rPr>
              <w:t xml:space="preserve">  资产评估机构应当建立健全质量控制制度和内部管理制度。其中，内部管理制度包括资产评估业务管理制度、业务档案管理制度、人事管理制度、继续教育制度、财务管理制度等。</w:t>
            </w:r>
          </w:p>
          <w:p>
            <w:pPr>
              <w:suppressAutoHyphens/>
              <w:autoSpaceDE w:val="0"/>
              <w:autoSpaceDN w:val="0"/>
              <w:adjustRightInd w:val="0"/>
              <w:snapToGrid w:val="0"/>
              <w:spacing w:line="240" w:lineRule="exact"/>
              <w:rPr>
                <w:rFonts w:ascii="宋体" w:hAnsi="宋体"/>
                <w:b/>
                <w:kern w:val="0"/>
                <w:sz w:val="18"/>
                <w:szCs w:val="18"/>
              </w:rPr>
            </w:pPr>
            <w:r>
              <w:rPr>
                <w:rFonts w:hint="eastAsia" w:ascii="宋体" w:hAnsi="宋体"/>
                <w:kern w:val="0"/>
                <w:sz w:val="18"/>
                <w:szCs w:val="18"/>
              </w:rPr>
              <w:t>《</w:t>
            </w:r>
            <w:r>
              <w:rPr>
                <w:rFonts w:hint="eastAsia" w:ascii="宋体" w:hAnsi="宋体"/>
                <w:b/>
                <w:kern w:val="0"/>
                <w:sz w:val="18"/>
                <w:szCs w:val="18"/>
              </w:rPr>
              <w:t>资产评估行业财政监督管理办法》（财政部令第97号）第六十三条</w:t>
            </w:r>
            <w:r>
              <w:rPr>
                <w:rFonts w:hint="eastAsia" w:ascii="宋体" w:hAnsi="宋体"/>
                <w:kern w:val="0"/>
                <w:sz w:val="18"/>
                <w:szCs w:val="18"/>
              </w:rPr>
              <w:t>：资产评估机构违反本办法十七条、第十八条、第十九条、第二十条第一款、第二十八条、第三十一条第一款和第二款规定的，由资产评估机构所在地省级财政部门责令改正，并予以警告。</w:t>
            </w:r>
          </w:p>
        </w:tc>
        <w:tc>
          <w:tcPr>
            <w:tcW w:w="1867" w:type="dxa"/>
            <w:tcBorders>
              <w:top w:val="single" w:color="auto" w:sz="4" w:space="0"/>
              <w:left w:val="nil"/>
              <w:bottom w:val="single" w:color="auto" w:sz="4" w:space="0"/>
              <w:right w:val="single" w:color="auto" w:sz="4" w:space="0"/>
            </w:tcBorders>
            <w:noWrap w:val="0"/>
            <w:vAlign w:val="center"/>
          </w:tcPr>
          <w:p>
            <w:pPr>
              <w:widowControl/>
              <w:shd w:val="clear" w:color="auto" w:fill="FFFFFF"/>
              <w:suppressAutoHyphens/>
              <w:spacing w:line="240" w:lineRule="exact"/>
              <w:jc w:val="center"/>
              <w:rPr>
                <w:rFonts w:ascii="宋体" w:hAnsi="宋体"/>
                <w:b/>
                <w:kern w:val="0"/>
                <w:sz w:val="18"/>
                <w:szCs w:val="18"/>
                <w:shd w:val="clear" w:color="auto" w:fill="FFFFFF"/>
              </w:rPr>
            </w:pPr>
            <w:r>
              <w:rPr>
                <w:rFonts w:hint="eastAsia" w:ascii="宋体" w:hAnsi="宋体"/>
                <w:b/>
                <w:kern w:val="0"/>
                <w:sz w:val="18"/>
                <w:szCs w:val="18"/>
                <w:shd w:val="clear" w:color="auto" w:fill="FFFFFF"/>
              </w:rPr>
              <w:t>省级</w:t>
            </w:r>
          </w:p>
          <w:p>
            <w:pPr>
              <w:widowControl/>
              <w:shd w:val="clear" w:color="auto" w:fill="FFFFFF"/>
              <w:suppressAutoHyphens/>
              <w:spacing w:line="240" w:lineRule="exact"/>
              <w:jc w:val="center"/>
              <w:rPr>
                <w:rFonts w:hint="eastAsia" w:ascii="宋体" w:hAnsi="宋体"/>
                <w:b/>
                <w:kern w:val="0"/>
                <w:sz w:val="18"/>
                <w:szCs w:val="18"/>
                <w:shd w:val="clear" w:color="auto" w:fill="FFFFFF"/>
              </w:rPr>
            </w:pPr>
          </w:p>
          <w:p>
            <w:pPr>
              <w:suppressAutoHyphens/>
              <w:autoSpaceDE w:val="0"/>
              <w:autoSpaceDN w:val="0"/>
              <w:adjustRightInd w:val="0"/>
              <w:snapToGrid w:val="0"/>
              <w:spacing w:line="240" w:lineRule="exact"/>
              <w:rPr>
                <w:rFonts w:ascii="宋体" w:hAnsi="宋体"/>
                <w:b/>
                <w:kern w:val="0"/>
                <w:sz w:val="18"/>
                <w:szCs w:val="18"/>
              </w:rPr>
            </w:pPr>
            <w:r>
              <w:rPr>
                <w:rFonts w:hint="eastAsia" w:ascii="宋体" w:hAnsi="宋体"/>
                <w:bCs/>
                <w:kern w:val="0"/>
                <w:sz w:val="18"/>
                <w:szCs w:val="18"/>
                <w:shd w:val="clear" w:color="auto" w:fill="FFFFFF"/>
              </w:rPr>
              <w:t>（积极配合省级、市级部门贯彻）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spacing w:line="240" w:lineRule="exact"/>
              <w:jc w:val="center"/>
              <w:rPr>
                <w:rFonts w:ascii="宋体" w:hAnsi="宋体"/>
                <w:kern w:val="0"/>
                <w:sz w:val="18"/>
                <w:szCs w:val="18"/>
              </w:rPr>
            </w:pPr>
            <w:r>
              <w:rPr>
                <w:rFonts w:hint="eastAsia" w:ascii="宋体" w:hAnsi="宋体"/>
                <w:kern w:val="0"/>
                <w:sz w:val="18"/>
                <w:szCs w:val="18"/>
              </w:rPr>
              <w:t>4</w:t>
            </w:r>
          </w:p>
        </w:tc>
        <w:tc>
          <w:tcPr>
            <w:tcW w:w="1173" w:type="dxa"/>
            <w:tcBorders>
              <w:top w:val="single" w:color="auto" w:sz="4" w:space="0"/>
              <w:left w:val="nil"/>
              <w:bottom w:val="single" w:color="auto" w:sz="4" w:space="0"/>
              <w:right w:val="single" w:color="auto" w:sz="4" w:space="0"/>
            </w:tcBorders>
            <w:noWrap w:val="0"/>
            <w:vAlign w:val="center"/>
          </w:tcPr>
          <w:p>
            <w:pPr>
              <w:suppressAutoHyphens/>
              <w:adjustRightInd w:val="0"/>
              <w:snapToGrid w:val="0"/>
              <w:spacing w:line="240" w:lineRule="exact"/>
              <w:rPr>
                <w:rFonts w:ascii="宋体" w:hAnsi="宋体"/>
                <w:kern w:val="0"/>
                <w:sz w:val="18"/>
                <w:szCs w:val="18"/>
              </w:rPr>
            </w:pPr>
            <w:r>
              <w:rPr>
                <w:rFonts w:hint="eastAsia" w:ascii="宋体" w:hAnsi="宋体"/>
                <w:kern w:val="0"/>
                <w:sz w:val="18"/>
                <w:szCs w:val="18"/>
              </w:rPr>
              <w:t>告知承诺</w:t>
            </w:r>
          </w:p>
        </w:tc>
        <w:tc>
          <w:tcPr>
            <w:tcW w:w="1960" w:type="dxa"/>
            <w:tcBorders>
              <w:top w:val="single" w:color="auto" w:sz="4" w:space="0"/>
              <w:left w:val="nil"/>
              <w:bottom w:val="single" w:color="auto" w:sz="4" w:space="0"/>
              <w:right w:val="single" w:color="auto" w:sz="4" w:space="0"/>
            </w:tcBorders>
            <w:noWrap w:val="0"/>
            <w:vAlign w:val="center"/>
          </w:tcPr>
          <w:p>
            <w:pPr>
              <w:suppressAutoHyphens/>
              <w:autoSpaceDE w:val="0"/>
              <w:autoSpaceDN w:val="0"/>
              <w:adjustRightInd w:val="0"/>
              <w:snapToGrid w:val="0"/>
              <w:spacing w:line="240" w:lineRule="exact"/>
              <w:rPr>
                <w:rFonts w:ascii="宋体" w:hAnsi="宋体"/>
                <w:kern w:val="0"/>
                <w:sz w:val="18"/>
                <w:szCs w:val="18"/>
              </w:rPr>
            </w:pPr>
            <w:r>
              <w:rPr>
                <w:rFonts w:hint="eastAsia" w:ascii="宋体" w:hAnsi="宋体"/>
                <w:kern w:val="0"/>
                <w:sz w:val="18"/>
                <w:szCs w:val="18"/>
              </w:rPr>
              <w:t>采购人、采购代理机构应当采用公开招标方式而擅自采用其他方式采购的</w:t>
            </w:r>
          </w:p>
        </w:tc>
        <w:tc>
          <w:tcPr>
            <w:tcW w:w="2617" w:type="dxa"/>
            <w:tcBorders>
              <w:top w:val="single" w:color="auto" w:sz="4" w:space="0"/>
              <w:left w:val="nil"/>
              <w:bottom w:val="single" w:color="auto" w:sz="4" w:space="0"/>
              <w:right w:val="single" w:color="auto" w:sz="4" w:space="0"/>
            </w:tcBorders>
            <w:noWrap w:val="0"/>
            <w:vAlign w:val="center"/>
          </w:tcPr>
          <w:p>
            <w:pPr>
              <w:suppressAutoHyphens/>
              <w:spacing w:line="240" w:lineRule="exact"/>
              <w:rPr>
                <w:rFonts w:ascii="宋体" w:hAnsi="宋体"/>
                <w:kern w:val="0"/>
                <w:sz w:val="18"/>
                <w:szCs w:val="18"/>
              </w:rPr>
            </w:pPr>
            <w:r>
              <w:rPr>
                <w:rFonts w:hint="eastAsia" w:ascii="宋体" w:hAnsi="宋体"/>
                <w:kern w:val="0"/>
                <w:sz w:val="18"/>
                <w:szCs w:val="18"/>
              </w:rPr>
              <w:t>同时符合下列条件：</w:t>
            </w:r>
          </w:p>
          <w:p>
            <w:pPr>
              <w:suppressAutoHyphens/>
              <w:spacing w:line="240" w:lineRule="exact"/>
              <w:rPr>
                <w:rFonts w:hint="eastAsia" w:ascii="宋体" w:hAnsi="宋体"/>
                <w:kern w:val="0"/>
                <w:sz w:val="18"/>
                <w:szCs w:val="18"/>
              </w:rPr>
            </w:pPr>
            <w:r>
              <w:rPr>
                <w:rFonts w:hint="eastAsia" w:ascii="宋体" w:hAnsi="宋体"/>
                <w:kern w:val="0"/>
                <w:sz w:val="18"/>
                <w:szCs w:val="18"/>
              </w:rPr>
              <w:t>1.初次违法；</w:t>
            </w:r>
          </w:p>
          <w:p>
            <w:pPr>
              <w:suppressAutoHyphens/>
              <w:spacing w:line="240" w:lineRule="exact"/>
              <w:rPr>
                <w:rFonts w:hint="eastAsia" w:ascii="宋体" w:hAnsi="宋体"/>
                <w:kern w:val="0"/>
                <w:sz w:val="18"/>
                <w:szCs w:val="18"/>
              </w:rPr>
            </w:pPr>
            <w:r>
              <w:rPr>
                <w:rFonts w:hint="eastAsia" w:ascii="宋体" w:hAnsi="宋体"/>
                <w:kern w:val="0"/>
                <w:sz w:val="18"/>
                <w:szCs w:val="18"/>
              </w:rPr>
              <w:t>2.主动改正或者在责令改正期限内改正；</w:t>
            </w:r>
          </w:p>
          <w:p>
            <w:pPr>
              <w:suppressAutoHyphens/>
              <w:spacing w:line="240" w:lineRule="exact"/>
              <w:rPr>
                <w:rFonts w:hint="eastAsia" w:ascii="宋体" w:hAnsi="宋体"/>
                <w:sz w:val="18"/>
                <w:szCs w:val="18"/>
              </w:rPr>
            </w:pPr>
            <w:r>
              <w:rPr>
                <w:rFonts w:hint="eastAsia" w:ascii="宋体" w:hAnsi="宋体"/>
                <w:kern w:val="0"/>
                <w:sz w:val="18"/>
                <w:szCs w:val="18"/>
              </w:rPr>
              <w:t>3.危害后果轻微。</w:t>
            </w:r>
          </w:p>
          <w:p>
            <w:pPr>
              <w:suppressAutoHyphens/>
              <w:spacing w:line="240" w:lineRule="exact"/>
              <w:rPr>
                <w:rFonts w:ascii="宋体" w:hAnsi="宋体"/>
                <w:kern w:val="0"/>
                <w:sz w:val="18"/>
                <w:szCs w:val="18"/>
              </w:rPr>
            </w:pPr>
          </w:p>
        </w:tc>
        <w:tc>
          <w:tcPr>
            <w:tcW w:w="7141" w:type="dxa"/>
            <w:tcBorders>
              <w:top w:val="single" w:color="auto" w:sz="4" w:space="0"/>
              <w:left w:val="nil"/>
              <w:bottom w:val="single" w:color="auto" w:sz="4" w:space="0"/>
              <w:right w:val="single" w:color="auto" w:sz="4" w:space="0"/>
            </w:tcBorders>
            <w:noWrap w:val="0"/>
            <w:vAlign w:val="center"/>
          </w:tcPr>
          <w:p>
            <w:pPr>
              <w:suppressAutoHyphens/>
              <w:adjustRightInd w:val="0"/>
              <w:snapToGrid w:val="0"/>
              <w:spacing w:line="240" w:lineRule="exact"/>
              <w:rPr>
                <w:rFonts w:ascii="宋体" w:hAnsi="宋体"/>
                <w:kern w:val="0"/>
                <w:sz w:val="18"/>
                <w:szCs w:val="18"/>
              </w:rPr>
            </w:pPr>
            <w:r>
              <w:rPr>
                <w:rFonts w:hint="eastAsia" w:ascii="宋体" w:hAnsi="宋体"/>
                <w:b/>
                <w:kern w:val="0"/>
                <w:sz w:val="18"/>
                <w:szCs w:val="18"/>
              </w:rPr>
              <w:t xml:space="preserve">《中华人民共和国政府采购法》第二十八条 </w:t>
            </w:r>
            <w:r>
              <w:rPr>
                <w:rFonts w:hint="eastAsia" w:ascii="宋体" w:hAnsi="宋体"/>
                <w:kern w:val="0"/>
                <w:sz w:val="18"/>
                <w:szCs w:val="18"/>
              </w:rPr>
              <w:t>采购人不得将应当以公开招标方式采购的货物或者服务化整为零或者以其他任何方式规避公开招标采购。</w:t>
            </w:r>
          </w:p>
          <w:p>
            <w:pPr>
              <w:suppressAutoHyphens/>
              <w:adjustRightInd w:val="0"/>
              <w:snapToGrid w:val="0"/>
              <w:spacing w:line="240" w:lineRule="exact"/>
              <w:rPr>
                <w:rFonts w:ascii="宋体" w:hAnsi="宋体"/>
                <w:kern w:val="0"/>
                <w:sz w:val="18"/>
                <w:szCs w:val="18"/>
              </w:rPr>
            </w:pPr>
            <w:r>
              <w:rPr>
                <w:rFonts w:hint="eastAsia" w:ascii="宋体" w:hAnsi="宋体"/>
                <w:b/>
                <w:kern w:val="0"/>
                <w:sz w:val="18"/>
                <w:szCs w:val="18"/>
              </w:rPr>
              <w:t xml:space="preserve">《中华人民共和国政府采购法》第七十一条 </w:t>
            </w:r>
            <w:r>
              <w:rPr>
                <w:rFonts w:hint="eastAsia" w:ascii="宋体" w:hAnsi="宋体"/>
                <w:kern w:val="0"/>
                <w:sz w:val="18"/>
                <w:szCs w:val="18"/>
              </w:rPr>
              <w:t>采购人、采购代理机构有下列情形之一的，责令限期改正，给予警告，可以并处罚款，对直接负责的主管人员和其他直接责任人员，由其行政主管部门或者有关机关给予处分，并予通报：（一）应当采用公开招标方式而擅自采用其他方式采购的；</w:t>
            </w:r>
          </w:p>
        </w:tc>
        <w:tc>
          <w:tcPr>
            <w:tcW w:w="1867" w:type="dxa"/>
            <w:tcBorders>
              <w:top w:val="single" w:color="auto" w:sz="4" w:space="0"/>
              <w:left w:val="nil"/>
              <w:bottom w:val="single" w:color="auto" w:sz="4" w:space="0"/>
              <w:right w:val="single" w:color="auto" w:sz="4" w:space="0"/>
            </w:tcBorders>
            <w:noWrap w:val="0"/>
            <w:vAlign w:val="center"/>
          </w:tcPr>
          <w:p>
            <w:pPr>
              <w:suppressAutoHyphens/>
              <w:adjustRightInd w:val="0"/>
              <w:snapToGrid w:val="0"/>
              <w:spacing w:line="240" w:lineRule="exact"/>
              <w:jc w:val="center"/>
              <w:rPr>
                <w:rFonts w:ascii="宋体" w:hAnsi="宋体"/>
                <w:b/>
                <w:kern w:val="0"/>
                <w:sz w:val="18"/>
                <w:szCs w:val="18"/>
              </w:rPr>
            </w:pPr>
            <w:r>
              <w:rPr>
                <w:rFonts w:hint="eastAsia" w:ascii="宋体" w:hAnsi="宋体"/>
                <w:b/>
                <w:kern w:val="0"/>
                <w:sz w:val="18"/>
                <w:szCs w:val="18"/>
              </w:rPr>
              <w:t>省级、市级、县级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spacing w:line="240" w:lineRule="exact"/>
              <w:jc w:val="center"/>
              <w:rPr>
                <w:rFonts w:ascii="宋体" w:hAnsi="宋体"/>
                <w:kern w:val="0"/>
                <w:sz w:val="18"/>
                <w:szCs w:val="18"/>
              </w:rPr>
            </w:pPr>
            <w:r>
              <w:rPr>
                <w:rFonts w:hint="eastAsia" w:ascii="宋体" w:hAnsi="宋体"/>
                <w:kern w:val="0"/>
                <w:sz w:val="18"/>
                <w:szCs w:val="18"/>
              </w:rPr>
              <w:t>5</w:t>
            </w:r>
          </w:p>
        </w:tc>
        <w:tc>
          <w:tcPr>
            <w:tcW w:w="1173" w:type="dxa"/>
            <w:tcBorders>
              <w:top w:val="single" w:color="auto" w:sz="4" w:space="0"/>
              <w:left w:val="nil"/>
              <w:bottom w:val="single" w:color="auto" w:sz="4" w:space="0"/>
              <w:right w:val="single" w:color="auto" w:sz="4" w:space="0"/>
            </w:tcBorders>
            <w:noWrap w:val="0"/>
            <w:vAlign w:val="center"/>
          </w:tcPr>
          <w:p>
            <w:pPr>
              <w:suppressAutoHyphens/>
              <w:adjustRightInd w:val="0"/>
              <w:snapToGrid w:val="0"/>
              <w:spacing w:line="240" w:lineRule="exact"/>
              <w:rPr>
                <w:rFonts w:eastAsia="仿宋_GB2312"/>
                <w:sz w:val="18"/>
                <w:szCs w:val="18"/>
              </w:rPr>
            </w:pPr>
            <w:r>
              <w:rPr>
                <w:rFonts w:hint="eastAsia" w:ascii="宋体" w:hAnsi="宋体"/>
                <w:kern w:val="0"/>
                <w:sz w:val="18"/>
                <w:szCs w:val="18"/>
              </w:rPr>
              <w:t>告知承诺</w:t>
            </w:r>
          </w:p>
        </w:tc>
        <w:tc>
          <w:tcPr>
            <w:tcW w:w="1960" w:type="dxa"/>
            <w:tcBorders>
              <w:top w:val="single" w:color="auto" w:sz="4" w:space="0"/>
              <w:left w:val="nil"/>
              <w:bottom w:val="single" w:color="auto" w:sz="4" w:space="0"/>
              <w:right w:val="single" w:color="auto" w:sz="4" w:space="0"/>
            </w:tcBorders>
            <w:noWrap w:val="0"/>
            <w:vAlign w:val="center"/>
          </w:tcPr>
          <w:p>
            <w:pPr>
              <w:suppressAutoHyphens/>
              <w:autoSpaceDE w:val="0"/>
              <w:autoSpaceDN w:val="0"/>
              <w:adjustRightInd w:val="0"/>
              <w:snapToGrid w:val="0"/>
              <w:spacing w:line="240" w:lineRule="exact"/>
              <w:rPr>
                <w:rFonts w:ascii="宋体" w:hAnsi="宋体"/>
                <w:kern w:val="0"/>
                <w:sz w:val="18"/>
                <w:szCs w:val="18"/>
              </w:rPr>
            </w:pPr>
          </w:p>
          <w:p>
            <w:pPr>
              <w:suppressAutoHyphens/>
              <w:autoSpaceDE w:val="0"/>
              <w:autoSpaceDN w:val="0"/>
              <w:adjustRightInd w:val="0"/>
              <w:snapToGrid w:val="0"/>
              <w:spacing w:line="240" w:lineRule="exact"/>
              <w:rPr>
                <w:rFonts w:hint="eastAsia" w:ascii="宋体" w:hAnsi="宋体"/>
                <w:kern w:val="0"/>
                <w:sz w:val="18"/>
                <w:szCs w:val="18"/>
              </w:rPr>
            </w:pPr>
          </w:p>
          <w:p>
            <w:pPr>
              <w:suppressAutoHyphens/>
              <w:autoSpaceDE w:val="0"/>
              <w:autoSpaceDN w:val="0"/>
              <w:adjustRightInd w:val="0"/>
              <w:snapToGrid w:val="0"/>
              <w:spacing w:line="240" w:lineRule="exact"/>
              <w:rPr>
                <w:rFonts w:hint="eastAsia" w:ascii="宋体" w:hAnsi="宋体"/>
                <w:kern w:val="0"/>
                <w:sz w:val="18"/>
                <w:szCs w:val="18"/>
              </w:rPr>
            </w:pPr>
            <w:r>
              <w:rPr>
                <w:rFonts w:hint="eastAsia" w:ascii="宋体" w:hAnsi="宋体"/>
                <w:kern w:val="0"/>
                <w:sz w:val="18"/>
                <w:szCs w:val="18"/>
              </w:rPr>
              <w:t>集中采购机构内部监督管理制度不健全，人员、岗位未依法分设、分离；将集中采购项目转委托</w:t>
            </w:r>
          </w:p>
          <w:p>
            <w:pPr>
              <w:suppressAutoHyphens/>
              <w:autoSpaceDE w:val="0"/>
              <w:autoSpaceDN w:val="0"/>
              <w:adjustRightInd w:val="0"/>
              <w:snapToGrid w:val="0"/>
              <w:spacing w:line="240" w:lineRule="exact"/>
              <w:rPr>
                <w:rFonts w:hint="eastAsia" w:ascii="宋体" w:hAnsi="宋体"/>
                <w:kern w:val="0"/>
                <w:sz w:val="18"/>
                <w:szCs w:val="18"/>
              </w:rPr>
            </w:pPr>
          </w:p>
          <w:p>
            <w:pPr>
              <w:suppressAutoHyphens/>
              <w:autoSpaceDE w:val="0"/>
              <w:autoSpaceDN w:val="0"/>
              <w:adjustRightInd w:val="0"/>
              <w:snapToGrid w:val="0"/>
              <w:spacing w:line="240" w:lineRule="exact"/>
              <w:rPr>
                <w:rFonts w:hint="eastAsia" w:ascii="宋体" w:hAnsi="宋体"/>
                <w:kern w:val="0"/>
                <w:sz w:val="18"/>
                <w:szCs w:val="18"/>
              </w:rPr>
            </w:pPr>
          </w:p>
          <w:p>
            <w:pPr>
              <w:suppressAutoHyphens/>
              <w:autoSpaceDE w:val="0"/>
              <w:autoSpaceDN w:val="0"/>
              <w:adjustRightInd w:val="0"/>
              <w:snapToGrid w:val="0"/>
              <w:spacing w:line="240" w:lineRule="exact"/>
              <w:rPr>
                <w:rFonts w:ascii="宋体" w:hAnsi="宋体"/>
                <w:kern w:val="0"/>
                <w:sz w:val="18"/>
                <w:szCs w:val="18"/>
              </w:rPr>
            </w:pPr>
          </w:p>
        </w:tc>
        <w:tc>
          <w:tcPr>
            <w:tcW w:w="2617" w:type="dxa"/>
            <w:tcBorders>
              <w:top w:val="single" w:color="auto" w:sz="4" w:space="0"/>
              <w:left w:val="nil"/>
              <w:bottom w:val="single" w:color="auto" w:sz="4" w:space="0"/>
              <w:right w:val="single" w:color="auto" w:sz="4" w:space="0"/>
            </w:tcBorders>
            <w:noWrap w:val="0"/>
            <w:vAlign w:val="center"/>
          </w:tcPr>
          <w:p>
            <w:pPr>
              <w:suppressAutoHyphens/>
              <w:spacing w:line="240" w:lineRule="exact"/>
              <w:rPr>
                <w:rFonts w:ascii="宋体" w:hAnsi="宋体"/>
                <w:kern w:val="0"/>
                <w:sz w:val="18"/>
                <w:szCs w:val="18"/>
              </w:rPr>
            </w:pPr>
            <w:r>
              <w:rPr>
                <w:rFonts w:hint="eastAsia" w:ascii="宋体" w:hAnsi="宋体"/>
                <w:kern w:val="0"/>
                <w:sz w:val="18"/>
                <w:szCs w:val="18"/>
              </w:rPr>
              <w:t>同时符合下列条件：</w:t>
            </w:r>
          </w:p>
          <w:p>
            <w:pPr>
              <w:suppressAutoHyphens/>
              <w:spacing w:line="240" w:lineRule="exact"/>
              <w:rPr>
                <w:rFonts w:hint="eastAsia" w:ascii="宋体" w:hAnsi="宋体"/>
                <w:kern w:val="0"/>
                <w:sz w:val="18"/>
                <w:szCs w:val="18"/>
              </w:rPr>
            </w:pPr>
            <w:r>
              <w:rPr>
                <w:rFonts w:hint="eastAsia" w:ascii="宋体" w:hAnsi="宋体"/>
                <w:kern w:val="0"/>
                <w:sz w:val="18"/>
                <w:szCs w:val="18"/>
              </w:rPr>
              <w:t>1.初次违法；</w:t>
            </w:r>
          </w:p>
          <w:p>
            <w:pPr>
              <w:suppressAutoHyphens/>
              <w:spacing w:line="240" w:lineRule="exact"/>
              <w:rPr>
                <w:rFonts w:hint="eastAsia" w:ascii="宋体" w:hAnsi="宋体"/>
                <w:kern w:val="0"/>
                <w:sz w:val="18"/>
                <w:szCs w:val="18"/>
              </w:rPr>
            </w:pPr>
            <w:r>
              <w:rPr>
                <w:rFonts w:hint="eastAsia" w:ascii="宋体" w:hAnsi="宋体"/>
                <w:kern w:val="0"/>
                <w:sz w:val="18"/>
                <w:szCs w:val="18"/>
              </w:rPr>
              <w:t>2.主动改正或者在责令改正期限内改正；</w:t>
            </w:r>
          </w:p>
          <w:p>
            <w:pPr>
              <w:suppressAutoHyphens/>
              <w:spacing w:line="240" w:lineRule="exact"/>
              <w:rPr>
                <w:rFonts w:ascii="宋体" w:hAnsi="宋体"/>
                <w:kern w:val="0"/>
                <w:sz w:val="18"/>
                <w:szCs w:val="18"/>
              </w:rPr>
            </w:pPr>
            <w:r>
              <w:rPr>
                <w:rFonts w:hint="eastAsia" w:ascii="宋体" w:hAnsi="宋体"/>
                <w:kern w:val="0"/>
                <w:sz w:val="18"/>
                <w:szCs w:val="18"/>
              </w:rPr>
              <w:t>3.危害后果轻微。</w:t>
            </w:r>
          </w:p>
        </w:tc>
        <w:tc>
          <w:tcPr>
            <w:tcW w:w="7141" w:type="dxa"/>
            <w:tcBorders>
              <w:top w:val="single" w:color="auto" w:sz="4" w:space="0"/>
              <w:left w:val="nil"/>
              <w:bottom w:val="single" w:color="auto" w:sz="4" w:space="0"/>
              <w:right w:val="single" w:color="auto" w:sz="4" w:space="0"/>
            </w:tcBorders>
            <w:noWrap w:val="0"/>
            <w:vAlign w:val="center"/>
          </w:tcPr>
          <w:p>
            <w:pPr>
              <w:suppressAutoHyphens/>
              <w:autoSpaceDE w:val="0"/>
              <w:autoSpaceDN w:val="0"/>
              <w:adjustRightInd w:val="0"/>
              <w:snapToGrid w:val="0"/>
              <w:spacing w:line="240" w:lineRule="exact"/>
              <w:rPr>
                <w:rFonts w:ascii="宋体" w:hAnsi="宋体"/>
                <w:color w:val="333333"/>
                <w:kern w:val="0"/>
                <w:sz w:val="18"/>
                <w:szCs w:val="18"/>
                <w:shd w:val="clear" w:color="auto" w:fill="FFFFFF"/>
              </w:rPr>
            </w:pPr>
            <w:r>
              <w:rPr>
                <w:rFonts w:hint="eastAsia" w:ascii="宋体" w:hAnsi="宋体"/>
                <w:b/>
                <w:kern w:val="0"/>
                <w:sz w:val="18"/>
                <w:szCs w:val="18"/>
              </w:rPr>
              <w:t xml:space="preserve">《中华人民共和国政府采购法实施条例》第十二条第二款 </w:t>
            </w:r>
            <w:r>
              <w:rPr>
                <w:rFonts w:hint="eastAsia" w:ascii="宋体" w:hAnsi="宋体"/>
                <w:color w:val="333333"/>
                <w:kern w:val="0"/>
                <w:sz w:val="18"/>
                <w:szCs w:val="18"/>
                <w:shd w:val="clear" w:color="auto" w:fill="FFFFFF"/>
              </w:rPr>
              <w:t>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p>
          <w:p>
            <w:pPr>
              <w:suppressAutoHyphens/>
              <w:autoSpaceDE w:val="0"/>
              <w:autoSpaceDN w:val="0"/>
              <w:adjustRightInd w:val="0"/>
              <w:snapToGrid w:val="0"/>
              <w:spacing w:line="240" w:lineRule="exact"/>
              <w:rPr>
                <w:rFonts w:hint="eastAsia" w:ascii="宋体" w:hAnsi="宋体"/>
                <w:kern w:val="0"/>
                <w:sz w:val="18"/>
                <w:szCs w:val="18"/>
              </w:rPr>
            </w:pPr>
            <w:r>
              <w:rPr>
                <w:rFonts w:hint="eastAsia" w:ascii="宋体" w:hAnsi="宋体"/>
                <w:b/>
                <w:kern w:val="0"/>
                <w:sz w:val="18"/>
                <w:szCs w:val="18"/>
              </w:rPr>
              <w:t xml:space="preserve">《中华人民共和国政府采购法实施条例》第十三条第一款 </w:t>
            </w:r>
            <w:r>
              <w:rPr>
                <w:rFonts w:hint="eastAsia" w:ascii="宋体" w:hAnsi="宋体"/>
                <w:kern w:val="0"/>
                <w:sz w:val="18"/>
                <w:szCs w:val="18"/>
              </w:rPr>
              <w:t>采购代理机构应当建立完善的政府采购内部监督管理制度，具备开展政府采购业务所需的评审条件和设施。</w:t>
            </w:r>
          </w:p>
          <w:p>
            <w:pPr>
              <w:suppressAutoHyphens/>
              <w:autoSpaceDE w:val="0"/>
              <w:autoSpaceDN w:val="0"/>
              <w:adjustRightInd w:val="0"/>
              <w:snapToGrid w:val="0"/>
              <w:spacing w:line="240" w:lineRule="exact"/>
              <w:rPr>
                <w:rFonts w:ascii="宋体" w:hAnsi="宋体"/>
                <w:kern w:val="0"/>
                <w:sz w:val="18"/>
                <w:szCs w:val="18"/>
              </w:rPr>
            </w:pPr>
            <w:r>
              <w:rPr>
                <w:rFonts w:hint="eastAsia" w:ascii="宋体" w:hAnsi="宋体"/>
                <w:b/>
                <w:kern w:val="0"/>
                <w:sz w:val="18"/>
                <w:szCs w:val="18"/>
              </w:rPr>
              <w:t xml:space="preserve">《中华人民共和国政府采购法实施条例》第六十九条 </w:t>
            </w:r>
            <w:r>
              <w:rPr>
                <w:rFonts w:hint="eastAsia" w:ascii="宋体" w:hAnsi="宋体"/>
                <w:kern w:val="0"/>
                <w:sz w:val="18"/>
                <w:szCs w:val="18"/>
              </w:rPr>
              <w:t>集中采购机构有下列情形之一的，由财政部门责令限期改正，给予警告，有违法所得的，并处没收违法所得，对直接负责的主管人员和其他直接责任人员依法给予处分，并予以通报：（一）内部监督管理制度不健全，对依法应当分设、分离的岗位、人员未分设、分离；（二）将集中采购机构项目委托其他采购代理机构采购。</w:t>
            </w:r>
          </w:p>
        </w:tc>
        <w:tc>
          <w:tcPr>
            <w:tcW w:w="1867" w:type="dxa"/>
            <w:tcBorders>
              <w:top w:val="single" w:color="auto" w:sz="4" w:space="0"/>
              <w:left w:val="nil"/>
              <w:bottom w:val="single" w:color="auto" w:sz="4" w:space="0"/>
              <w:right w:val="single" w:color="auto" w:sz="4" w:space="0"/>
            </w:tcBorders>
            <w:noWrap w:val="0"/>
            <w:vAlign w:val="center"/>
          </w:tcPr>
          <w:p>
            <w:pPr>
              <w:suppressAutoHyphens/>
              <w:autoSpaceDE w:val="0"/>
              <w:autoSpaceDN w:val="0"/>
              <w:adjustRightInd w:val="0"/>
              <w:snapToGrid w:val="0"/>
              <w:spacing w:line="240" w:lineRule="exact"/>
              <w:jc w:val="center"/>
              <w:rPr>
                <w:rFonts w:ascii="宋体" w:hAnsi="宋体"/>
                <w:b/>
                <w:kern w:val="0"/>
                <w:sz w:val="18"/>
                <w:szCs w:val="18"/>
              </w:rPr>
            </w:pPr>
            <w:r>
              <w:rPr>
                <w:rFonts w:hint="eastAsia" w:ascii="宋体" w:hAnsi="宋体"/>
                <w:b/>
                <w:kern w:val="0"/>
                <w:sz w:val="18"/>
                <w:szCs w:val="18"/>
              </w:rPr>
              <w:t>省级、市级、县级</w:t>
            </w:r>
          </w:p>
        </w:tc>
      </w:tr>
    </w:tbl>
    <w:p>
      <w:pPr>
        <w:adjustRightInd w:val="0"/>
        <w:spacing w:before="156" w:beforeLines="50" w:line="500" w:lineRule="exact"/>
        <w:ind w:right="840" w:rightChars="400"/>
        <w:jc w:val="left"/>
        <w:rPr>
          <w:rFonts w:hint="eastAsia" w:ascii="仿宋_GB2312" w:hAnsi="宋体" w:eastAsia="仿宋_GB2312"/>
          <w:sz w:val="32"/>
          <w:szCs w:val="32"/>
        </w:rPr>
      </w:pPr>
      <w:bookmarkStart w:id="0" w:name="publishStr"/>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290A27"/>
    <w:multiLevelType w:val="multilevel"/>
    <w:tmpl w:val="32290A27"/>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OGJmN2U0MWQ3NzI3N2UzNmU5Mjk1ZjBkZjQ0MzIifQ=="/>
  </w:docVars>
  <w:rsids>
    <w:rsidRoot w:val="36214C31"/>
    <w:rsid w:val="36214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2023-12-21T07:35:00Z</dcterms:created>
  <dc:creator>吴邪</dc:creator>
  <lastModifiedBy>吴邪</lastModifiedBy>
  <dcterms:modified xsi:type="dcterms:W3CDTF">2023-12-21T07:35:43Z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FB02594556DB46749555E5BBAE117846_11</vt:lpwstr>
  </property>
</Properties>
</file>