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600" w:lineRule="exact"/>
        <w:jc w:val="center"/>
        <w:rPr>
          <w:rFonts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不合格项目说明</w:t>
      </w:r>
    </w:p>
    <w:p>
      <w:pPr>
        <w:spacing w:line="480" w:lineRule="auto"/>
        <w:ind w:firstLine="640" w:firstLineChars="200"/>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bidi w:val="0"/>
        <w:snapToGrid/>
        <w:spacing w:line="54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一</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二氧化硫残留量</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00"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keepNext w:val="0"/>
        <w:keepLines w:val="0"/>
        <w:pageBreakBefore w:val="0"/>
        <w:kinsoku/>
        <w:wordWrap/>
        <w:overflowPunct/>
        <w:topLinePunct w:val="0"/>
        <w:bidi w:val="0"/>
        <w:snapToGrid/>
        <w:spacing w:line="54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kern w:val="2"/>
          <w:sz w:val="30"/>
          <w:szCs w:val="30"/>
          <w:lang w:val="en-US" w:eastAsia="zh-CN" w:bidi="ar-SA"/>
        </w:rPr>
        <w:t>二、</w:t>
      </w:r>
      <w:r>
        <w:rPr>
          <w:rFonts w:hint="eastAsia" w:ascii="仿宋" w:hAnsi="仿宋" w:eastAsia="仿宋" w:cs="仿宋"/>
          <w:b w:val="0"/>
          <w:bCs w:val="0"/>
          <w:color w:val="000000"/>
          <w:sz w:val="30"/>
          <w:szCs w:val="30"/>
        </w:rPr>
        <w:t>糖精钠（以糖精计）</w:t>
      </w:r>
    </w:p>
    <w:p>
      <w:pPr>
        <w:pStyle w:val="13"/>
        <w:keepNext w:val="0"/>
        <w:keepLines w:val="0"/>
        <w:pageBreakBefore w:val="0"/>
        <w:widowControl w:val="0"/>
        <w:numPr>
          <w:ilvl w:val="0"/>
          <w:numId w:val="0"/>
        </w:numPr>
        <w:kinsoku/>
        <w:wordWrap/>
        <w:overflowPunct/>
        <w:topLinePunct w:val="0"/>
        <w:bidi w:val="0"/>
        <w:snapToGrid/>
        <w:spacing w:line="540" w:lineRule="exact"/>
        <w:ind w:firstLine="600" w:firstLineChars="200"/>
        <w:textAlignment w:val="auto"/>
        <w:rPr>
          <w:rFonts w:hint="eastAsia"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sz w:val="30"/>
          <w:szCs w:val="30"/>
        </w:rPr>
        <w:t>糖精钠（soluble saccharin），无色结晶或稍带白色的结晶性粉末，无臭或微有香气，甜度为蔗糖的200~700 倍。糖精钠是普遍使用的人工合成甜味剂。糖精钠在人体内不被吸收，不产生热量，大部分经肾排出而不损害肾功能，不改变体内酶系统的活性。但食用较多的糖精钠，会影响肠胃消化酶的正常分泌，降低小肠的吸收能力，使食欲减退；使用量过大时有金属苦味。造成食品中糖精钠不合格的主要原因有：生产经营企业为增加产品甜味，超限量、超范围使用或者未准确计量。</w:t>
      </w:r>
    </w:p>
    <w:p>
      <w:pPr>
        <w:keepNext w:val="0"/>
        <w:keepLines w:val="0"/>
        <w:pageBreakBefore w:val="0"/>
        <w:widowControl/>
        <w:shd w:val="clear" w:color="auto" w:fill="FFFFFF"/>
        <w:suppressAutoHyphens/>
        <w:kinsoku/>
        <w:wordWrap/>
        <w:overflowPunct/>
        <w:topLinePunct w:val="0"/>
        <w:bidi w:val="0"/>
        <w:snapToGrid/>
        <w:spacing w:before="100" w:beforeAutospacing="0" w:after="100" w:afterAutospacing="0" w:line="540" w:lineRule="exact"/>
        <w:ind w:left="0" w:right="0" w:firstLine="600" w:firstLineChars="200"/>
        <w:jc w:val="left"/>
        <w:textAlignment w:val="auto"/>
        <w:rPr>
          <w:rFonts w:hint="eastAsia" w:ascii="仿宋" w:hAnsi="仿宋" w:eastAsia="仿宋" w:cs="仿宋"/>
          <w:b w:val="0"/>
          <w:bCs w:val="0"/>
          <w:color w:val="000000"/>
          <w:kern w:val="0"/>
          <w:sz w:val="30"/>
          <w:szCs w:val="30"/>
          <w:lang w:val="en-US" w:eastAsia="zh-CN" w:bidi="ar-SA"/>
        </w:rPr>
      </w:pPr>
      <w:r>
        <w:rPr>
          <w:rFonts w:hint="eastAsia" w:ascii="仿宋" w:hAnsi="仿宋" w:eastAsia="仿宋" w:cs="仿宋"/>
          <w:b w:val="0"/>
          <w:bCs w:val="0"/>
          <w:color w:val="000000"/>
          <w:kern w:val="2"/>
          <w:sz w:val="30"/>
          <w:szCs w:val="30"/>
          <w:lang w:val="en-US" w:eastAsia="zh-CN" w:bidi="ar-SA"/>
        </w:rPr>
        <w:t>三、</w:t>
      </w:r>
      <w:r>
        <w:rPr>
          <w:rFonts w:hint="eastAsia" w:ascii="仿宋" w:hAnsi="仿宋" w:eastAsia="仿宋" w:cs="仿宋"/>
          <w:b w:val="0"/>
          <w:bCs w:val="0"/>
          <w:color w:val="000000"/>
          <w:kern w:val="0"/>
          <w:sz w:val="30"/>
          <w:szCs w:val="30"/>
          <w:lang w:val="en-US" w:eastAsia="zh-CN" w:bidi="ar-SA"/>
        </w:rPr>
        <w:t>甜蜜素</w:t>
      </w:r>
    </w:p>
    <w:p>
      <w:pPr>
        <w:keepNext w:val="0"/>
        <w:keepLines w:val="0"/>
        <w:pageBreakBefore w:val="0"/>
        <w:numPr>
          <w:ilvl w:val="0"/>
          <w:numId w:val="0"/>
        </w:numPr>
        <w:suppressAutoHyphens/>
        <w:kinsoku/>
        <w:wordWrap/>
        <w:overflowPunct/>
        <w:topLinePunct w:val="0"/>
        <w:bidi w:val="0"/>
        <w:snapToGrid/>
        <w:spacing w:line="540" w:lineRule="exact"/>
        <w:ind w:firstLine="600" w:firstLineChars="200"/>
        <w:textAlignment w:val="auto"/>
        <w:rPr>
          <w:rFonts w:hint="eastAsia"/>
          <w:sz w:val="30"/>
          <w:szCs w:val="30"/>
        </w:rPr>
      </w:pPr>
      <w:r>
        <w:rPr>
          <w:rFonts w:hint="eastAsia" w:ascii="仿宋" w:hAnsi="仿宋" w:eastAsia="仿宋" w:cs="仿宋"/>
          <w:color w:val="auto"/>
          <w:kern w:val="0"/>
          <w:sz w:val="30"/>
          <w:szCs w:val="30"/>
        </w:rPr>
        <w:t>甜蜜素，其化学名称为环己基氨基磺酸钠，是一种</w:t>
      </w:r>
      <w:r>
        <w:rPr>
          <w:rFonts w:hint="eastAsia" w:ascii="仿宋" w:hAnsi="仿宋" w:eastAsia="仿宋" w:cs="仿宋"/>
          <w:color w:val="auto"/>
          <w:sz w:val="30"/>
          <w:szCs w:val="30"/>
        </w:rPr>
        <w:t>食品生产中</w:t>
      </w:r>
      <w:r>
        <w:rPr>
          <w:rFonts w:hint="eastAsia" w:ascii="仿宋" w:hAnsi="仿宋" w:eastAsia="仿宋" w:cs="仿宋"/>
          <w:color w:val="auto"/>
          <w:kern w:val="0"/>
          <w:sz w:val="30"/>
          <w:szCs w:val="30"/>
        </w:rPr>
        <w:t>常用的合成甜味剂。甜蜜素可以用于饮料、糕点、配制酒</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highlight w:val="none"/>
          <w:lang w:val="en-US" w:eastAsia="zh-CN"/>
        </w:rPr>
        <w:t>方便米面食品（仅限调味面制品）</w:t>
      </w:r>
      <w:r>
        <w:rPr>
          <w:rFonts w:hint="eastAsia" w:ascii="仿宋" w:hAnsi="仿宋" w:eastAsia="仿宋" w:cs="仿宋"/>
          <w:color w:val="auto"/>
          <w:kern w:val="0"/>
          <w:sz w:val="30"/>
          <w:szCs w:val="30"/>
          <w:highlight w:val="none"/>
        </w:rPr>
        <w:t>等食品中。</w:t>
      </w:r>
      <w:r>
        <w:rPr>
          <w:rFonts w:hint="eastAsia" w:ascii="仿宋" w:hAnsi="仿宋" w:eastAsia="仿宋" w:cs="仿宋"/>
          <w:color w:val="auto"/>
          <w:kern w:val="0"/>
          <w:sz w:val="30"/>
          <w:szCs w:val="30"/>
          <w:highlight w:val="none"/>
          <w:lang w:eastAsia="zh-CN"/>
        </w:rPr>
        <w:t>人体不吸收甜蜜素，几乎全部原样从粪便排出。</w:t>
      </w:r>
      <w:r>
        <w:rPr>
          <w:rFonts w:hint="eastAsia" w:ascii="仿宋" w:hAnsi="仿宋" w:eastAsia="仿宋" w:cs="仿宋"/>
          <w:color w:val="auto"/>
          <w:kern w:val="0"/>
          <w:sz w:val="30"/>
          <w:szCs w:val="30"/>
          <w:highlight w:val="none"/>
        </w:rPr>
        <w:t>甜蜜素超标的原因，可能是</w:t>
      </w:r>
      <w:r>
        <w:rPr>
          <w:rFonts w:hint="eastAsia" w:ascii="仿宋" w:hAnsi="仿宋" w:eastAsia="仿宋" w:cs="仿宋"/>
          <w:color w:val="auto"/>
          <w:sz w:val="30"/>
          <w:szCs w:val="30"/>
          <w:highlight w:val="none"/>
        </w:rPr>
        <w:t>个别企业为降低生产成本，同时为改善产品的口感，</w:t>
      </w:r>
      <w:r>
        <w:rPr>
          <w:rFonts w:hint="eastAsia" w:ascii="仿宋" w:hAnsi="仿宋" w:eastAsia="仿宋" w:cs="仿宋"/>
          <w:color w:val="auto"/>
          <w:sz w:val="30"/>
          <w:szCs w:val="30"/>
          <w:highlight w:val="none"/>
          <w:lang w:val="en-US" w:eastAsia="zh-CN"/>
        </w:rPr>
        <w:t>过量</w:t>
      </w:r>
      <w:r>
        <w:rPr>
          <w:rFonts w:hint="eastAsia" w:ascii="仿宋" w:hAnsi="仿宋" w:eastAsia="仿宋" w:cs="仿宋"/>
          <w:color w:val="auto"/>
          <w:sz w:val="30"/>
          <w:szCs w:val="30"/>
          <w:highlight w:val="none"/>
        </w:rPr>
        <w:t>添加甜蜜素等甜味剂来调节口感，也有可能是原辅料及生产环节</w:t>
      </w:r>
      <w:r>
        <w:rPr>
          <w:rFonts w:hint="eastAsia" w:ascii="仿宋" w:hAnsi="仿宋" w:eastAsia="仿宋" w:cs="仿宋"/>
          <w:color w:val="auto"/>
          <w:sz w:val="30"/>
          <w:szCs w:val="30"/>
          <w:highlight w:val="none"/>
          <w:lang w:val="en-US" w:eastAsia="zh-CN"/>
        </w:rPr>
        <w:t>对添加剂的使用量</w:t>
      </w:r>
      <w:r>
        <w:rPr>
          <w:rFonts w:hint="eastAsia" w:ascii="仿宋" w:hAnsi="仿宋" w:eastAsia="仿宋" w:cs="仿宋"/>
          <w:color w:val="auto"/>
          <w:sz w:val="30"/>
          <w:szCs w:val="30"/>
          <w:highlight w:val="none"/>
        </w:rPr>
        <w:t>把关不严造成</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00" w:firstLineChars="200"/>
        <w:jc w:val="left"/>
        <w:textAlignment w:val="auto"/>
        <w:rPr>
          <w:rFonts w:hint="eastAsia"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四、咪鲜胺和咪鲜胺锰盐</w:t>
      </w:r>
    </w:p>
    <w:p>
      <w:pPr>
        <w:pStyle w:val="13"/>
        <w:keepNext w:val="0"/>
        <w:keepLines w:val="0"/>
        <w:pageBreakBefore w:val="0"/>
        <w:widowControl w:val="0"/>
        <w:numPr>
          <w:ilvl w:val="0"/>
          <w:numId w:val="0"/>
        </w:numPr>
        <w:kinsoku/>
        <w:wordWrap/>
        <w:overflowPunct/>
        <w:topLinePunct w:val="0"/>
        <w:bidi w:val="0"/>
        <w:snapToGrid/>
        <w:spacing w:line="540" w:lineRule="exact"/>
        <w:ind w:firstLine="600" w:firstLineChars="200"/>
        <w:textAlignment w:val="auto"/>
        <w:rPr>
          <w:rFonts w:hint="eastAsia"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咪鲜胺是一种广谱杀菌剂，对多种作物由子囊菌和半知菌引起的病害具有明显的防效，也可以与大多数杀菌剂、杀菌剂、杀虫剂、除草剂混用，均有较好的防治效果。对大田作物、水果蔬菜、草皮及观赏植物上的多种病害具有治疗和铲除作用。咪鲜胺锰盐属于咪唑类杀菌剂中的一种，咪鲜胺锰盐又叫咪鲜胺锰络合物，是由咪鲜胺与氯化锰复合而成，其防病性能与咪鲜胺极为相似。对子囊菌引起的多种作物病害有特效。《食品安全国家标准食品中农药最大残留限量》（GB2763-2021）中规定，咪鲜胺和咪鲜胺锰盐在山药中最大残留限量为0.3mg/kg，咪鲜胺和咪鲜胺锰盐超标的原因可能是农业种植者对相关标准不了解，在种植过程中未控制好农药的使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五、</w:t>
      </w:r>
      <w:r>
        <w:rPr>
          <w:rFonts w:hint="eastAsia" w:ascii="仿宋" w:hAnsi="仿宋" w:eastAsia="仿宋" w:cs="仿宋"/>
          <w:b w:val="0"/>
          <w:bCs w:val="0"/>
          <w:kern w:val="2"/>
          <w:sz w:val="30"/>
          <w:szCs w:val="30"/>
          <w:lang w:val="en-US" w:eastAsia="zh-CN" w:bidi="ar-SA"/>
        </w:rPr>
        <w:t>克百威</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克百威（carbofuran），又名呋喃丹，是氨基甲酸酯类农药中常见的一种杀虫剂、杀螨、杀线虫剂。克百威为白色结晶，无臭味，在环境不易自然降解，半衰期长，易蓄积，对环境有一定危害。克百威大鼠急性经口毒性LD50 为6~18mg/kg ，急性毒性分级属高毒。少量的农药残留不会引起人体急性中毒，但长期食用克百威超标的食品，对人体健康也有一定影响。2002 年中华人民共和国农业部公告第194 号公布，停止受理克百威的新增登记申请，并撤销克百威在柑桔树上的登记。同年，农业部公告第199 号明确规定克百威不得用于蔬菜、果树、茶叶、中草药材上。2019 年农业农村部公告第250 号将克百威列入《食品动物中禁止使用的药品及其他化合物清单》中。</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六、噻虫胺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both"/>
        <w:textAlignment w:val="auto"/>
        <w:rPr>
          <w:rFonts w:hint="eastAsia"/>
          <w:sz w:val="30"/>
          <w:szCs w:val="30"/>
          <w:lang w:val="en-US" w:eastAsia="zh-CN"/>
        </w:rPr>
      </w:pPr>
      <w:r>
        <w:rPr>
          <w:rFonts w:hint="eastAsia" w:ascii="仿宋" w:hAnsi="仿宋" w:eastAsia="仿宋" w:cs="仿宋"/>
          <w:b w:val="0"/>
          <w:bCs w:val="0"/>
          <w:kern w:val="2"/>
          <w:sz w:val="30"/>
          <w:szCs w:val="30"/>
          <w:lang w:val="en-US" w:eastAsia="zh-CN" w:bidi="ar-SA"/>
        </w:rPr>
        <w:t>噻虫胺是具有广谱杀虫活性的新一代烟碱类杀虫剂，具有适用作物、防虫范围较广，毒性低，持效期长的特点。噻虫胺超标的原因可能与种植者违规使用农药或使用农药后未过休药期就采摘有关。少量的农药残留不会引起人体急性中毒，但长期食用农药残留超标的食品，对人体健康有一定影响。</w:t>
      </w:r>
    </w:p>
    <w:p>
      <w:pPr>
        <w:keepNext w:val="0"/>
        <w:keepLines w:val="0"/>
        <w:pageBreakBefore w:val="0"/>
        <w:kinsoku/>
        <w:wordWrap/>
        <w:overflowPunct/>
        <w:topLinePunct w:val="0"/>
        <w:autoSpaceDE w:val="0"/>
        <w:autoSpaceDN w:val="0"/>
        <w:bidi w:val="0"/>
        <w:adjustRightInd w:val="0"/>
        <w:snapToGrid/>
        <w:spacing w:line="540" w:lineRule="exact"/>
        <w:ind w:firstLine="600" w:firstLineChars="200"/>
        <w:jc w:val="left"/>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七、啶虫脒</w:t>
      </w:r>
    </w:p>
    <w:p>
      <w:pPr>
        <w:keepNext w:val="0"/>
        <w:keepLines w:val="0"/>
        <w:pageBreakBefore w:val="0"/>
        <w:kinsoku/>
        <w:wordWrap/>
        <w:overflowPunct/>
        <w:topLinePunct w:val="0"/>
        <w:autoSpaceDE w:val="0"/>
        <w:autoSpaceDN w:val="0"/>
        <w:bidi w:val="0"/>
        <w:adjustRightInd w:val="0"/>
        <w:snapToGrid/>
        <w:spacing w:line="540" w:lineRule="exact"/>
        <w:ind w:firstLine="600" w:firstLineChars="200"/>
        <w:jc w:val="left"/>
        <w:textAlignment w:val="auto"/>
        <w:rPr>
          <w:rFonts w:hint="eastAsia"/>
          <w:sz w:val="30"/>
          <w:szCs w:val="30"/>
          <w:lang w:val="en-US" w:eastAsia="zh-CN"/>
        </w:rPr>
      </w:pPr>
      <w:r>
        <w:rPr>
          <w:rFonts w:hint="eastAsia" w:ascii="仿宋" w:hAnsi="仿宋" w:eastAsia="仿宋" w:cs="仿宋"/>
          <w:b w:val="0"/>
          <w:bCs w:val="0"/>
          <w:color w:val="000000"/>
          <w:sz w:val="30"/>
          <w:szCs w:val="30"/>
          <w:lang w:val="en-US" w:eastAsia="zh-CN"/>
        </w:rPr>
        <w:t>啶虫脒（acetamiprid），内吸性杀虫剂，具有层间传导活性和触杀、胃毒作用。用于防治半翅目（特别是蚜虫）、缨翅目和鳞翅目害虫，叶面或土壤处理，适用作物广泛，特别适用于蔬菜、果树和茶树。</w:t>
      </w:r>
      <w:r>
        <w:rPr>
          <w:rFonts w:hint="eastAsia" w:ascii="仿宋" w:hAnsi="仿宋" w:eastAsia="仿宋" w:cs="仿宋"/>
          <w:b w:val="0"/>
          <w:bCs w:val="0"/>
          <w:kern w:val="2"/>
          <w:sz w:val="30"/>
          <w:szCs w:val="30"/>
          <w:lang w:val="en-US" w:eastAsia="zh-CN" w:bidi="ar-SA"/>
        </w:rPr>
        <w:t>啶虫脒是一种烟碱类杀虫剂，具有触杀、胃毒和内吸作用，对蚜虫等有较好防效。少量的残留不会引起人体急性中毒，但长期食用啶虫脒超标的食品，可能对人体健康产生一定影响。啶虫脒残留量超标，可能是种植单位为快速控制虫害而加大用药量或未遵守采摘间隔期规定，致使上市销售的产品中残留量超标。</w:t>
      </w:r>
    </w:p>
    <w:p>
      <w:pPr>
        <w:pStyle w:val="5"/>
        <w:keepNext w:val="0"/>
        <w:keepLines w:val="0"/>
        <w:pageBreakBefore w:val="0"/>
        <w:widowControl w:val="0"/>
        <w:numPr>
          <w:ilvl w:val="0"/>
          <w:numId w:val="0"/>
        </w:numPr>
        <w:kinsoku/>
        <w:wordWrap/>
        <w:overflowPunct/>
        <w:topLinePunct w:val="0"/>
        <w:bidi w:val="0"/>
        <w:snapToGrid/>
        <w:spacing w:beforeLines="0" w:afterLines="0" w:line="540" w:lineRule="exact"/>
        <w:ind w:left="630" w:leftChars="0"/>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lang w:val="en-US" w:eastAsia="zh-CN"/>
        </w:rPr>
        <w:t>八、</w:t>
      </w:r>
      <w:r>
        <w:rPr>
          <w:rFonts w:hint="eastAsia" w:ascii="仿宋" w:hAnsi="仿宋" w:eastAsia="仿宋" w:cs="仿宋"/>
          <w:b w:val="0"/>
          <w:bCs w:val="0"/>
          <w:sz w:val="30"/>
          <w:szCs w:val="30"/>
          <w:highlight w:val="none"/>
          <w:lang w:val="en-US" w:eastAsia="zh-CN"/>
        </w:rPr>
        <w:t>恩诺沙星</w:t>
      </w:r>
    </w:p>
    <w:p>
      <w:pPr>
        <w:keepNext w:val="0"/>
        <w:keepLines w:val="0"/>
        <w:pageBreakBefore w:val="0"/>
        <w:widowControl w:val="0"/>
        <w:kinsoku/>
        <w:wordWrap/>
        <w:overflowPunct/>
        <w:topLinePunct w:val="0"/>
        <w:bidi w:val="0"/>
        <w:snapToGrid/>
        <w:spacing w:line="54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恩诺沙星属于氟喹诺酮类药物，是一类人工合成的广谱抗菌药，用于治疗动物的皮肤感染、呼吸道感染等，是动物专属用药。恩诺沙星超标的原因，可能是养殖户在养殖过程中为快速控制疫病，违规加大用药量</w:t>
      </w:r>
      <w:r>
        <w:rPr>
          <w:rFonts w:hint="eastAsia" w:ascii="仿宋" w:hAnsi="仿宋" w:eastAsia="仿宋" w:cs="仿宋"/>
          <w:b w:val="0"/>
          <w:bCs w:val="0"/>
          <w:sz w:val="30"/>
          <w:szCs w:val="30"/>
          <w:lang w:eastAsia="zh-CN"/>
        </w:rPr>
        <w:t>；也可能是养殖户</w:t>
      </w:r>
      <w:r>
        <w:rPr>
          <w:rFonts w:hint="eastAsia" w:ascii="仿宋" w:hAnsi="仿宋" w:eastAsia="仿宋" w:cs="仿宋"/>
          <w:b w:val="0"/>
          <w:bCs w:val="0"/>
          <w:sz w:val="30"/>
          <w:szCs w:val="30"/>
        </w:rPr>
        <w:t>不遵守休药期规定，致使产品上市销售时残留超标。长期食用恩诺沙星超标的食品，可能导致恩诺沙星在人体中蓄积，进而对人体机能产生危害，还可能使人体产生耐药性菌株。</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00" w:firstLineChars="200"/>
        <w:jc w:val="both"/>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sz w:val="30"/>
          <w:szCs w:val="30"/>
          <w:lang w:eastAsia="zh-CN"/>
        </w:rPr>
        <w:t>九、</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呋喃西林代谢物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呋喃西林属于硝基呋喃类广谱抗生素，广泛应用于畜禽及水产养殖业。硝基呋喃类原型药在生物体内代谢迅速，和蛋白质结合而相当稳定，故常利用对其代谢物的检测来反应硝基呋喃类药物的残留状况。《食品动物中禁止使用的药品及其他化合物清单》（农业农村部公告第250号）中规定，呋喃西林类药物为禁用兽药，在动物性食品中不得检出。本次1批次水产品检出呋喃西林代谢物超标，检出值分别为1.65 μg/kg。硝基呋喃类药物及其代谢物可能会引起溶血性贫血、多发性神经炎、眼部损害和急性肝坏死等病症，对人类健康造成危害。</w:t>
      </w:r>
    </w:p>
    <w:p>
      <w:pPr>
        <w:pStyle w:val="22"/>
        <w:keepNext w:val="0"/>
        <w:keepLines w:val="0"/>
        <w:pageBreakBefore w:val="0"/>
        <w:widowControl/>
        <w:numPr>
          <w:ilvl w:val="0"/>
          <w:numId w:val="0"/>
        </w:numPr>
        <w:kinsoku/>
        <w:wordWrap/>
        <w:overflowPunct/>
        <w:topLinePunct w:val="0"/>
        <w:bidi w:val="0"/>
        <w:snapToGrid/>
        <w:spacing w:line="540" w:lineRule="exact"/>
        <w:ind w:firstLine="600" w:firstLineChars="200"/>
        <w:jc w:val="left"/>
        <w:textAlignment w:val="auto"/>
        <w:rPr>
          <w:rFonts w:hint="eastAsia" w:ascii="仿宋" w:hAnsi="仿宋" w:eastAsia="仿宋" w:cs="仿宋"/>
          <w:b w:val="0"/>
          <w:bCs w:val="0"/>
          <w:kern w:val="0"/>
          <w:sz w:val="30"/>
          <w:szCs w:val="30"/>
        </w:rPr>
      </w:pPr>
      <w:r>
        <w:rPr>
          <w:rFonts w:hint="eastAsia" w:ascii="仿宋" w:hAnsi="仿宋" w:eastAsia="仿宋" w:cs="仿宋"/>
          <w:b w:val="0"/>
          <w:bCs w:val="0"/>
          <w:sz w:val="30"/>
          <w:szCs w:val="30"/>
          <w:lang w:val="en-US" w:eastAsia="zh-CN"/>
        </w:rPr>
        <w:t>十</w:t>
      </w:r>
      <w:bookmarkStart w:id="0" w:name="_GoBack"/>
      <w:bookmarkEnd w:id="0"/>
      <w:r>
        <w:rPr>
          <w:rFonts w:hint="eastAsia" w:ascii="仿宋" w:hAnsi="仿宋" w:eastAsia="仿宋" w:cs="仿宋"/>
          <w:b w:val="0"/>
          <w:bCs w:val="0"/>
          <w:sz w:val="30"/>
          <w:szCs w:val="30"/>
          <w:lang w:val="en-US" w:eastAsia="zh-CN"/>
        </w:rPr>
        <w:t>、</w:t>
      </w:r>
      <w:r>
        <w:rPr>
          <w:rFonts w:hint="eastAsia" w:ascii="仿宋" w:hAnsi="仿宋" w:eastAsia="仿宋" w:cs="仿宋"/>
          <w:b w:val="0"/>
          <w:bCs w:val="0"/>
          <w:kern w:val="0"/>
          <w:sz w:val="30"/>
          <w:szCs w:val="30"/>
        </w:rPr>
        <w:t>氯霉素</w:t>
      </w:r>
    </w:p>
    <w:p>
      <w:pPr>
        <w:keepNext w:val="0"/>
        <w:keepLines w:val="0"/>
        <w:pageBreakBefore w:val="0"/>
        <w:widowControl/>
        <w:kinsoku/>
        <w:wordWrap/>
        <w:overflowPunct/>
        <w:topLinePunct w:val="0"/>
        <w:bidi w:val="0"/>
        <w:snapToGrid/>
        <w:spacing w:line="5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kern w:val="0"/>
          <w:sz w:val="30"/>
          <w:szCs w:val="30"/>
        </w:rPr>
        <w:t>氯霉素（chloramphenicol）是酰胺醇类抗生素，主要抗菌谱包括肺炎链球菌、化脓性链球菌、绿色链球菌、淋球菌、脑膜炎球菌、流感嗜血杆菌、布氏杆菌、败血出血巴斯德杆菌、白喉杆菌、支原体、衣原体、立克次体、螺旋体和一些厌氧菌。金黄色葡萄球菌部分敏感。肠杆菌科的一些菌，如沙门菌、大肠杆菌、肺炎克雷白杆菌、奇异变形杆菌等大部分菌株对本品敏感。动物产品的氯霉素残留，一般不会导致对人体的急性毒性作用；长期大量摄入氯霉素留超标的食品，可能在人体内蓄积，产生耐药并对同类药物有交叉耐药，引起胃肠道症状、肝功能异常、血液系统异常以及表现为神经系统毒性、过敏反应等。因氯霉素的不良反应较大，我国规定在食用动物中禁止使用。但由于氯霉素的抑菌效果好，以及相对廉价，前仍有少数生产经营企业将其用于家禽、畜类以及水产品中。</w:t>
      </w:r>
      <w:r>
        <w:rPr>
          <w:rFonts w:hint="eastAsia" w:ascii="仿宋" w:hAnsi="仿宋" w:eastAsia="仿宋" w:cs="仿宋"/>
          <w:kern w:val="0"/>
          <w:sz w:val="30"/>
          <w:szCs w:val="30"/>
          <w:lang w:eastAsia="zh-CN"/>
        </w:rPr>
        <w:t>农</w:t>
      </w:r>
      <w:r>
        <w:rPr>
          <w:rFonts w:hint="eastAsia" w:ascii="仿宋" w:hAnsi="仿宋" w:eastAsia="仿宋" w:cs="仿宋"/>
          <w:kern w:val="0"/>
          <w:sz w:val="30"/>
          <w:szCs w:val="30"/>
        </w:rPr>
        <w:t>业部第193 号公告《食品动物禁用的兽药及其它化合物清单》规定禁止所有食品动物以任何用途使用氯霉素、及其盐、酯（包括：琥珀氯霉素）及制剂。农业部235 号公告《动物性食品中兽药最高残留限量》再次明确氯霉素为禁止使用的兽药，在动物性食品中不得检出。农业农村部公告第250 号将氯霉素及其盐、酯列入《食品动物中禁止使用的药品及其他化合物清单》中。</w:t>
      </w:r>
    </w:p>
    <w:p>
      <w:pPr>
        <w:pStyle w:val="3"/>
        <w:keepNext w:val="0"/>
        <w:keepLines w:val="0"/>
        <w:pageBreakBefore w:val="0"/>
        <w:kinsoku/>
        <w:wordWrap/>
        <w:overflowPunct/>
        <w:topLinePunct w:val="0"/>
        <w:bidi w:val="0"/>
        <w:snapToGrid/>
        <w:spacing w:line="540" w:lineRule="exact"/>
        <w:textAlignment w:val="auto"/>
        <w:rPr>
          <w:rFonts w:hint="eastAsia"/>
          <w:sz w:val="30"/>
          <w:szCs w:val="30"/>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NmN2Q1ZWQ4M2UzMzRlOWUyZThjMGQwZjJjZTAifQ=="/>
  </w:docVars>
  <w:rsids>
    <w:rsidRoot w:val="003D0F42"/>
    <w:rsid w:val="00054DCE"/>
    <w:rsid w:val="000716DA"/>
    <w:rsid w:val="00122E27"/>
    <w:rsid w:val="00182DFA"/>
    <w:rsid w:val="001A7FE9"/>
    <w:rsid w:val="00301302"/>
    <w:rsid w:val="003C078D"/>
    <w:rsid w:val="003D0F42"/>
    <w:rsid w:val="004734B2"/>
    <w:rsid w:val="004947C7"/>
    <w:rsid w:val="00496A88"/>
    <w:rsid w:val="004A4E31"/>
    <w:rsid w:val="00511E89"/>
    <w:rsid w:val="005B7FE7"/>
    <w:rsid w:val="005F3DCF"/>
    <w:rsid w:val="00614298"/>
    <w:rsid w:val="00637B7D"/>
    <w:rsid w:val="00662001"/>
    <w:rsid w:val="00692E7C"/>
    <w:rsid w:val="006D36F9"/>
    <w:rsid w:val="006E4B7C"/>
    <w:rsid w:val="009032F6"/>
    <w:rsid w:val="00980051"/>
    <w:rsid w:val="009D081F"/>
    <w:rsid w:val="00A707DE"/>
    <w:rsid w:val="00BB6DA8"/>
    <w:rsid w:val="00C60DF5"/>
    <w:rsid w:val="00CB411C"/>
    <w:rsid w:val="00CB635F"/>
    <w:rsid w:val="00D8265D"/>
    <w:rsid w:val="00F159A5"/>
    <w:rsid w:val="00F23928"/>
    <w:rsid w:val="00F8063B"/>
    <w:rsid w:val="08A478CD"/>
    <w:rsid w:val="099932F7"/>
    <w:rsid w:val="109C3D0F"/>
    <w:rsid w:val="184A4353"/>
    <w:rsid w:val="1AF08469"/>
    <w:rsid w:val="1BDDB6D0"/>
    <w:rsid w:val="1C25784E"/>
    <w:rsid w:val="1FEFBF07"/>
    <w:rsid w:val="20AA7063"/>
    <w:rsid w:val="2BC27407"/>
    <w:rsid w:val="2DAF31D6"/>
    <w:rsid w:val="2EAFF2E4"/>
    <w:rsid w:val="36FF43A5"/>
    <w:rsid w:val="3BA05D1B"/>
    <w:rsid w:val="3BF5D667"/>
    <w:rsid w:val="3C0B38F8"/>
    <w:rsid w:val="3F3F2616"/>
    <w:rsid w:val="404B57DF"/>
    <w:rsid w:val="44D205D2"/>
    <w:rsid w:val="464A47C5"/>
    <w:rsid w:val="47DFFA63"/>
    <w:rsid w:val="47EB895B"/>
    <w:rsid w:val="489D1A3E"/>
    <w:rsid w:val="4D3D668F"/>
    <w:rsid w:val="4DD40D37"/>
    <w:rsid w:val="4EC17D2B"/>
    <w:rsid w:val="50F076DC"/>
    <w:rsid w:val="59947270"/>
    <w:rsid w:val="5AFC65EE"/>
    <w:rsid w:val="5B152A8A"/>
    <w:rsid w:val="5B6FB207"/>
    <w:rsid w:val="5E202AB3"/>
    <w:rsid w:val="5E824960"/>
    <w:rsid w:val="5FBF072A"/>
    <w:rsid w:val="5FDBDD0D"/>
    <w:rsid w:val="601E45B6"/>
    <w:rsid w:val="63201773"/>
    <w:rsid w:val="67CC3193"/>
    <w:rsid w:val="67FE4838"/>
    <w:rsid w:val="6B720417"/>
    <w:rsid w:val="6C5D40CF"/>
    <w:rsid w:val="6CD25ECD"/>
    <w:rsid w:val="6DBCB911"/>
    <w:rsid w:val="72A2115A"/>
    <w:rsid w:val="72D35655"/>
    <w:rsid w:val="72D852CF"/>
    <w:rsid w:val="738D3C82"/>
    <w:rsid w:val="76A122AF"/>
    <w:rsid w:val="76C57490"/>
    <w:rsid w:val="76F313F3"/>
    <w:rsid w:val="78626073"/>
    <w:rsid w:val="7C2E4EA5"/>
    <w:rsid w:val="7D60638C"/>
    <w:rsid w:val="7EFE9587"/>
    <w:rsid w:val="7FFE70B0"/>
    <w:rsid w:val="AD3CF1E9"/>
    <w:rsid w:val="BDFFD156"/>
    <w:rsid w:val="BF7C95A6"/>
    <w:rsid w:val="CABFAA38"/>
    <w:rsid w:val="CFBD3D7F"/>
    <w:rsid w:val="CFECF121"/>
    <w:rsid w:val="D5F39ABF"/>
    <w:rsid w:val="D60E0E75"/>
    <w:rsid w:val="DFF920BE"/>
    <w:rsid w:val="DFFAF00A"/>
    <w:rsid w:val="DFFE6288"/>
    <w:rsid w:val="EFF5B629"/>
    <w:rsid w:val="FBAFF26F"/>
    <w:rsid w:val="FD3D27DC"/>
    <w:rsid w:val="FDA68E1E"/>
    <w:rsid w:val="FDBED1E1"/>
    <w:rsid w:val="FDFE66B4"/>
    <w:rsid w:val="FF464225"/>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5">
    <w:name w:val="heading 2"/>
    <w:basedOn w:val="1"/>
    <w:next w:val="1"/>
    <w:unhideWhenUsed/>
    <w:qFormat/>
    <w:uiPriority w:val="0"/>
    <w:pPr>
      <w:keepNext/>
      <w:keepLines/>
      <w:spacing w:line="560" w:lineRule="exact"/>
      <w:ind w:firstLine="832" w:firstLineChars="200"/>
      <w:outlineLvl w:val="1"/>
    </w:pPr>
    <w:rPr>
      <w:rFonts w:eastAsia="楷体_GB2312"/>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6">
    <w:name w:val="Body Text"/>
    <w:basedOn w:val="1"/>
    <w:semiHidden/>
    <w:unhideWhenUsed/>
    <w:qFormat/>
    <w:uiPriority w:val="99"/>
    <w:pPr>
      <w:spacing w:after="120"/>
    </w:pPr>
  </w:style>
  <w:style w:type="paragraph" w:styleId="7">
    <w:name w:val="Body Text Indent"/>
    <w:basedOn w:val="1"/>
    <w:next w:val="1"/>
    <w:link w:val="21"/>
    <w:unhideWhenUsed/>
    <w:qFormat/>
    <w:uiPriority w:val="99"/>
    <w:pPr>
      <w:spacing w:after="120"/>
      <w:ind w:left="420" w:leftChars="200"/>
    </w:p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semiHidden/>
    <w:unhideWhenUsed/>
    <w:qFormat/>
    <w:uiPriority w:val="99"/>
    <w:pPr>
      <w:ind w:firstLine="420" w:firstLineChars="100"/>
    </w:pPr>
  </w:style>
  <w:style w:type="paragraph" w:styleId="13">
    <w:name w:val="Body Text First Indent 2"/>
    <w:basedOn w:val="7"/>
    <w:next w:val="1"/>
    <w:qFormat/>
    <w:uiPriority w:val="0"/>
    <w:pPr>
      <w:ind w:firstLine="420" w:firstLineChars="200"/>
    </w:p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paragraph" w:customStyle="1" w:styleId="19">
    <w:name w:val="列出段落1"/>
    <w:basedOn w:val="1"/>
    <w:qFormat/>
    <w:uiPriority w:val="34"/>
    <w:pPr>
      <w:ind w:firstLine="420" w:firstLineChars="200"/>
    </w:pPr>
    <w:rPr>
      <w:rFonts w:ascii="Calibri" w:hAnsi="Calibri"/>
    </w:rPr>
  </w:style>
  <w:style w:type="paragraph" w:customStyle="1" w:styleId="20">
    <w:name w:val="one-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正文文本缩进 字符"/>
    <w:basedOn w:val="15"/>
    <w:link w:val="7"/>
    <w:qFormat/>
    <w:uiPriority w:val="99"/>
    <w:rPr>
      <w:kern w:val="2"/>
      <w:sz w:val="21"/>
      <w:szCs w:val="22"/>
    </w:rPr>
  </w:style>
  <w:style w:type="paragraph" w:styleId="22">
    <w:name w:val="List Paragraph"/>
    <w:basedOn w:val="1"/>
    <w:qFormat/>
    <w:uiPriority w:val="34"/>
    <w:pPr>
      <w:ind w:firstLine="420" w:firstLineChars="200"/>
    </w:pPr>
    <w:rPr>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127</Words>
  <Characters>729</Characters>
  <Lines>6</Lines>
  <Paragraphs>1</Paragraphs>
  <TotalTime>5</TotalTime>
  <ScaleCrop>false</ScaleCrop>
  <LinksUpToDate>false</LinksUpToDate>
  <CharactersWithSpaces>855</CharactersWithSpaces>
  <Application>WPS Office_12.1.0.15712_F1E327BC-269C-435d-A152-05C5408002CA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2020-06-26T09:48:00Z</dcterms:created>
  <dc:creator>微软用户</dc:creator>
  <lastModifiedBy>Administrator</lastModifiedBy>
  <dcterms:modified xsi:type="dcterms:W3CDTF">2023-12-07T02:26:28Z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1422312A21DF4C739B690F042EA623A5</vt:lpwstr>
  </property>
</Properties>
</file>