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cs="黑体"/>
          <w:color w:val="000000"/>
          <w:sz w:val="44"/>
          <w:szCs w:val="44"/>
          <w:lang w:val="en-US" w:eastAsia="zh-CN"/>
        </w:rPr>
      </w:pPr>
      <w:bookmarkStart w:id="0" w:name="_GoBack"/>
      <w:bookmarkEnd w:id="0"/>
      <w:r>
        <w:rPr>
          <w:rFonts w:hint="eastAsia" w:ascii="黑体" w:hAnsi="黑体" w:eastAsia="黑体" w:cs="黑体"/>
          <w:color w:val="000000"/>
          <w:sz w:val="44"/>
          <w:szCs w:val="44"/>
          <w:lang w:val="en-US" w:eastAsia="zh-CN"/>
        </w:rPr>
        <w:t>国网浙江电力关于第三监管周期输配电价执行相关事项的告知书</w:t>
      </w:r>
    </w:p>
    <w:p>
      <w:pPr>
        <w:spacing w:line="360" w:lineRule="exact"/>
        <w:rPr>
          <w:rFonts w:hint="eastAsia" w:ascii="仿宋" w:hAnsi="仿宋" w:eastAsia="仿宋"/>
          <w:color w:val="000000"/>
          <w:sz w:val="32"/>
          <w:szCs w:val="32"/>
          <w:lang w:val="en-US" w:eastAsia="zh-CN"/>
        </w:rPr>
      </w:pPr>
    </w:p>
    <w:p>
      <w:pPr>
        <w:spacing w:line="360" w:lineRule="exact"/>
        <w:ind w:firstLine="0" w:firstLineChars="0"/>
        <w:rPr>
          <w:rStyle w:val="6"/>
          <w:rFonts w:ascii="仿宋_GB2312" w:hAnsi="仿宋_GB2312" w:eastAsia="仿宋_GB2312" w:cs="仿宋_GB2312"/>
          <w:b w:val="0"/>
          <w:bCs/>
          <w:kern w:val="0"/>
          <w:sz w:val="28"/>
          <w:szCs w:val="28"/>
        </w:rPr>
      </w:pPr>
      <w:r>
        <w:rPr>
          <w:rStyle w:val="6"/>
          <w:rFonts w:ascii="仿宋_GB2312" w:hAnsi="仿宋_GB2312" w:eastAsia="仿宋_GB2312" w:cs="仿宋_GB2312"/>
          <w:b w:val="0"/>
          <w:bCs/>
          <w:kern w:val="0"/>
          <w:sz w:val="28"/>
          <w:szCs w:val="28"/>
        </w:rPr>
        <w:t>尊敬的电力用户：</w:t>
      </w:r>
    </w:p>
    <w:p>
      <w:pPr>
        <w:spacing w:line="360" w:lineRule="exact"/>
        <w:ind w:firstLine="560" w:firstLineChars="200"/>
        <w:rPr>
          <w:rStyle w:val="6"/>
          <w:rFonts w:hint="eastAsia" w:ascii="仿宋_GB2312" w:hAnsi="仿宋_GB2312" w:eastAsia="仿宋_GB2312" w:cs="仿宋_GB2312"/>
          <w:b w:val="0"/>
          <w:bCs/>
          <w:kern w:val="0"/>
          <w:sz w:val="28"/>
          <w:szCs w:val="28"/>
        </w:rPr>
      </w:pPr>
      <w:r>
        <w:rPr>
          <w:rStyle w:val="6"/>
          <w:rFonts w:ascii="仿宋_GB2312" w:hAnsi="仿宋_GB2312" w:eastAsia="仿宋_GB2312" w:cs="仿宋_GB2312"/>
          <w:b w:val="0"/>
          <w:bCs/>
          <w:kern w:val="0"/>
          <w:sz w:val="28"/>
          <w:szCs w:val="28"/>
        </w:rPr>
        <w:t>根据国家发展改革委《关于第三监管周期省级电网输配电价及有关事项的通知》（发改价格〔2023〕526号）及</w:t>
      </w:r>
      <w:r>
        <w:rPr>
          <w:rStyle w:val="6"/>
          <w:rFonts w:hint="eastAsia" w:ascii="仿宋_GB2312" w:hAnsi="仿宋_GB2312" w:eastAsia="仿宋_GB2312" w:cs="仿宋_GB2312"/>
          <w:b w:val="0"/>
          <w:bCs/>
          <w:kern w:val="0"/>
          <w:sz w:val="28"/>
          <w:szCs w:val="28"/>
          <w:lang w:val="en-US" w:eastAsia="zh-CN"/>
        </w:rPr>
        <w:t>《省发展改革委关于转发&lt;国家发展改革委关于第三监管周期省级电网输配电价及有关事项的通知&gt;的通知 》（浙发改价格 〔2023〕139号）</w:t>
      </w:r>
      <w:r>
        <w:rPr>
          <w:rStyle w:val="6"/>
          <w:rFonts w:ascii="仿宋_GB2312" w:hAnsi="仿宋_GB2312" w:eastAsia="仿宋_GB2312" w:cs="仿宋_GB2312"/>
          <w:b w:val="0"/>
          <w:bCs/>
          <w:kern w:val="0"/>
          <w:sz w:val="28"/>
          <w:szCs w:val="28"/>
        </w:rPr>
        <w:t>，从2023年6月1日起第三监管周期输配电价正式执行，相关事项告知如下：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rPr>
        <w:t>政策</w:t>
      </w:r>
      <w:r>
        <w:rPr>
          <w:rFonts w:hint="eastAsia" w:ascii="黑体" w:hAnsi="黑体" w:eastAsia="黑体" w:cs="黑体"/>
          <w:b w:val="0"/>
          <w:bCs w:val="0"/>
          <w:color w:val="auto"/>
          <w:sz w:val="28"/>
          <w:szCs w:val="28"/>
          <w:highlight w:val="none"/>
          <w:lang w:val="en-US" w:eastAsia="zh-CN"/>
        </w:rPr>
        <w:t>要点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1.居民生活、农业生产用电继续执行现行目录销售电价政策。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Style w:val="6"/>
          <w:rFonts w:hint="eastAsia" w:ascii="仿宋_GB2312" w:hAnsi="仿宋_GB2312" w:eastAsia="仿宋_GB2312" w:cs="仿宋_GB2312"/>
          <w:b w:val="0"/>
          <w:kern w:val="0"/>
          <w:sz w:val="28"/>
          <w:szCs w:val="28"/>
        </w:rPr>
      </w:pPr>
      <w:r>
        <w:rPr>
          <w:rFonts w:hint="eastAsia" w:ascii="仿宋_GB2312" w:hAnsi="仿宋_GB2312" w:eastAsia="仿宋_GB2312" w:cs="仿宋_GB2312"/>
          <w:b w:val="0"/>
          <w:bCs w:val="0"/>
          <w:color w:val="000000"/>
          <w:sz w:val="28"/>
          <w:szCs w:val="28"/>
          <w:lang w:val="en-US" w:eastAsia="zh-CN"/>
        </w:rPr>
        <w:t>2.</w:t>
      </w:r>
      <w:r>
        <w:rPr>
          <w:rStyle w:val="6"/>
          <w:rFonts w:hint="eastAsia" w:ascii="仿宋_GB2312" w:hAnsi="仿宋_GB2312" w:eastAsia="仿宋_GB2312" w:cs="仿宋_GB2312"/>
          <w:b w:val="0"/>
          <w:kern w:val="0"/>
          <w:sz w:val="28"/>
          <w:szCs w:val="28"/>
        </w:rPr>
        <w:t>工商业用户</w:t>
      </w:r>
      <w:r>
        <w:rPr>
          <w:rStyle w:val="6"/>
          <w:rFonts w:hint="eastAsia" w:ascii="仿宋_GB2312" w:hAnsi="仿宋_GB2312" w:eastAsia="仿宋_GB2312" w:cs="仿宋_GB2312"/>
          <w:b w:val="0"/>
          <w:kern w:val="0"/>
          <w:sz w:val="28"/>
          <w:szCs w:val="28"/>
          <w:lang w:val="en-US" w:eastAsia="zh-CN"/>
        </w:rPr>
        <w:t>包括大工业用户和一般工商业用户，其</w:t>
      </w:r>
      <w:r>
        <w:rPr>
          <w:rStyle w:val="6"/>
          <w:rFonts w:hint="eastAsia" w:ascii="仿宋_GB2312" w:hAnsi="仿宋_GB2312" w:eastAsia="仿宋_GB2312" w:cs="仿宋_GB2312"/>
          <w:b w:val="0"/>
          <w:kern w:val="0"/>
          <w:sz w:val="28"/>
          <w:szCs w:val="28"/>
        </w:rPr>
        <w:t>用电（除执行居民生活和农业生产用电以外的用电）价格由上网电价、上网环节线损费用、输配电价、系统运行费用、政府性基金及附加等组成，工商业用户分电压等级输配电价详见</w:t>
      </w:r>
      <w:r>
        <w:rPr>
          <w:rFonts w:hint="eastAsia" w:ascii="仿宋" w:hAnsi="仿宋" w:eastAsia="仿宋"/>
          <w:color w:val="000000"/>
          <w:sz w:val="28"/>
          <w:szCs w:val="28"/>
          <w:lang w:val="en-US" w:eastAsia="zh-CN"/>
        </w:rPr>
        <w:t>浙发改价格〔2023〕139号</w:t>
      </w:r>
      <w:r>
        <w:rPr>
          <w:rStyle w:val="6"/>
          <w:rFonts w:hint="eastAsia" w:ascii="仿宋_GB2312" w:hAnsi="仿宋_GB2312" w:eastAsia="仿宋_GB2312" w:cs="仿宋_GB2312"/>
          <w:b w:val="0"/>
          <w:kern w:val="0"/>
          <w:sz w:val="28"/>
          <w:szCs w:val="28"/>
          <w:lang w:val="en-US" w:eastAsia="zh-CN"/>
        </w:rPr>
        <w:t>文件</w:t>
      </w:r>
      <w:r>
        <w:rPr>
          <w:rStyle w:val="6"/>
          <w:rFonts w:hint="eastAsia" w:ascii="仿宋_GB2312" w:hAnsi="仿宋_GB2312" w:eastAsia="仿宋_GB2312" w:cs="仿宋_GB2312"/>
          <w:b w:val="0"/>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Style w:val="6"/>
          <w:rFonts w:hint="eastAsia" w:ascii="仿宋_GB2312" w:hAnsi="仿宋_GB2312" w:eastAsia="仿宋_GB2312" w:cs="仿宋_GB2312"/>
          <w:b w:val="0"/>
          <w:kern w:val="0"/>
          <w:sz w:val="28"/>
          <w:szCs w:val="28"/>
          <w:lang w:val="en-US" w:eastAsia="zh-CN"/>
        </w:rPr>
        <w:t>3.</w:t>
      </w:r>
      <w:r>
        <w:rPr>
          <w:rFonts w:hint="eastAsia" w:ascii="仿宋_GB2312" w:hAnsi="仿宋_GB2312" w:eastAsia="仿宋_GB2312" w:cs="仿宋_GB2312"/>
          <w:b w:val="0"/>
          <w:bCs w:val="0"/>
          <w:color w:val="000000"/>
          <w:sz w:val="28"/>
          <w:szCs w:val="28"/>
          <w:lang w:val="en-US" w:eastAsia="zh-CN"/>
        </w:rPr>
        <w:t>执行工商业用电价格的用户，用电容量在100千伏安及以下的，执行单一制电价；100千伏安（不含）-315千伏安（不含）之间的，可选择执行单一制或两部制电价；315千伏安及以上的，执行两部制电价，现执行单一制电价的用户可选择执行单一制电价或两部制电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166"/>
        <w:gridCol w:w="3170"/>
        <w:gridCol w:w="11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92" w:type="dxa"/>
            <w:gridSpan w:val="3"/>
            <w:noWrap w:val="0"/>
            <w:vAlign w:val="center"/>
          </w:tcPr>
          <w:p>
            <w:pPr>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分类</w:t>
            </w:r>
          </w:p>
        </w:tc>
        <w:tc>
          <w:tcPr>
            <w:tcW w:w="1108" w:type="dxa"/>
            <w:noWrap w:val="0"/>
            <w:vAlign w:val="center"/>
          </w:tcPr>
          <w:p>
            <w:pPr>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单一制</w:t>
            </w:r>
          </w:p>
        </w:tc>
        <w:tc>
          <w:tcPr>
            <w:tcW w:w="1100" w:type="dxa"/>
            <w:noWrap w:val="0"/>
            <w:vAlign w:val="center"/>
          </w:tcPr>
          <w:p>
            <w:pPr>
              <w:spacing w:line="360" w:lineRule="exact"/>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两部制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92" w:type="dxa"/>
            <w:gridSpan w:val="3"/>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100千伏安及以下</w:t>
            </w:r>
          </w:p>
        </w:tc>
        <w:tc>
          <w:tcPr>
            <w:tcW w:w="110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c>
          <w:tcPr>
            <w:tcW w:w="1100" w:type="dxa"/>
            <w:noWrap w:val="0"/>
            <w:vAlign w:val="center"/>
          </w:tcPr>
          <w:p>
            <w:pPr>
              <w:spacing w:line="3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92" w:type="dxa"/>
            <w:gridSpan w:val="3"/>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100千伏安-315千伏安之间</w:t>
            </w:r>
          </w:p>
        </w:tc>
        <w:tc>
          <w:tcPr>
            <w:tcW w:w="110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restart"/>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rPr>
              <w:t>315千伏安及以上</w:t>
            </w:r>
          </w:p>
        </w:tc>
        <w:tc>
          <w:tcPr>
            <w:tcW w:w="1166"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存量</w:t>
            </w: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大工业用电</w:t>
            </w:r>
          </w:p>
        </w:tc>
        <w:tc>
          <w:tcPr>
            <w:tcW w:w="1108" w:type="dxa"/>
            <w:noWrap w:val="0"/>
            <w:vAlign w:val="center"/>
          </w:tcPr>
          <w:p>
            <w:pPr>
              <w:spacing w:line="360" w:lineRule="exact"/>
              <w:jc w:val="center"/>
              <w:rPr>
                <w:rFonts w:hint="eastAsia" w:ascii="宋体" w:hAnsi="宋体" w:eastAsia="宋体" w:cs="宋体"/>
                <w:color w:val="000000"/>
                <w:sz w:val="21"/>
                <w:szCs w:val="21"/>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单一制一般工商业用电</w:t>
            </w:r>
          </w:p>
        </w:tc>
        <w:tc>
          <w:tcPr>
            <w:tcW w:w="110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两部制一般工商业用电</w:t>
            </w:r>
          </w:p>
        </w:tc>
        <w:tc>
          <w:tcPr>
            <w:tcW w:w="1108" w:type="dxa"/>
            <w:noWrap w:val="0"/>
            <w:vAlign w:val="center"/>
          </w:tcPr>
          <w:p>
            <w:pPr>
              <w:spacing w:line="360" w:lineRule="exact"/>
              <w:jc w:val="center"/>
              <w:rPr>
                <w:rFonts w:hint="eastAsia" w:ascii="宋体" w:hAnsi="宋体" w:eastAsia="宋体" w:cs="宋体"/>
                <w:sz w:val="21"/>
                <w:szCs w:val="21"/>
                <w:highlight w:val="none"/>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增量</w:t>
            </w: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大工业用电</w:t>
            </w:r>
          </w:p>
        </w:tc>
        <w:tc>
          <w:tcPr>
            <w:tcW w:w="1108" w:type="dxa"/>
            <w:noWrap w:val="0"/>
            <w:vAlign w:val="center"/>
          </w:tcPr>
          <w:p>
            <w:pPr>
              <w:spacing w:line="360" w:lineRule="exact"/>
              <w:jc w:val="center"/>
              <w:rPr>
                <w:rFonts w:hint="eastAsia" w:ascii="宋体" w:hAnsi="宋体" w:eastAsia="宋体" w:cs="宋体"/>
                <w:sz w:val="21"/>
                <w:szCs w:val="21"/>
                <w:highlight w:val="none"/>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1166" w:type="dxa"/>
            <w:vMerge w:val="continue"/>
            <w:noWrap w:val="0"/>
            <w:vAlign w:val="center"/>
          </w:tcPr>
          <w:p>
            <w:pPr>
              <w:spacing w:line="360" w:lineRule="exact"/>
              <w:jc w:val="center"/>
              <w:rPr>
                <w:rFonts w:hint="eastAsia" w:ascii="宋体" w:hAnsi="宋体" w:eastAsia="宋体" w:cs="宋体"/>
                <w:sz w:val="21"/>
                <w:szCs w:val="21"/>
                <w:highlight w:val="none"/>
              </w:rPr>
            </w:pPr>
          </w:p>
        </w:tc>
        <w:tc>
          <w:tcPr>
            <w:tcW w:w="317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一般工商业用电</w:t>
            </w:r>
          </w:p>
        </w:tc>
        <w:tc>
          <w:tcPr>
            <w:tcW w:w="1108" w:type="dxa"/>
            <w:noWrap w:val="0"/>
            <w:vAlign w:val="center"/>
          </w:tcPr>
          <w:p>
            <w:pPr>
              <w:spacing w:line="360" w:lineRule="exact"/>
              <w:jc w:val="center"/>
              <w:rPr>
                <w:rFonts w:hint="eastAsia" w:ascii="宋体" w:hAnsi="宋体" w:eastAsia="宋体" w:cs="宋体"/>
                <w:sz w:val="21"/>
                <w:szCs w:val="21"/>
                <w:highlight w:val="none"/>
              </w:rPr>
            </w:pPr>
          </w:p>
        </w:tc>
        <w:tc>
          <w:tcPr>
            <w:tcW w:w="110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全部</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562" w:firstLineChars="200"/>
        <w:textAlignment w:val="auto"/>
        <w:rPr>
          <w:rFonts w:hint="eastAsia" w:ascii="仿宋_GB2312" w:hAnsi="仿宋_GB2312" w:eastAsia="仿宋_GB2312" w:cs="仿宋_GB2312"/>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用电容量在315千伏安及以上的，现执行单一制电价的用户是指：在2023年6月1日</w:t>
      </w:r>
      <w:r>
        <w:rPr>
          <w:rFonts w:hint="eastAsia" w:ascii="仿宋_GB2312" w:hAnsi="仿宋_GB2312" w:eastAsia="仿宋_GB2312" w:cs="仿宋_GB2312"/>
          <w:b/>
          <w:bCs/>
          <w:sz w:val="28"/>
          <w:szCs w:val="28"/>
          <w:highlight w:val="none"/>
          <w:lang w:val="en-US" w:eastAsia="zh-CN"/>
        </w:rPr>
        <w:t>之</w:t>
      </w:r>
      <w:r>
        <w:rPr>
          <w:rFonts w:hint="eastAsia" w:ascii="仿宋_GB2312" w:hAnsi="仿宋_GB2312" w:eastAsia="仿宋_GB2312" w:cs="仿宋_GB2312"/>
          <w:b/>
          <w:bCs/>
          <w:sz w:val="28"/>
          <w:szCs w:val="28"/>
          <w:highlight w:val="none"/>
        </w:rPr>
        <w:t>前正式提交用电申请</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经确认为</w:t>
      </w:r>
      <w:r>
        <w:rPr>
          <w:rFonts w:hint="eastAsia" w:ascii="仿宋_GB2312" w:hAnsi="仿宋_GB2312" w:eastAsia="仿宋_GB2312" w:cs="仿宋_GB2312"/>
          <w:b/>
          <w:bCs/>
          <w:sz w:val="28"/>
          <w:szCs w:val="28"/>
          <w:highlight w:val="none"/>
        </w:rPr>
        <w:t>一般工商业</w:t>
      </w:r>
      <w:r>
        <w:rPr>
          <w:rFonts w:hint="eastAsia" w:ascii="仿宋_GB2312" w:hAnsi="仿宋_GB2312" w:eastAsia="仿宋_GB2312" w:cs="仿宋_GB2312"/>
          <w:b/>
          <w:bCs/>
          <w:sz w:val="28"/>
          <w:szCs w:val="28"/>
          <w:highlight w:val="none"/>
          <w:lang w:val="en-US" w:eastAsia="zh-CN"/>
        </w:rPr>
        <w:t>用电的</w:t>
      </w:r>
      <w:r>
        <w:rPr>
          <w:rFonts w:hint="eastAsia" w:ascii="仿宋_GB2312" w:hAnsi="仿宋_GB2312" w:eastAsia="仿宋_GB2312" w:cs="仿宋_GB2312"/>
          <w:b/>
          <w:bCs/>
          <w:sz w:val="28"/>
          <w:szCs w:val="28"/>
          <w:highlight w:val="none"/>
        </w:rPr>
        <w:t>用户（已选择执行两部制电价的除外）。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选择执行需量电价计费方式的两部制用户，每月每千伏安用电量达到260千瓦时及以上的，当月需量电价按文件规定标准90%执行。每月每千伏安用电量为用户所属全部计量点当月总用电量除以合同变压器容量（低压供电用户参照执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二、办理指南</w:t>
      </w:r>
    </w:p>
    <w:p>
      <w:pPr>
        <w:spacing w:line="360" w:lineRule="exact"/>
        <w:ind w:firstLine="562"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2023年6月1日起</w:t>
      </w:r>
      <w:r>
        <w:rPr>
          <w:rFonts w:hint="eastAsia" w:ascii="仿宋_GB2312" w:hAnsi="仿宋_GB2312" w:eastAsia="仿宋_GB2312" w:cs="仿宋_GB2312"/>
          <w:color w:val="000000"/>
          <w:sz w:val="28"/>
          <w:szCs w:val="28"/>
          <w:highlight w:val="none"/>
          <w:lang w:val="en-US" w:eastAsia="zh-CN"/>
        </w:rPr>
        <w:t>，相关规则如下：</w:t>
      </w:r>
    </w:p>
    <w:p>
      <w:pPr>
        <w:spacing w:line="360" w:lineRule="exact"/>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1</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新装业务。</w:t>
      </w:r>
      <w:r>
        <w:rPr>
          <w:rFonts w:hint="eastAsia" w:ascii="仿宋_GB2312" w:hAnsi="仿宋_GB2312" w:eastAsia="仿宋_GB2312" w:cs="仿宋_GB2312"/>
          <w:color w:val="000000"/>
          <w:sz w:val="28"/>
          <w:szCs w:val="28"/>
          <w:highlight w:val="none"/>
        </w:rPr>
        <w:t>办理新装业务的工商业用户，用电容量在100千伏安及以下的，执行单一制电价；100千伏安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之间的，可选择执行单一制或两部制电价；315千伏安及以上的，执行两部制电价，2023年6月1日之前正式提交用电申请的一般工商业用户，可选择执行单一制电价。</w:t>
      </w:r>
    </w:p>
    <w:p>
      <w:pPr>
        <w:spacing w:line="360" w:lineRule="exact"/>
        <w:ind w:firstLine="562" w:firstLineChars="200"/>
        <w:rPr>
          <w:rFonts w:hint="default"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2</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增容业务。</w:t>
      </w:r>
      <w:r>
        <w:rPr>
          <w:rFonts w:hint="eastAsia" w:ascii="仿宋_GB2312" w:hAnsi="仿宋_GB2312" w:eastAsia="仿宋_GB2312" w:cs="仿宋_GB2312"/>
          <w:color w:val="000000"/>
          <w:sz w:val="28"/>
          <w:szCs w:val="28"/>
          <w:highlight w:val="none"/>
        </w:rPr>
        <w:t>办理增容业务的工商业用户，增容后用电容量在100千伏安及以下的，执行单一制电价；100千伏安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执行两部制电价（</w:t>
      </w:r>
      <w:r>
        <w:rPr>
          <w:rFonts w:hint="eastAsia" w:ascii="仿宋_GB2312" w:hAnsi="仿宋_GB2312" w:eastAsia="仿宋_GB2312" w:cs="仿宋_GB2312"/>
          <w:color w:val="000000"/>
          <w:sz w:val="28"/>
          <w:szCs w:val="28"/>
          <w:highlight w:val="none"/>
        </w:rPr>
        <w:t>增容前</w:t>
      </w:r>
      <w:r>
        <w:rPr>
          <w:rFonts w:hint="eastAsia" w:ascii="仿宋_GB2312" w:hAnsi="仿宋_GB2312" w:eastAsia="仿宋_GB2312" w:cs="仿宋_GB2312"/>
          <w:color w:val="000000"/>
          <w:sz w:val="28"/>
          <w:szCs w:val="28"/>
          <w:highlight w:val="none"/>
          <w:lang w:val="en-US" w:eastAsia="zh-CN"/>
        </w:rPr>
        <w:t>已选择执行两部制电价用户应执行两部制电价；原普通工业用户增容至大工业用户应执行两部制电价；增容前</w:t>
      </w:r>
      <w:r>
        <w:rPr>
          <w:rFonts w:hint="eastAsia" w:ascii="仿宋_GB2312" w:hAnsi="仿宋_GB2312" w:eastAsia="仿宋_GB2312" w:cs="仿宋_GB2312"/>
          <w:color w:val="000000"/>
          <w:sz w:val="28"/>
          <w:szCs w:val="28"/>
          <w:highlight w:val="none"/>
        </w:rPr>
        <w:t>执行单一制电价的</w:t>
      </w:r>
      <w:r>
        <w:rPr>
          <w:rFonts w:hint="eastAsia" w:ascii="仿宋_GB2312" w:hAnsi="仿宋_GB2312" w:eastAsia="仿宋_GB2312" w:cs="仿宋_GB2312"/>
          <w:color w:val="000000"/>
          <w:sz w:val="28"/>
          <w:szCs w:val="28"/>
          <w:highlight w:val="none"/>
          <w:lang w:val="en-US" w:eastAsia="zh-CN"/>
        </w:rPr>
        <w:t>一般工商业</w:t>
      </w:r>
      <w:r>
        <w:rPr>
          <w:rFonts w:hint="eastAsia" w:ascii="仿宋_GB2312" w:hAnsi="仿宋_GB2312" w:eastAsia="仿宋_GB2312" w:cs="仿宋_GB2312"/>
          <w:color w:val="000000"/>
          <w:sz w:val="28"/>
          <w:szCs w:val="28"/>
          <w:highlight w:val="none"/>
        </w:rPr>
        <w:t>用户，可选择执行单一制或两部制电价</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highlight w:val="none"/>
          <w:lang w:eastAsia="zh-CN"/>
        </w:rPr>
        <w:t>。</w:t>
      </w:r>
    </w:p>
    <w:p>
      <w:pPr>
        <w:spacing w:line="360" w:lineRule="exact"/>
        <w:ind w:firstLine="562" w:firstLineChars="2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3</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改类业务。</w:t>
      </w:r>
      <w:r>
        <w:rPr>
          <w:rFonts w:hint="eastAsia" w:ascii="仿宋_GB2312" w:hAnsi="仿宋_GB2312" w:eastAsia="仿宋_GB2312" w:cs="仿宋_GB2312"/>
          <w:color w:val="000000"/>
          <w:sz w:val="28"/>
          <w:szCs w:val="28"/>
          <w:highlight w:val="none"/>
        </w:rPr>
        <w:t>用电容量在</w:t>
      </w:r>
      <w:r>
        <w:rPr>
          <w:rFonts w:hint="eastAsia" w:ascii="仿宋_GB2312" w:hAnsi="仿宋_GB2312" w:eastAsia="仿宋_GB2312" w:cs="仿宋_GB2312"/>
          <w:color w:val="000000"/>
          <w:sz w:val="28"/>
          <w:szCs w:val="28"/>
          <w:highlight w:val="none"/>
          <w:lang w:val="en-US" w:eastAsia="zh-CN"/>
        </w:rPr>
        <w:t>100千伏安及以下</w:t>
      </w:r>
      <w:r>
        <w:rPr>
          <w:rFonts w:hint="eastAsia" w:ascii="仿宋_GB2312" w:hAnsi="仿宋_GB2312" w:eastAsia="仿宋_GB2312" w:cs="仿宋_GB2312"/>
          <w:color w:val="000000"/>
          <w:sz w:val="28"/>
          <w:szCs w:val="28"/>
          <w:highlight w:val="none"/>
        </w:rPr>
        <w:t>的居民、农业用户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办理改类业务变更为工商业用电</w:t>
      </w:r>
      <w:r>
        <w:rPr>
          <w:rFonts w:hint="eastAsia" w:ascii="仿宋_GB2312" w:hAnsi="仿宋_GB2312" w:eastAsia="仿宋_GB2312" w:cs="仿宋_GB2312"/>
          <w:color w:val="000000"/>
          <w:sz w:val="28"/>
          <w:szCs w:val="28"/>
          <w:highlight w:val="none"/>
          <w:lang w:val="en-US" w:eastAsia="zh-CN"/>
        </w:rPr>
        <w:t>的</w:t>
      </w:r>
      <w:r>
        <w:rPr>
          <w:rFonts w:hint="eastAsia" w:ascii="仿宋_GB2312" w:hAnsi="仿宋_GB2312" w:eastAsia="仿宋_GB2312" w:cs="仿宋_GB2312"/>
          <w:color w:val="000000"/>
          <w:sz w:val="28"/>
          <w:szCs w:val="28"/>
          <w:highlight w:val="none"/>
        </w:rPr>
        <w:t>，执行</w:t>
      </w:r>
      <w:r>
        <w:rPr>
          <w:rFonts w:hint="eastAsia" w:ascii="仿宋_GB2312" w:hAnsi="仿宋_GB2312" w:eastAsia="仿宋_GB2312" w:cs="仿宋_GB2312"/>
          <w:color w:val="000000"/>
          <w:sz w:val="28"/>
          <w:szCs w:val="28"/>
          <w:highlight w:val="none"/>
          <w:lang w:val="en-US" w:eastAsia="zh-CN"/>
        </w:rPr>
        <w:t>单一</w:t>
      </w:r>
      <w:r>
        <w:rPr>
          <w:rFonts w:hint="eastAsia" w:ascii="仿宋_GB2312" w:hAnsi="仿宋_GB2312" w:eastAsia="仿宋_GB2312" w:cs="仿宋_GB2312"/>
          <w:color w:val="000000"/>
          <w:sz w:val="28"/>
          <w:szCs w:val="28"/>
          <w:highlight w:val="none"/>
        </w:rPr>
        <w:t>制电价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之间的，可选择执行单一制或两部制电价；用电容量在315</w:t>
      </w:r>
      <w:r>
        <w:rPr>
          <w:rFonts w:hint="eastAsia" w:ascii="仿宋_GB2312" w:hAnsi="仿宋_GB2312" w:eastAsia="仿宋_GB2312" w:cs="仿宋_GB2312"/>
          <w:color w:val="000000"/>
          <w:sz w:val="28"/>
          <w:szCs w:val="28"/>
          <w:highlight w:val="none"/>
          <w:lang w:val="en-US" w:eastAsia="zh-CN"/>
        </w:rPr>
        <w:t>千伏安及</w:t>
      </w:r>
      <w:r>
        <w:rPr>
          <w:rFonts w:hint="eastAsia" w:ascii="仿宋_GB2312" w:hAnsi="仿宋_GB2312" w:eastAsia="仿宋_GB2312" w:cs="仿宋_GB2312"/>
          <w:color w:val="000000"/>
          <w:sz w:val="28"/>
          <w:szCs w:val="28"/>
          <w:highlight w:val="none"/>
        </w:rPr>
        <w:t>以上的，执行两部制电价</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2023年6月1日之前已正式提交改类申请且变更后的用电类别为一般工商业用电的，可选择执行单一制或两部制电价。</w:t>
      </w:r>
    </w:p>
    <w:p>
      <w:pPr>
        <w:spacing w:line="360" w:lineRule="exact"/>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4</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过户、分户、并户业务。</w:t>
      </w:r>
      <w:r>
        <w:rPr>
          <w:rFonts w:hint="eastAsia" w:ascii="仿宋_GB2312" w:hAnsi="仿宋_GB2312" w:eastAsia="仿宋_GB2312" w:cs="仿宋_GB2312"/>
          <w:color w:val="000000"/>
          <w:sz w:val="28"/>
          <w:szCs w:val="28"/>
          <w:highlight w:val="none"/>
        </w:rPr>
        <w:t>工商业用户办理过户、分户、并户业务，视为用电主体发生变更</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新主体用电容量在100千伏安及以下的，执行单一制电价；100千伏安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之间的，可选择执行单一制或两部制电价；315千伏安及以上的，执行两部制电价。2023年6月1日之前已正式提交申请且</w:t>
      </w:r>
      <w:r>
        <w:rPr>
          <w:rFonts w:hint="eastAsia" w:ascii="仿宋_GB2312" w:hAnsi="仿宋_GB2312" w:eastAsia="仿宋_GB2312" w:cs="仿宋_GB2312"/>
          <w:color w:val="000000"/>
          <w:sz w:val="28"/>
          <w:szCs w:val="28"/>
          <w:highlight w:val="none"/>
          <w:lang w:val="en-US" w:eastAsia="zh-CN"/>
        </w:rPr>
        <w:t>新主体</w:t>
      </w:r>
      <w:r>
        <w:rPr>
          <w:rFonts w:hint="eastAsia" w:ascii="仿宋_GB2312" w:hAnsi="仿宋_GB2312" w:eastAsia="仿宋_GB2312" w:cs="仿宋_GB2312"/>
          <w:color w:val="000000"/>
          <w:sz w:val="28"/>
          <w:szCs w:val="28"/>
          <w:highlight w:val="none"/>
        </w:rPr>
        <w:t>的用电类别为一般工商业用电的，可选择执行单一制或两部制电价。</w:t>
      </w:r>
    </w:p>
    <w:p>
      <w:pPr>
        <w:spacing w:line="360" w:lineRule="exact"/>
        <w:ind w:firstLine="562"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eastAsia="zh-CN"/>
        </w:rPr>
        <w:t>5</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暂停（恢复）、减容（恢复）等业务。</w:t>
      </w:r>
      <w:r>
        <w:rPr>
          <w:rFonts w:hint="eastAsia" w:ascii="仿宋_GB2312" w:hAnsi="仿宋_GB2312" w:eastAsia="仿宋_GB2312" w:cs="仿宋_GB2312"/>
          <w:color w:val="000000"/>
          <w:sz w:val="28"/>
          <w:szCs w:val="28"/>
          <w:highlight w:val="none"/>
        </w:rPr>
        <w:t>工商业用户办理暂停（恢复）、减容（恢复）等其他营业业务，业务办理后，用电容量在100千伏安及以下的，执行单一制电价；100千伏安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的，可选择执行单一制或两部制电价；315千伏安及以上的，执行两部制电价，原执行单一制电价的一般工商业用户，可选择执行单一制或两部制电价。其中，原为两部制电价用户，因暂停、减容后容量达不到相应标准执行或选择执行对应用电类别单一制电价的，</w:t>
      </w:r>
      <w:r>
        <w:rPr>
          <w:rFonts w:hint="eastAsia" w:ascii="仿宋_GB2312" w:hAnsi="仿宋_GB2312" w:eastAsia="仿宋_GB2312" w:cs="仿宋_GB2312"/>
          <w:color w:val="000000"/>
          <w:sz w:val="28"/>
          <w:szCs w:val="28"/>
          <w:highlight w:val="none"/>
          <w:lang w:val="en-US" w:eastAsia="zh-CN"/>
        </w:rPr>
        <w:t>不受单一制两部制电价选择周期限制，</w:t>
      </w:r>
      <w:r>
        <w:rPr>
          <w:rFonts w:hint="eastAsia" w:ascii="仿宋_GB2312" w:hAnsi="仿宋_GB2312" w:eastAsia="仿宋_GB2312" w:cs="仿宋_GB2312"/>
          <w:color w:val="000000"/>
          <w:sz w:val="28"/>
          <w:szCs w:val="28"/>
          <w:highlight w:val="none"/>
        </w:rPr>
        <w:t>暂停（减容）恢复后，应继续执行两部制电价。</w:t>
      </w:r>
    </w:p>
    <w:p>
      <w:pPr>
        <w:spacing w:line="36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6</w:t>
      </w: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bCs/>
          <w:color w:val="000000"/>
          <w:sz w:val="28"/>
          <w:szCs w:val="28"/>
          <w:highlight w:val="none"/>
        </w:rPr>
        <w:t>其他规则。</w:t>
      </w:r>
    </w:p>
    <w:p>
      <w:pPr>
        <w:spacing w:line="36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val="en-US" w:eastAsia="zh-CN"/>
        </w:rPr>
        <w:t>用电</w:t>
      </w:r>
      <w:r>
        <w:rPr>
          <w:rFonts w:hint="eastAsia" w:ascii="仿宋_GB2312" w:hAnsi="仿宋_GB2312" w:eastAsia="仿宋_GB2312" w:cs="仿宋_GB2312"/>
          <w:color w:val="000000"/>
          <w:sz w:val="28"/>
          <w:szCs w:val="28"/>
          <w:highlight w:val="none"/>
        </w:rPr>
        <w:t>容量在315</w:t>
      </w:r>
      <w:r>
        <w:rPr>
          <w:rFonts w:hint="eastAsia" w:ascii="仿宋_GB2312" w:hAnsi="仿宋_GB2312" w:eastAsia="仿宋_GB2312" w:cs="仿宋_GB2312"/>
          <w:color w:val="000000"/>
          <w:sz w:val="28"/>
          <w:szCs w:val="28"/>
          <w:highlight w:val="none"/>
          <w:lang w:val="en-US" w:eastAsia="zh-CN"/>
        </w:rPr>
        <w:t>千伏安</w:t>
      </w:r>
      <w:r>
        <w:rPr>
          <w:rFonts w:hint="eastAsia" w:ascii="仿宋_GB2312" w:hAnsi="仿宋_GB2312" w:eastAsia="仿宋_GB2312" w:cs="仿宋_GB2312"/>
          <w:color w:val="000000"/>
          <w:sz w:val="28"/>
          <w:szCs w:val="28"/>
          <w:highlight w:val="none"/>
        </w:rPr>
        <w:t>及以上存量执行单一制电价的工商业用户，选择执行两部制电价后，不</w:t>
      </w:r>
      <w:r>
        <w:rPr>
          <w:rFonts w:hint="eastAsia" w:ascii="仿宋_GB2312" w:hAnsi="仿宋_GB2312" w:eastAsia="仿宋_GB2312" w:cs="仿宋_GB2312"/>
          <w:color w:val="000000"/>
          <w:sz w:val="28"/>
          <w:szCs w:val="28"/>
          <w:highlight w:val="none"/>
          <w:lang w:val="en-US" w:eastAsia="zh-CN"/>
        </w:rPr>
        <w:t>得重新选择执行</w:t>
      </w:r>
      <w:r>
        <w:rPr>
          <w:rFonts w:hint="eastAsia" w:ascii="仿宋_GB2312" w:hAnsi="仿宋_GB2312" w:eastAsia="仿宋_GB2312" w:cs="仿宋_GB2312"/>
          <w:color w:val="000000"/>
          <w:sz w:val="28"/>
          <w:szCs w:val="28"/>
          <w:highlight w:val="none"/>
        </w:rPr>
        <w:t>单一制电价。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color w:val="000000"/>
          <w:sz w:val="28"/>
          <w:szCs w:val="28"/>
          <w:highlight w:val="none"/>
          <w:lang w:val="en-US" w:eastAsia="zh-CN"/>
        </w:rPr>
        <w:t>用电</w:t>
      </w:r>
      <w:r>
        <w:rPr>
          <w:rFonts w:hint="eastAsia" w:ascii="仿宋_GB2312" w:hAnsi="仿宋_GB2312" w:eastAsia="仿宋_GB2312" w:cs="仿宋_GB2312"/>
          <w:color w:val="000000"/>
          <w:sz w:val="28"/>
          <w:szCs w:val="28"/>
          <w:highlight w:val="none"/>
        </w:rPr>
        <w:t>容量100千伏安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-315千伏安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不含）</w:t>
      </w:r>
      <w:r>
        <w:rPr>
          <w:rFonts w:hint="eastAsia" w:ascii="仿宋_GB2312" w:hAnsi="仿宋_GB2312" w:eastAsia="仿宋_GB2312" w:cs="仿宋_GB2312"/>
          <w:color w:val="000000"/>
          <w:sz w:val="28"/>
          <w:szCs w:val="28"/>
          <w:highlight w:val="none"/>
        </w:rPr>
        <w:t>之间</w:t>
      </w:r>
      <w:r>
        <w:rPr>
          <w:rFonts w:hint="eastAsia" w:ascii="仿宋_GB2312" w:hAnsi="仿宋_GB2312" w:eastAsia="仿宋_GB2312" w:cs="仿宋_GB2312"/>
          <w:sz w:val="28"/>
          <w:szCs w:val="28"/>
          <w:highlight w:val="none"/>
          <w:lang w:val="en-US" w:eastAsia="zh-CN"/>
        </w:rPr>
        <w:t>可选择执行单一制或两部制电价的用户，选择后12个月保持不变，应提前15天办理。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（3）基本电费计费方式（容量或需量）选择后3个月保持不变，应提前15天办理。基本电费选择需量计费方式的用户，</w:t>
      </w:r>
      <w:r>
        <w:rPr>
          <w:rFonts w:hint="eastAsia" w:ascii="仿宋_GB2312" w:hAnsi="仿宋_GB2312" w:eastAsia="仿宋_GB2312" w:cs="仿宋_GB2312"/>
          <w:sz w:val="28"/>
          <w:szCs w:val="28"/>
          <w:highlight w:val="none"/>
        </w:rPr>
        <w:t>申请</w:t>
      </w:r>
      <w:r>
        <w:rPr>
          <w:rFonts w:hint="eastAsia" w:ascii="仿宋_GB2312" w:hAnsi="仿宋_GB2312" w:eastAsia="仿宋_GB2312" w:cs="仿宋_GB2312"/>
          <w:sz w:val="28"/>
          <w:szCs w:val="28"/>
          <w:highlight w:val="none"/>
          <w:lang w:val="en-US" w:eastAsia="zh-CN"/>
        </w:rPr>
        <w:t>办理</w:t>
      </w:r>
      <w:r>
        <w:rPr>
          <w:rFonts w:hint="eastAsia" w:ascii="仿宋_GB2312" w:hAnsi="仿宋_GB2312" w:eastAsia="仿宋_GB2312" w:cs="仿宋_GB2312"/>
          <w:sz w:val="28"/>
          <w:szCs w:val="28"/>
          <w:highlight w:val="none"/>
        </w:rPr>
        <w:t>减容、暂停</w:t>
      </w:r>
      <w:r>
        <w:rPr>
          <w:rFonts w:hint="eastAsia" w:ascii="仿宋_GB2312" w:hAnsi="仿宋_GB2312" w:eastAsia="仿宋_GB2312" w:cs="仿宋_GB2312"/>
          <w:sz w:val="28"/>
          <w:szCs w:val="28"/>
          <w:highlight w:val="none"/>
          <w:lang w:val="en-US" w:eastAsia="zh-CN"/>
        </w:rPr>
        <w:t>业务</w:t>
      </w:r>
      <w:r>
        <w:rPr>
          <w:rFonts w:hint="eastAsia" w:ascii="仿宋_GB2312" w:hAnsi="仿宋_GB2312" w:eastAsia="仿宋_GB2312" w:cs="仿宋_GB2312"/>
          <w:sz w:val="28"/>
          <w:szCs w:val="28"/>
          <w:highlight w:val="none"/>
        </w:rPr>
        <w:t>应以日历月为基本单位。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_GB2312" w:hAnsi="仿宋_GB2312" w:eastAsia="仿宋_GB2312" w:cs="仿宋_GB2312"/>
          <w:sz w:val="28"/>
          <w:szCs w:val="28"/>
          <w:highlight w:val="none"/>
          <w:lang w:val="en-US" w:eastAsia="zh-CN"/>
        </w:rPr>
      </w:pPr>
    </w:p>
    <w:p>
      <w:pPr>
        <w:spacing w:line="360" w:lineRule="exact"/>
        <w:ind w:firstLine="560" w:firstLineChars="200"/>
        <w:rPr>
          <w:rFonts w:hint="eastAsia" w:ascii="仿宋_GB2312" w:hAnsi="仿宋_GB2312" w:eastAsia="仿宋_GB2312" w:cs="仿宋_GB2312"/>
          <w:color w:val="000000"/>
          <w:sz w:val="28"/>
          <w:szCs w:val="28"/>
          <w:highlight w:val="none"/>
          <w:lang w:val="en-US" w:eastAsia="zh-CN"/>
        </w:rPr>
      </w:pPr>
    </w:p>
    <w:p>
      <w:pPr>
        <w:pStyle w:val="2"/>
        <w:rPr>
          <w:rFonts w:hint="eastAsia" w:ascii="仿宋_GB2312" w:hAnsi="仿宋_GB2312" w:eastAsia="仿宋_GB2312" w:cs="仿宋_GB2312"/>
          <w:color w:val="000000"/>
          <w:sz w:val="28"/>
          <w:szCs w:val="28"/>
          <w:highlight w:val="none"/>
          <w:lang w:val="en-US" w:eastAsia="zh-CN"/>
        </w:rPr>
      </w:pPr>
    </w:p>
    <w:p>
      <w:pPr>
        <w:pStyle w:val="2"/>
        <w:rPr>
          <w:rFonts w:hint="default" w:ascii="仿宋_GB2312" w:hAnsi="仿宋_GB2312" w:eastAsia="仿宋_GB2312" w:cs="仿宋_GB2312"/>
          <w:color w:val="000000"/>
          <w:sz w:val="28"/>
          <w:szCs w:val="28"/>
          <w:highlight w:val="none"/>
          <w:lang w:val="en-US" w:eastAsia="zh-CN"/>
        </w:rPr>
      </w:pPr>
    </w:p>
    <w:p>
      <w:pPr>
        <w:spacing w:line="360" w:lineRule="exact"/>
        <w:ind w:firstLine="0" w:firstLineChars="0"/>
        <w:jc w:val="righ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国网安吉县供电公司</w:t>
      </w:r>
    </w:p>
    <w:p>
      <w:pPr>
        <w:spacing w:line="360" w:lineRule="exact"/>
        <w:ind w:firstLine="5880" w:firstLineChars="21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2023年5月25日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 w:eastAsia="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 w:eastAsia="仿宋_GB2312"/>
          <w:sz w:val="28"/>
          <w:szCs w:val="28"/>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此告知书一式二份，一份由您惠存，一份经您签名（盖章）后由我公司留存。</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仿宋_GB2312" w:hAnsi="仿宋" w:eastAsia="仿宋_GB2312"/>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仿宋_GB2312" w:hAnsi="仿宋" w:eastAsia="仿宋_GB2312"/>
          <w:b/>
          <w:bCs/>
          <w:sz w:val="28"/>
          <w:szCs w:val="28"/>
          <w:highlight w:val="none"/>
          <w:lang w:val="en-US" w:eastAsia="zh-CN"/>
        </w:rPr>
      </w:pPr>
      <w:r>
        <w:rPr>
          <w:rFonts w:hint="eastAsia" w:ascii="仿宋_GB2312" w:hAnsi="仿宋" w:eastAsia="仿宋_GB2312"/>
          <w:b/>
          <w:bCs/>
          <w:sz w:val="28"/>
          <w:szCs w:val="28"/>
          <w:highlight w:val="none"/>
          <w:lang w:val="en-US" w:eastAsia="zh-CN"/>
        </w:rPr>
        <w:t>本告知书内容已阅读并知晓。</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仿宋" w:eastAsia="仿宋_GB2312"/>
          <w:b/>
          <w:bCs/>
          <w:sz w:val="28"/>
          <w:szCs w:val="28"/>
          <w:highlight w:val="none"/>
          <w:lang w:val="en-US" w:eastAsia="zh-CN"/>
        </w:rPr>
      </w:pPr>
      <w:r>
        <w:rPr>
          <w:rFonts w:hint="eastAsia" w:ascii="仿宋_GB2312" w:hAnsi="仿宋" w:eastAsia="仿宋_GB2312"/>
          <w:b/>
          <w:bCs/>
          <w:sz w:val="28"/>
          <w:szCs w:val="28"/>
          <w:highlight w:val="none"/>
          <w:lang w:val="en-US" w:eastAsia="zh-CN"/>
        </w:rPr>
        <w:t>客户签名:                                  年　　月　　日</w:t>
      </w:r>
    </w:p>
    <w:p>
      <w:pPr>
        <w:pStyle w:val="2"/>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WYwNGEyOWZhYzNiNDU4ZGJmN2ZkN2Y0ZGM4MGEifQ=="/>
  </w:docVars>
  <w:rsids>
    <w:rsidRoot w:val="00000000"/>
    <w:rsid w:val="00A14DC6"/>
    <w:rsid w:val="01A43851"/>
    <w:rsid w:val="01F83344"/>
    <w:rsid w:val="01FC0AF1"/>
    <w:rsid w:val="025F5314"/>
    <w:rsid w:val="02630ADA"/>
    <w:rsid w:val="03CA496E"/>
    <w:rsid w:val="03E70DB3"/>
    <w:rsid w:val="04297CD5"/>
    <w:rsid w:val="04B75889"/>
    <w:rsid w:val="05524952"/>
    <w:rsid w:val="05797D87"/>
    <w:rsid w:val="06186635"/>
    <w:rsid w:val="063F1112"/>
    <w:rsid w:val="064A5629"/>
    <w:rsid w:val="065D7D23"/>
    <w:rsid w:val="06B50CF4"/>
    <w:rsid w:val="070835F8"/>
    <w:rsid w:val="07FD6E51"/>
    <w:rsid w:val="08B13BD9"/>
    <w:rsid w:val="08DD30C6"/>
    <w:rsid w:val="092E3F35"/>
    <w:rsid w:val="0CF12D90"/>
    <w:rsid w:val="0E0979B4"/>
    <w:rsid w:val="0F071539"/>
    <w:rsid w:val="0F692FC4"/>
    <w:rsid w:val="0FF60DF1"/>
    <w:rsid w:val="10117CB8"/>
    <w:rsid w:val="10E04EA0"/>
    <w:rsid w:val="119A56B6"/>
    <w:rsid w:val="12331667"/>
    <w:rsid w:val="125A3098"/>
    <w:rsid w:val="12E01D01"/>
    <w:rsid w:val="147E3BFD"/>
    <w:rsid w:val="14FA548B"/>
    <w:rsid w:val="15A5287C"/>
    <w:rsid w:val="161B7AEF"/>
    <w:rsid w:val="16257276"/>
    <w:rsid w:val="16B2793C"/>
    <w:rsid w:val="17264309"/>
    <w:rsid w:val="185E47F4"/>
    <w:rsid w:val="186B1B5B"/>
    <w:rsid w:val="188029E6"/>
    <w:rsid w:val="19CF7F6D"/>
    <w:rsid w:val="1AD75285"/>
    <w:rsid w:val="1B6603B7"/>
    <w:rsid w:val="1C6709E5"/>
    <w:rsid w:val="1D612F14"/>
    <w:rsid w:val="1D994DEE"/>
    <w:rsid w:val="1DA41089"/>
    <w:rsid w:val="1F100855"/>
    <w:rsid w:val="1FA927C1"/>
    <w:rsid w:val="1FAD2A9F"/>
    <w:rsid w:val="20193CA0"/>
    <w:rsid w:val="21627873"/>
    <w:rsid w:val="22C43829"/>
    <w:rsid w:val="230A1F70"/>
    <w:rsid w:val="240107B9"/>
    <w:rsid w:val="24724FBF"/>
    <w:rsid w:val="257C45CF"/>
    <w:rsid w:val="258163AF"/>
    <w:rsid w:val="25892D1E"/>
    <w:rsid w:val="25BD32CA"/>
    <w:rsid w:val="294E3598"/>
    <w:rsid w:val="2980015A"/>
    <w:rsid w:val="29D36FB6"/>
    <w:rsid w:val="2AE12107"/>
    <w:rsid w:val="2AE93399"/>
    <w:rsid w:val="2B1F6533"/>
    <w:rsid w:val="2BF31E45"/>
    <w:rsid w:val="2C333446"/>
    <w:rsid w:val="2CF63C91"/>
    <w:rsid w:val="2D434801"/>
    <w:rsid w:val="2D87669D"/>
    <w:rsid w:val="2D937466"/>
    <w:rsid w:val="2E3B62E8"/>
    <w:rsid w:val="2E6323D0"/>
    <w:rsid w:val="2EA74B17"/>
    <w:rsid w:val="2EB26AE6"/>
    <w:rsid w:val="2FAE1D62"/>
    <w:rsid w:val="30434B2C"/>
    <w:rsid w:val="30EF1041"/>
    <w:rsid w:val="318164E1"/>
    <w:rsid w:val="31B72085"/>
    <w:rsid w:val="324B3CD8"/>
    <w:rsid w:val="33ED121E"/>
    <w:rsid w:val="34127B09"/>
    <w:rsid w:val="342A14C1"/>
    <w:rsid w:val="34D62CCF"/>
    <w:rsid w:val="3566572C"/>
    <w:rsid w:val="36EE1FC9"/>
    <w:rsid w:val="37461371"/>
    <w:rsid w:val="38087DBB"/>
    <w:rsid w:val="381E1363"/>
    <w:rsid w:val="38A74091"/>
    <w:rsid w:val="397F0B6A"/>
    <w:rsid w:val="3A154808"/>
    <w:rsid w:val="3A3D6021"/>
    <w:rsid w:val="3A5903CB"/>
    <w:rsid w:val="3ACD5555"/>
    <w:rsid w:val="3B593123"/>
    <w:rsid w:val="3BD1357C"/>
    <w:rsid w:val="3C1378EB"/>
    <w:rsid w:val="3D1F5A0E"/>
    <w:rsid w:val="3D7C5C18"/>
    <w:rsid w:val="3D7D724F"/>
    <w:rsid w:val="3E1B76FC"/>
    <w:rsid w:val="3EAB1452"/>
    <w:rsid w:val="3F843116"/>
    <w:rsid w:val="41A25875"/>
    <w:rsid w:val="424E0232"/>
    <w:rsid w:val="4278763D"/>
    <w:rsid w:val="42B82862"/>
    <w:rsid w:val="42C93339"/>
    <w:rsid w:val="43C7401A"/>
    <w:rsid w:val="44061695"/>
    <w:rsid w:val="446D3790"/>
    <w:rsid w:val="44E1092B"/>
    <w:rsid w:val="4513485D"/>
    <w:rsid w:val="454669E0"/>
    <w:rsid w:val="457B0D80"/>
    <w:rsid w:val="45B35853"/>
    <w:rsid w:val="46721165"/>
    <w:rsid w:val="468E31D0"/>
    <w:rsid w:val="469F0A9E"/>
    <w:rsid w:val="46A2233C"/>
    <w:rsid w:val="47743CD8"/>
    <w:rsid w:val="47AB5220"/>
    <w:rsid w:val="47B25545"/>
    <w:rsid w:val="485E04E5"/>
    <w:rsid w:val="494616A5"/>
    <w:rsid w:val="4955733E"/>
    <w:rsid w:val="49FC459C"/>
    <w:rsid w:val="4A0D3129"/>
    <w:rsid w:val="4A1B48DF"/>
    <w:rsid w:val="4AF55130"/>
    <w:rsid w:val="4BC43DF5"/>
    <w:rsid w:val="4BFE0A16"/>
    <w:rsid w:val="4C234290"/>
    <w:rsid w:val="4E6A467A"/>
    <w:rsid w:val="4E6E2BC2"/>
    <w:rsid w:val="4FB522B7"/>
    <w:rsid w:val="50C11611"/>
    <w:rsid w:val="512D08AC"/>
    <w:rsid w:val="51431755"/>
    <w:rsid w:val="516721B8"/>
    <w:rsid w:val="51730B5D"/>
    <w:rsid w:val="517913D1"/>
    <w:rsid w:val="517F4BB7"/>
    <w:rsid w:val="51F35ABA"/>
    <w:rsid w:val="52207D71"/>
    <w:rsid w:val="52273B60"/>
    <w:rsid w:val="52355BF6"/>
    <w:rsid w:val="53681E87"/>
    <w:rsid w:val="537D190E"/>
    <w:rsid w:val="53C87E5D"/>
    <w:rsid w:val="54762932"/>
    <w:rsid w:val="54B91BCB"/>
    <w:rsid w:val="55371B9E"/>
    <w:rsid w:val="55AC0C94"/>
    <w:rsid w:val="55B17EA6"/>
    <w:rsid w:val="560C332E"/>
    <w:rsid w:val="570B1838"/>
    <w:rsid w:val="57603931"/>
    <w:rsid w:val="588E7911"/>
    <w:rsid w:val="58C8064B"/>
    <w:rsid w:val="59BD7D89"/>
    <w:rsid w:val="5A9009D2"/>
    <w:rsid w:val="5ACF361D"/>
    <w:rsid w:val="5BBC1575"/>
    <w:rsid w:val="5C1E4072"/>
    <w:rsid w:val="5C8A1451"/>
    <w:rsid w:val="5CEC152E"/>
    <w:rsid w:val="5D325D70"/>
    <w:rsid w:val="5D4B0310"/>
    <w:rsid w:val="5D6249FD"/>
    <w:rsid w:val="5DF74ECB"/>
    <w:rsid w:val="5FB56653"/>
    <w:rsid w:val="5FF22F18"/>
    <w:rsid w:val="60172FFB"/>
    <w:rsid w:val="61B478FD"/>
    <w:rsid w:val="625B5BCA"/>
    <w:rsid w:val="62990389"/>
    <w:rsid w:val="62A52B40"/>
    <w:rsid w:val="638B13EF"/>
    <w:rsid w:val="6464626E"/>
    <w:rsid w:val="649A3B25"/>
    <w:rsid w:val="64E52643"/>
    <w:rsid w:val="65362175"/>
    <w:rsid w:val="66552ACF"/>
    <w:rsid w:val="66A02D97"/>
    <w:rsid w:val="675F0A21"/>
    <w:rsid w:val="67627405"/>
    <w:rsid w:val="680D3662"/>
    <w:rsid w:val="683B1F76"/>
    <w:rsid w:val="6852376A"/>
    <w:rsid w:val="69166546"/>
    <w:rsid w:val="69A61348"/>
    <w:rsid w:val="6A224B49"/>
    <w:rsid w:val="6A6634FD"/>
    <w:rsid w:val="6AA635D9"/>
    <w:rsid w:val="6B4210D5"/>
    <w:rsid w:val="6C920922"/>
    <w:rsid w:val="6E927921"/>
    <w:rsid w:val="6EED5F9B"/>
    <w:rsid w:val="70A42689"/>
    <w:rsid w:val="71490814"/>
    <w:rsid w:val="718A7AD1"/>
    <w:rsid w:val="71B87CB8"/>
    <w:rsid w:val="72124F33"/>
    <w:rsid w:val="72677E12"/>
    <w:rsid w:val="727B38BE"/>
    <w:rsid w:val="72802C82"/>
    <w:rsid w:val="72BF75B7"/>
    <w:rsid w:val="74233C4F"/>
    <w:rsid w:val="74D07DDD"/>
    <w:rsid w:val="7504558C"/>
    <w:rsid w:val="75B15F6F"/>
    <w:rsid w:val="75FD4321"/>
    <w:rsid w:val="764914E2"/>
    <w:rsid w:val="76BF4901"/>
    <w:rsid w:val="76CF3613"/>
    <w:rsid w:val="77091498"/>
    <w:rsid w:val="77421F0E"/>
    <w:rsid w:val="78605DCB"/>
    <w:rsid w:val="79575A7F"/>
    <w:rsid w:val="797C0B1B"/>
    <w:rsid w:val="7AF34BBF"/>
    <w:rsid w:val="7D304DCE"/>
    <w:rsid w:val="7D317C67"/>
    <w:rsid w:val="7E243156"/>
    <w:rsid w:val="7E9A1DD5"/>
    <w:rsid w:val="7F090471"/>
    <w:rsid w:val="7F3D2627"/>
    <w:rsid w:val="7F506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1883</Words>
  <Characters>2009</Characters>
  <Lines>0</Lines>
  <Paragraphs>0</Paragraphs>
  <TotalTime>71</TotalTime>
  <ScaleCrop>false</ScaleCrop>
  <LinksUpToDate>false</LinksUpToDate>
  <CharactersWithSpaces>2049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2022-09-07T07:41:00Z</dcterms:created>
  <dc:creator>Lenovo</dc:creator>
  <cp:lastModifiedBy>康康</cp:lastModifiedBy>
  <dcterms:modified xsi:type="dcterms:W3CDTF">2023-11-03T08:15:26Z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06965D3B77584138A82454A3071A1ADF</vt:lpwstr>
  </property>
</Properties>
</file>