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黑体" w:cs="Times New Roman" w:asciiTheme="minorAscii" w:hAnsiTheme="minorAscii"/>
          <w:sz w:val="28"/>
          <w:szCs w:val="28"/>
          <w:lang w:val="en-US" w:eastAsia="zh-CN"/>
        </w:rPr>
      </w:pPr>
      <w:r>
        <w:rPr>
          <w:rFonts w:hint="default" w:eastAsia="黑体" w:cs="Times New Roman" w:asciiTheme="minorAscii" w:hAnsiTheme="minorAscii"/>
          <w:sz w:val="28"/>
          <w:szCs w:val="28"/>
          <w:lang w:eastAsia="zh-CN"/>
        </w:rPr>
        <w:t>附件</w:t>
      </w:r>
      <w:r>
        <w:rPr>
          <w:rFonts w:hint="eastAsia" w:eastAsia="黑体" w:cs="Times New Roman" w:asciiTheme="minorAscii" w:hAnsiTheme="minorAscii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jc w:val="both"/>
        <w:rPr>
          <w:rFonts w:hint="default" w:eastAsia="黑体" w:cs="Times New Roman" w:asciiTheme="minorAscii" w:hAnsiTheme="minorAscii"/>
          <w:sz w:val="28"/>
          <w:szCs w:val="28"/>
          <w:lang w:val="en-US" w:eastAsia="zh-CN"/>
        </w:rPr>
      </w:pP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湖州市</w:t>
      </w:r>
      <w:r>
        <w:rPr>
          <w:rFonts w:hint="eastAsia" w:ascii="Times New Roman" w:hAnsi="Times New Roman" w:eastAsia="黑体" w:cs="Times New Roman"/>
          <w:sz w:val="44"/>
          <w:szCs w:val="44"/>
          <w:lang w:eastAsia="zh-CN"/>
        </w:rPr>
        <w:t>“</w:t>
      </w:r>
      <w:r>
        <w:rPr>
          <w:rFonts w:ascii="Times New Roman" w:hAnsi="Times New Roman" w:eastAsia="黑体" w:cs="Times New Roman"/>
          <w:sz w:val="44"/>
          <w:szCs w:val="44"/>
        </w:rPr>
        <w:t>揭榜挂帅</w:t>
      </w:r>
      <w:r>
        <w:rPr>
          <w:rFonts w:hint="eastAsia" w:ascii="Times New Roman" w:hAnsi="Times New Roman" w:eastAsia="黑体" w:cs="Times New Roman"/>
          <w:sz w:val="44"/>
          <w:szCs w:val="44"/>
          <w:lang w:eastAsia="zh-CN"/>
        </w:rPr>
        <w:t>”</w:t>
      </w:r>
      <w:r>
        <w:rPr>
          <w:rFonts w:ascii="Times New Roman" w:hAnsi="Times New Roman" w:eastAsia="黑体" w:cs="Times New Roman"/>
          <w:sz w:val="44"/>
          <w:szCs w:val="44"/>
        </w:rPr>
        <w:t>重大项目实施细则</w:t>
      </w:r>
    </w:p>
    <w:p>
      <w:pPr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（试行）</w:t>
      </w:r>
    </w:p>
    <w:p>
      <w:pPr>
        <w:spacing w:line="58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为全面贯彻党的二十大精神和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市委市</w:t>
      </w:r>
      <w:r>
        <w:rPr>
          <w:rFonts w:ascii="Times New Roman" w:hAnsi="Times New Roman" w:eastAsia="仿宋_GB2312" w:cs="Times New Roman"/>
          <w:sz w:val="32"/>
          <w:szCs w:val="32"/>
        </w:rPr>
        <w:t>政府关于强力推进创新深化改革攻坚开放提升的决策部署，扎实推进“315”科技创新体系建设工程，深化科技管理体制改革，探索重大科技专项“揭榜挂帅”攻关机制，提升重点产业自主创新能力和核心竞争力，促进产业链与创新链深度融合。现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揭榜挂帅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重大项目组织实施提出如下细则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一、总体要求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聚焦落实国家和省、市重大科技战略任务，重点解决全市八大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新兴</w:t>
      </w:r>
      <w:r>
        <w:rPr>
          <w:rFonts w:ascii="Times New Roman" w:hAnsi="Times New Roman" w:eastAsia="仿宋_GB2312" w:cs="Times New Roman"/>
          <w:sz w:val="32"/>
          <w:szCs w:val="32"/>
        </w:rPr>
        <w:t>产业链提升所面临的关键核心技术问题，以任务实施成效为衡量标准，以成果落地应用为牵引，由龙头企业组建创新联合体揭榜实施。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二、支持标准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单个项目财政补助比例原则上不高于项目总经费的25%，最高不超过500万元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三、主要程序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主要包括需求征集、遴选发榜、受理揭榜、评审论证、对接洽谈、签订合同、资金拨付、过程管理及验收等环节。</w:t>
      </w:r>
    </w:p>
    <w:p>
      <w:pPr>
        <w:spacing w:line="580" w:lineRule="exact"/>
        <w:ind w:firstLine="64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（一）需求征集。</w:t>
      </w:r>
      <w:r>
        <w:rPr>
          <w:rFonts w:ascii="Times New Roman" w:hAnsi="Times New Roman" w:eastAsia="仿宋_GB2312" w:cs="Times New Roman"/>
          <w:sz w:val="32"/>
          <w:szCs w:val="32"/>
        </w:rPr>
        <w:t>面向社会公开征集技术需求，发榜方建议项目应明确提出拟解决的主要技术问题、核心指标、时限要求、产权归属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预期成果最终用户等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（二）遴选发榜。</w:t>
      </w:r>
      <w:r>
        <w:rPr>
          <w:rFonts w:ascii="Times New Roman" w:hAnsi="Times New Roman" w:eastAsia="仿宋_GB2312" w:cs="Times New Roman"/>
          <w:sz w:val="32"/>
          <w:szCs w:val="32"/>
        </w:rPr>
        <w:t>组织行业管理专家、技术专家、需求单位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对征集到的技术需求进行论证，择优遴选出应用面广、指标明确、影响力大、带动性强的关键核心技术需求，并进一步凝练明确需求目标和应用场景，形成发榜项目清单，通过市科技局官网和媒体向社会公告。</w:t>
      </w:r>
    </w:p>
    <w:p>
      <w:pPr>
        <w:spacing w:line="580" w:lineRule="exact"/>
        <w:ind w:firstLine="642" w:firstLineChars="200"/>
        <w:rPr>
          <w:rFonts w:ascii="微软雅黑" w:hAnsi="微软雅黑" w:eastAsia="微软雅黑"/>
          <w:color w:val="393939"/>
          <w:sz w:val="27"/>
          <w:szCs w:val="27"/>
          <w:shd w:val="clear" w:color="auto" w:fill="FFFFFF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（三）受理揭榜。</w:t>
      </w:r>
      <w:r>
        <w:rPr>
          <w:rFonts w:ascii="Times New Roman" w:hAnsi="Times New Roman" w:eastAsia="仿宋_GB2312" w:cs="Times New Roman"/>
          <w:sz w:val="32"/>
          <w:szCs w:val="32"/>
        </w:rPr>
        <w:t>由揭榜方根据发榜项目要求提出项目研究可行性方案。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揭榜挂帅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项目实行网上申报，申报材料包括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项目申报书、创新联合体建设方案和组建协议、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信用承诺书及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其他相关附件。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揭榜方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必须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满足下列条件：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揭榜方为创新联合体牵头单位，由创新能力突出的优势企业牵头，整合多方科技力量，按照自愿原则组建。创新联合体应具有完成项目实施的工作基础、科研条件、研发实力和稳定的人员队伍及必要的研发投入等，有能力完成榜单提出的任务，掌握自主知识产权。牵头单位上年度研发投入占营业收入比重应达到3%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项目负责人应是揭榜单位正式职工，是实际主持研究工作的科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人员。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该项目未申报其他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市级科技计划项目。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其他申报通知规定的条件。</w:t>
      </w:r>
    </w:p>
    <w:p>
      <w:pPr>
        <w:spacing w:line="58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（四）评审论证。</w:t>
      </w:r>
      <w:r>
        <w:rPr>
          <w:rFonts w:ascii="Times New Roman" w:hAnsi="Times New Roman" w:eastAsia="仿宋_GB2312" w:cs="Times New Roman"/>
          <w:sz w:val="32"/>
          <w:szCs w:val="32"/>
        </w:rPr>
        <w:t>组织行业专家、技术专家、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财务专家</w:t>
      </w:r>
      <w:r>
        <w:rPr>
          <w:rFonts w:ascii="Times New Roman" w:hAnsi="Times New Roman" w:eastAsia="仿宋_GB2312" w:cs="Times New Roman"/>
          <w:sz w:val="32"/>
          <w:szCs w:val="32"/>
        </w:rPr>
        <w:t>等，采取会议评审和论证答辩方式，共同对揭榜方案可行性等开展论证评审，遴选出成功揭榜建议名单。</w:t>
      </w:r>
    </w:p>
    <w:p>
      <w:pPr>
        <w:spacing w:line="58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1. 评审内容：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主要围绕技术路线的合理性、技术创新性与先进性、创新联合体架构的合理性、预期的绩效及经费预算合理性等展开。</w:t>
      </w:r>
    </w:p>
    <w:p>
      <w:pPr>
        <w:spacing w:line="58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2. 评审程序。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专家会议评审和现场会议答辩并行开展、分别打分，评审采用百分制，各按50%计算总分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两个环节各组建不少于5位（含）的奇数位的专家组成专家组，专家组审阅组内全部项目后，经集体讨论，形成评审意见。</w:t>
      </w:r>
    </w:p>
    <w:p>
      <w:pPr>
        <w:spacing w:line="58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3. 意见汇总。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按从高到低对项目总分进行排序，项目总分达到80分及以上的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列为拟立项项目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三县项目可放宽至75分及以上。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none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对申报同一榜单的符合立项要求、研发水平相当、技术路线明显不同的两个以上项目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，以分数最高者为揭榜者。</w:t>
      </w:r>
    </w:p>
    <w:p>
      <w:pPr>
        <w:spacing w:line="58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4. 立项决策。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市科技局局长办公会议对</w:t>
      </w:r>
      <w:r>
        <w:rPr>
          <w:rFonts w:ascii="Times New Roman" w:hAnsi="Times New Roman" w:eastAsia="仿宋_GB2312" w:cs="Times New Roman"/>
          <w:sz w:val="32"/>
          <w:szCs w:val="32"/>
        </w:rPr>
        <w:t>创新联合体组建情况和项目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立项建议进行集体审议，作出立项决策。</w:t>
      </w:r>
    </w:p>
    <w:p>
      <w:pPr>
        <w:spacing w:line="58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（五）签订合同。</w:t>
      </w:r>
      <w:r>
        <w:rPr>
          <w:rFonts w:ascii="Times New Roman" w:hAnsi="Times New Roman" w:eastAsia="仿宋_GB2312" w:cs="Times New Roman"/>
          <w:sz w:val="32"/>
          <w:szCs w:val="32"/>
        </w:rPr>
        <w:t>对拟支持的入榜项目经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决策</w:t>
      </w:r>
      <w:r>
        <w:rPr>
          <w:rFonts w:ascii="Times New Roman" w:hAnsi="Times New Roman" w:eastAsia="仿宋_GB2312" w:cs="Times New Roman"/>
          <w:sz w:val="32"/>
          <w:szCs w:val="32"/>
        </w:rPr>
        <w:t>后向社会公示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公示无异议的项目签订科技计划项目合同书。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（六）资金拨付。</w:t>
      </w:r>
      <w:r>
        <w:rPr>
          <w:rFonts w:ascii="Times New Roman" w:hAnsi="Times New Roman" w:eastAsia="仿宋_GB2312" w:cs="Times New Roman"/>
          <w:sz w:val="32"/>
          <w:szCs w:val="32"/>
        </w:rPr>
        <w:t>财政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补</w:t>
      </w:r>
      <w:r>
        <w:rPr>
          <w:rFonts w:ascii="Times New Roman" w:hAnsi="Times New Roman" w:eastAsia="仿宋_GB2312" w:cs="Times New Roman"/>
          <w:sz w:val="32"/>
          <w:szCs w:val="32"/>
        </w:rPr>
        <w:t>助经费分期拨付。其中，科技计划项目合同书签订生效后拨付首笔财政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补助</w:t>
      </w:r>
      <w:r>
        <w:rPr>
          <w:rFonts w:ascii="Times New Roman" w:hAnsi="Times New Roman" w:eastAsia="仿宋_GB2312" w:cs="Times New Roman"/>
          <w:sz w:val="32"/>
          <w:szCs w:val="32"/>
        </w:rPr>
        <w:t>经费，额度为财政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补</w:t>
      </w:r>
      <w:r>
        <w:rPr>
          <w:rFonts w:ascii="Times New Roman" w:hAnsi="Times New Roman" w:eastAsia="仿宋_GB2312" w:cs="Times New Roman"/>
          <w:sz w:val="32"/>
          <w:szCs w:val="32"/>
        </w:rPr>
        <w:t>助经费的30%，最高不超过150万元。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项目的二期财政补助经费根据项目申请和验收审计报告的结论确定，总体按照审计核定的总投入的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25%补助，最高500万元，并扣减首期补助经费。</w:t>
      </w:r>
    </w:p>
    <w:p>
      <w:pPr>
        <w:spacing w:line="58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（七）过程管理及验收。</w:t>
      </w:r>
      <w:r>
        <w:rPr>
          <w:rFonts w:ascii="Times New Roman" w:hAnsi="Times New Roman" w:eastAsia="仿宋_GB2312" w:cs="Times New Roman"/>
          <w:sz w:val="32"/>
          <w:szCs w:val="32"/>
        </w:rPr>
        <w:t>项目的过程管理及验收参照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《湖州市科技计划项目管理暂行办法》</w:t>
      </w:r>
      <w:r>
        <w:rPr>
          <w:rFonts w:ascii="Times New Roman" w:hAnsi="Times New Roman" w:eastAsia="仿宋_GB2312" w:cs="Times New Roman"/>
          <w:sz w:val="32"/>
          <w:szCs w:val="32"/>
        </w:rPr>
        <w:t>《湖州市科技计划项目验收管理办法》有关规定执行。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、其他事项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本办法未规定事项，按照市科技计划项目、资金、诚信管理有关规定执行。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由市科技局负责解释。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178703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C8"/>
    <w:rsid w:val="0003419F"/>
    <w:rsid w:val="00054BB9"/>
    <w:rsid w:val="00066E98"/>
    <w:rsid w:val="000F6942"/>
    <w:rsid w:val="00126A49"/>
    <w:rsid w:val="00154B4B"/>
    <w:rsid w:val="00184EBC"/>
    <w:rsid w:val="00197304"/>
    <w:rsid w:val="001B1DC9"/>
    <w:rsid w:val="001C4391"/>
    <w:rsid w:val="001C60BF"/>
    <w:rsid w:val="001D04E3"/>
    <w:rsid w:val="001D556E"/>
    <w:rsid w:val="001F6A1D"/>
    <w:rsid w:val="002177E6"/>
    <w:rsid w:val="00273E08"/>
    <w:rsid w:val="002B2895"/>
    <w:rsid w:val="002F2A0C"/>
    <w:rsid w:val="00355469"/>
    <w:rsid w:val="003A7507"/>
    <w:rsid w:val="003B775B"/>
    <w:rsid w:val="00430562"/>
    <w:rsid w:val="004E3695"/>
    <w:rsid w:val="00542262"/>
    <w:rsid w:val="00553BC1"/>
    <w:rsid w:val="00584A4B"/>
    <w:rsid w:val="005B47DE"/>
    <w:rsid w:val="005C3DA2"/>
    <w:rsid w:val="005C6862"/>
    <w:rsid w:val="00727732"/>
    <w:rsid w:val="00773E8B"/>
    <w:rsid w:val="00790500"/>
    <w:rsid w:val="00792311"/>
    <w:rsid w:val="007B41ED"/>
    <w:rsid w:val="00814F36"/>
    <w:rsid w:val="0081725C"/>
    <w:rsid w:val="008601B1"/>
    <w:rsid w:val="008719D8"/>
    <w:rsid w:val="00917387"/>
    <w:rsid w:val="00945C3E"/>
    <w:rsid w:val="00953E6A"/>
    <w:rsid w:val="0097034F"/>
    <w:rsid w:val="00A72F8C"/>
    <w:rsid w:val="00B423E9"/>
    <w:rsid w:val="00B80971"/>
    <w:rsid w:val="00B919A7"/>
    <w:rsid w:val="00BA0060"/>
    <w:rsid w:val="00BC7B4B"/>
    <w:rsid w:val="00BD0657"/>
    <w:rsid w:val="00BD2F66"/>
    <w:rsid w:val="00C20C3A"/>
    <w:rsid w:val="00C413E7"/>
    <w:rsid w:val="00C63903"/>
    <w:rsid w:val="00C87E62"/>
    <w:rsid w:val="00D058C7"/>
    <w:rsid w:val="00DF7EC8"/>
    <w:rsid w:val="00E34911"/>
    <w:rsid w:val="00E349D5"/>
    <w:rsid w:val="00EC526F"/>
    <w:rsid w:val="00EF4509"/>
    <w:rsid w:val="00F16524"/>
    <w:rsid w:val="00F3168D"/>
    <w:rsid w:val="00F41837"/>
    <w:rsid w:val="00FD4573"/>
    <w:rsid w:val="00FF3204"/>
    <w:rsid w:val="00FF52E5"/>
    <w:rsid w:val="756EB2A8"/>
    <w:rsid w:val="7F7CFFB4"/>
    <w:rsid w:val="7FBFA393"/>
    <w:rsid w:val="7FFF3B2C"/>
    <w:rsid w:val="D776BF45"/>
    <w:rsid w:val="DEFBE880"/>
    <w:rsid w:val="E5F780B8"/>
    <w:rsid w:val="F7FBF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240</Words>
  <Characters>1373</Characters>
  <Lines>11</Lines>
  <Paragraphs>3</Paragraphs>
  <TotalTime>34</TotalTime>
  <ScaleCrop>false</ScaleCrop>
  <LinksUpToDate>false</LinksUpToDate>
  <CharactersWithSpaces>1610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2023-07-11T23:39:00Z</dcterms:created>
  <dc:creator>hbtmren2007 hbtmren2007</dc:creator>
  <cp:lastModifiedBy>Huzhou</cp:lastModifiedBy>
  <dcterms:modified xsi:type="dcterms:W3CDTF">2023-08-28T09:26:03Z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