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简体" w:cs="Times New Roman"/>
          <w:sz w:val="32"/>
          <w:szCs w:val="32"/>
        </w:rPr>
      </w:pPr>
      <w:r>
        <w:rPr>
          <w:rFonts w:ascii="Times New Roman" w:hAnsi="Times New Roman" w:eastAsia="方正小标宋简体" w:cs="Times New Roman"/>
          <w:sz w:val="32"/>
          <w:szCs w:val="32"/>
        </w:rPr>
        <w:t>项目验收公示</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rFonts w:ascii="Times New Roman" w:hAnsi="Times New Roman" w:cs="Times New Roman"/>
                <w:sz w:val="28"/>
                <w:szCs w:val="28"/>
              </w:rPr>
            </w:pPr>
            <w:r>
              <w:rPr>
                <w:rFonts w:ascii="Times New Roman" w:hAnsi="Times New Roman" w:cs="Times New Roman"/>
                <w:sz w:val="28"/>
                <w:szCs w:val="28"/>
              </w:rPr>
              <w:t>项目名称</w:t>
            </w:r>
          </w:p>
        </w:tc>
        <w:tc>
          <w:tcPr>
            <w:tcW w:w="6429" w:type="dxa"/>
            <w:gridSpan w:val="3"/>
            <w:vAlign w:val="center"/>
          </w:tcPr>
          <w:p>
            <w:pPr>
              <w:adjustRightInd w:val="0"/>
              <w:snapToGrid w:val="0"/>
              <w:jc w:val="center"/>
              <w:rPr>
                <w:rFonts w:ascii="Times New Roman" w:hAnsi="Times New Roman" w:cs="Times New Roman"/>
                <w:sz w:val="28"/>
                <w:szCs w:val="28"/>
              </w:rPr>
            </w:pPr>
            <w:r>
              <w:rPr>
                <w:rFonts w:ascii="Times New Roman" w:hAnsi="Times New Roman" w:cs="Times New Roman"/>
                <w:sz w:val="28"/>
                <w:szCs w:val="28"/>
              </w:rPr>
              <w:t>P2Y12相关miRNAs调控冠心病PCI术后血小板反应性的研究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rFonts w:ascii="Times New Roman" w:hAnsi="Times New Roman" w:cs="Times New Roman"/>
                <w:sz w:val="28"/>
                <w:szCs w:val="28"/>
              </w:rPr>
            </w:pPr>
            <w:r>
              <w:rPr>
                <w:rFonts w:ascii="Times New Roman" w:hAnsi="Times New Roman" w:cs="Times New Roman"/>
                <w:sz w:val="28"/>
                <w:szCs w:val="28"/>
              </w:rPr>
              <w:t>项目编号</w:t>
            </w:r>
          </w:p>
        </w:tc>
        <w:tc>
          <w:tcPr>
            <w:tcW w:w="1859" w:type="dxa"/>
            <w:vAlign w:val="center"/>
          </w:tcPr>
          <w:p>
            <w:pPr>
              <w:adjustRightInd w:val="0"/>
              <w:snapToGrid w:val="0"/>
              <w:jc w:val="center"/>
              <w:rPr>
                <w:rFonts w:ascii="Times New Roman" w:hAnsi="Times New Roman" w:cs="Times New Roman"/>
                <w:sz w:val="28"/>
                <w:szCs w:val="28"/>
              </w:rPr>
            </w:pPr>
            <w:r>
              <w:rPr>
                <w:rFonts w:ascii="Times New Roman" w:hAnsi="Times New Roman" w:cs="Times New Roman"/>
                <w:sz w:val="28"/>
                <w:szCs w:val="28"/>
              </w:rPr>
              <w:t>2018GY13</w:t>
            </w:r>
          </w:p>
        </w:tc>
        <w:tc>
          <w:tcPr>
            <w:tcW w:w="1685" w:type="dxa"/>
            <w:vAlign w:val="center"/>
          </w:tcPr>
          <w:p>
            <w:pPr>
              <w:adjustRightInd w:val="0"/>
              <w:snapToGrid w:val="0"/>
              <w:jc w:val="center"/>
              <w:rPr>
                <w:rFonts w:ascii="Times New Roman" w:hAnsi="Times New Roman" w:cs="Times New Roman"/>
                <w:sz w:val="28"/>
                <w:szCs w:val="28"/>
              </w:rPr>
            </w:pPr>
            <w:r>
              <w:rPr>
                <w:rFonts w:ascii="Times New Roman" w:hAnsi="Times New Roman" w:cs="Times New Roman"/>
                <w:sz w:val="28"/>
                <w:szCs w:val="28"/>
              </w:rPr>
              <w:t>项目负责人</w:t>
            </w:r>
          </w:p>
        </w:tc>
        <w:tc>
          <w:tcPr>
            <w:tcW w:w="2885" w:type="dxa"/>
            <w:vAlign w:val="center"/>
          </w:tcPr>
          <w:p>
            <w:pPr>
              <w:adjustRightInd w:val="0"/>
              <w:snapToGrid w:val="0"/>
              <w:jc w:val="center"/>
              <w:rPr>
                <w:rFonts w:ascii="Times New Roman" w:hAnsi="Times New Roman" w:cs="Times New Roman"/>
                <w:sz w:val="28"/>
                <w:szCs w:val="28"/>
              </w:rPr>
            </w:pPr>
            <w:r>
              <w:rPr>
                <w:rFonts w:hint="eastAsia" w:ascii="Times New Roman" w:hAnsi="Times New Roman" w:cs="Times New Roman"/>
                <w:sz w:val="28"/>
                <w:szCs w:val="28"/>
              </w:rPr>
              <w:t>章琪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rFonts w:ascii="Times New Roman" w:hAnsi="Times New Roman" w:cs="Times New Roman"/>
                <w:sz w:val="28"/>
                <w:szCs w:val="28"/>
              </w:rPr>
            </w:pPr>
            <w:r>
              <w:rPr>
                <w:rFonts w:ascii="Times New Roman" w:hAnsi="Times New Roman" w:cs="Times New Roman"/>
                <w:sz w:val="28"/>
                <w:szCs w:val="28"/>
              </w:rPr>
              <w:t>完成单位</w:t>
            </w:r>
          </w:p>
        </w:tc>
        <w:tc>
          <w:tcPr>
            <w:tcW w:w="6429" w:type="dxa"/>
            <w:gridSpan w:val="3"/>
            <w:vAlign w:val="center"/>
          </w:tcPr>
          <w:p>
            <w:pPr>
              <w:adjustRightInd w:val="0"/>
              <w:snapToGrid w:val="0"/>
              <w:jc w:val="center"/>
              <w:rPr>
                <w:rFonts w:ascii="Times New Roman" w:hAnsi="Times New Roman" w:cs="Times New Roman"/>
                <w:sz w:val="28"/>
                <w:szCs w:val="28"/>
              </w:rPr>
            </w:pPr>
            <w:r>
              <w:rPr>
                <w:rFonts w:hint="eastAsia" w:ascii="Times New Roman" w:hAnsi="Times New Roman" w:cs="Times New Roman"/>
                <w:sz w:val="28"/>
                <w:szCs w:val="28"/>
              </w:rPr>
              <w:t>湖州市第一人民医院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rFonts w:ascii="Times New Roman" w:hAnsi="Times New Roman" w:cs="Times New Roman"/>
                <w:sz w:val="28"/>
                <w:szCs w:val="28"/>
              </w:rPr>
            </w:pPr>
            <w:r>
              <w:rPr>
                <w:rFonts w:ascii="Times New Roman" w:hAnsi="Times New Roman" w:cs="Times New Roman"/>
                <w:sz w:val="28"/>
                <w:szCs w:val="28"/>
              </w:rPr>
              <w:t>完成人员</w:t>
            </w:r>
          </w:p>
        </w:tc>
        <w:tc>
          <w:tcPr>
            <w:tcW w:w="6429" w:type="dxa"/>
            <w:gridSpan w:val="3"/>
            <w:vAlign w:val="center"/>
          </w:tcPr>
          <w:p>
            <w:pPr>
              <w:adjustRightInd w:val="0"/>
              <w:snapToGrid w:val="0"/>
              <w:jc w:val="center"/>
              <w:rPr>
                <w:rFonts w:ascii="Times New Roman" w:hAnsi="Times New Roman" w:cs="Times New Roman"/>
                <w:sz w:val="28"/>
                <w:szCs w:val="28"/>
              </w:rPr>
            </w:pPr>
            <w:r>
              <w:rPr>
                <w:rFonts w:hint="eastAsia" w:ascii="Times New Roman" w:hAnsi="Times New Roman" w:cs="Times New Roman"/>
                <w:sz w:val="28"/>
                <w:szCs w:val="28"/>
              </w:rPr>
              <w:t>章琪、诸帆、张瑛、曹建成、柳元化、罗玉寅</w:t>
            </w:r>
          </w:p>
          <w:p>
            <w:pPr>
              <w:adjustRightInd w:val="0"/>
              <w:snapToGrid w:val="0"/>
              <w:jc w:val="center"/>
              <w:rPr>
                <w:rFonts w:ascii="Times New Roman" w:hAnsi="Times New Roman" w:cs="Times New Roman"/>
                <w:sz w:val="28"/>
                <w:szCs w:val="28"/>
              </w:rPr>
            </w:pPr>
            <w:r>
              <w:rPr>
                <w:rFonts w:hint="eastAsia" w:ascii="Times New Roman" w:hAnsi="Times New Roman" w:cs="Times New Roman"/>
                <w:sz w:val="28"/>
                <w:szCs w:val="28"/>
              </w:rPr>
              <w:t>薛涛、张晓英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rFonts w:ascii="Times New Roman" w:hAnsi="Times New Roman" w:cs="Times New Roman"/>
                <w:sz w:val="28"/>
                <w:szCs w:val="28"/>
              </w:rPr>
            </w:pPr>
            <w:r>
              <w:rPr>
                <w:rFonts w:ascii="Times New Roman" w:hAnsi="Times New Roman" w:cs="Times New Roman"/>
                <w:sz w:val="28"/>
                <w:szCs w:val="28"/>
              </w:rPr>
              <w:t>组织验收单位</w:t>
            </w:r>
          </w:p>
        </w:tc>
        <w:tc>
          <w:tcPr>
            <w:tcW w:w="6429" w:type="dxa"/>
            <w:gridSpan w:val="3"/>
            <w:vAlign w:val="center"/>
          </w:tcPr>
          <w:p>
            <w:pPr>
              <w:adjustRightInd w:val="0"/>
              <w:snapToGrid w:val="0"/>
              <w:jc w:val="center"/>
              <w:rPr>
                <w:rFonts w:ascii="Times New Roman" w:hAnsi="Times New Roman" w:cs="Times New Roman"/>
                <w:sz w:val="28"/>
                <w:szCs w:val="28"/>
              </w:rPr>
            </w:pPr>
            <w:r>
              <w:rPr>
                <w:rFonts w:ascii="Times New Roman" w:hAnsi="Times New Roman" w:cs="Times New Roman"/>
                <w:sz w:val="28"/>
                <w:szCs w:val="28"/>
              </w:rPr>
              <w:t>湖州市卫生健康委员会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rFonts w:ascii="Times New Roman" w:hAnsi="Times New Roman" w:cs="Times New Roman"/>
                <w:sz w:val="28"/>
                <w:szCs w:val="28"/>
              </w:rPr>
            </w:pPr>
            <w:r>
              <w:rPr>
                <w:rFonts w:ascii="Times New Roman" w:hAnsi="Times New Roman" w:cs="Times New Roman"/>
                <w:sz w:val="28"/>
                <w:szCs w:val="28"/>
              </w:rPr>
              <w:t>验收组成员</w:t>
            </w:r>
          </w:p>
        </w:tc>
        <w:tc>
          <w:tcPr>
            <w:tcW w:w="6429" w:type="dxa"/>
            <w:gridSpan w:val="3"/>
            <w:vAlign w:val="center"/>
          </w:tcPr>
          <w:p>
            <w:pPr>
              <w:adjustRightInd w:val="0"/>
              <w:snapToGrid w:val="0"/>
              <w:jc w:val="center"/>
              <w:rPr>
                <w:rFonts w:ascii="Times New Roman" w:hAnsi="Times New Roman" w:cs="Times New Roman"/>
                <w:sz w:val="28"/>
                <w:szCs w:val="28"/>
              </w:rPr>
            </w:pPr>
            <w:r>
              <w:rPr>
                <w:rFonts w:hint="eastAsia" w:ascii="Times New Roman" w:hAnsi="Times New Roman" w:cs="Times New Roman"/>
                <w:sz w:val="28"/>
                <w:szCs w:val="28"/>
              </w:rPr>
              <w:t>周冬辰、边昶、吴峰、方飞、李亚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trPr>
        <w:tc>
          <w:tcPr>
            <w:tcW w:w="8522" w:type="dxa"/>
            <w:gridSpan w:val="4"/>
            <w:vAlign w:val="center"/>
          </w:tcPr>
          <w:p>
            <w:pPr>
              <w:adjustRightInd w:val="0"/>
              <w:snapToGrid w:val="0"/>
              <w:jc w:val="left"/>
              <w:rPr>
                <w:rFonts w:ascii="Times New Roman" w:hAnsi="Times New Roman" w:cs="Times New Roman"/>
                <w:sz w:val="28"/>
                <w:szCs w:val="28"/>
              </w:rPr>
            </w:pPr>
            <w:r>
              <w:rPr>
                <w:rFonts w:ascii="Times New Roman" w:hAnsi="Times New Roman" w:cs="Times New Roman"/>
                <w:sz w:val="28"/>
                <w:szCs w:val="28"/>
              </w:rPr>
              <w:t>验收意见：</w:t>
            </w:r>
          </w:p>
          <w:p>
            <w:pPr>
              <w:keepNext w:val="0"/>
              <w:keepLines w:val="0"/>
              <w:pageBreakBefore w:val="0"/>
              <w:widowControl w:val="0"/>
              <w:kinsoku/>
              <w:wordWrap/>
              <w:overflowPunct/>
              <w:topLinePunct w:val="0"/>
              <w:autoSpaceDE/>
              <w:autoSpaceDN/>
              <w:bidi w:val="0"/>
              <w:adjustRightInd w:val="0"/>
              <w:snapToGrid w:val="0"/>
              <w:ind w:firstLine="579" w:firstLineChars="207"/>
              <w:jc w:val="left"/>
              <w:textAlignment w:val="auto"/>
              <w:rPr>
                <w:rFonts w:ascii="Times New Roman" w:hAnsi="Times New Roman" w:cs="Times New Roman"/>
                <w:sz w:val="28"/>
                <w:szCs w:val="28"/>
              </w:rPr>
            </w:pPr>
            <w:r>
              <w:rPr>
                <w:rFonts w:hint="eastAsia" w:ascii="Times New Roman" w:hAnsi="Times New Roman" w:cs="Times New Roman"/>
                <w:sz w:val="28"/>
                <w:szCs w:val="28"/>
              </w:rPr>
              <w:t>2023年3月，</w:t>
            </w:r>
            <w:r>
              <w:rPr>
                <w:rFonts w:ascii="Times New Roman" w:hAnsi="Times New Roman" w:cs="Times New Roman"/>
                <w:sz w:val="28"/>
                <w:szCs w:val="28"/>
              </w:rPr>
              <w:t>湖州市卫生健康委员会组织专家对湖州市第一人民医院承担的市科技局公益性技术应用研究项目《P2Y12相关miRNAs调控冠心病PCI术后血小板反应性的研究》（2018GY13）进行通信验收。验收组专家审阅了相关材料，形成验收意见如下：</w:t>
            </w:r>
          </w:p>
          <w:p>
            <w:pPr>
              <w:keepNext w:val="0"/>
              <w:keepLines w:val="0"/>
              <w:pageBreakBefore w:val="0"/>
              <w:widowControl w:val="0"/>
              <w:kinsoku/>
              <w:wordWrap/>
              <w:overflowPunct/>
              <w:topLinePunct w:val="0"/>
              <w:autoSpaceDE/>
              <w:autoSpaceDN/>
              <w:bidi w:val="0"/>
              <w:adjustRightInd w:val="0"/>
              <w:snapToGrid w:val="0"/>
              <w:jc w:val="left"/>
              <w:textAlignment w:val="auto"/>
              <w:rPr>
                <w:rFonts w:ascii="Times New Roman" w:hAnsi="Times New Roman" w:cs="Times New Roman"/>
                <w:sz w:val="28"/>
                <w:szCs w:val="28"/>
              </w:rPr>
            </w:pPr>
            <w:r>
              <w:rPr>
                <w:rFonts w:hint="eastAsia" w:ascii="Times New Roman" w:hAnsi="Times New Roman" w:cs="Times New Roman"/>
                <w:sz w:val="28"/>
                <w:szCs w:val="28"/>
                <w:lang w:eastAsia="zh-CN"/>
              </w:rPr>
              <w:t>　　</w:t>
            </w:r>
            <w:r>
              <w:rPr>
                <w:rFonts w:ascii="Times New Roman" w:hAnsi="Times New Roman" w:cs="Times New Roman"/>
                <w:sz w:val="28"/>
                <w:szCs w:val="28"/>
              </w:rPr>
              <w:t>1. 提供的验收材料齐全、规范，符合验收要求。</w:t>
            </w:r>
          </w:p>
          <w:p>
            <w:pPr>
              <w:keepNext w:val="0"/>
              <w:keepLines w:val="0"/>
              <w:pageBreakBefore w:val="0"/>
              <w:widowControl w:val="0"/>
              <w:kinsoku/>
              <w:wordWrap/>
              <w:overflowPunct/>
              <w:topLinePunct w:val="0"/>
              <w:autoSpaceDE/>
              <w:autoSpaceDN/>
              <w:bidi w:val="0"/>
              <w:adjustRightInd w:val="0"/>
              <w:snapToGrid w:val="0"/>
              <w:jc w:val="left"/>
              <w:textAlignment w:val="auto"/>
              <w:rPr>
                <w:rFonts w:ascii="Times New Roman" w:hAnsi="Times New Roman" w:cs="Times New Roman"/>
                <w:sz w:val="28"/>
                <w:szCs w:val="28"/>
              </w:rPr>
            </w:pPr>
            <w:r>
              <w:rPr>
                <w:rFonts w:hint="eastAsia" w:ascii="Times New Roman" w:hAnsi="Times New Roman" w:cs="Times New Roman"/>
                <w:sz w:val="28"/>
                <w:szCs w:val="28"/>
                <w:lang w:eastAsia="zh-CN"/>
              </w:rPr>
              <w:t>　　</w:t>
            </w:r>
            <w:r>
              <w:rPr>
                <w:rFonts w:ascii="Times New Roman" w:hAnsi="Times New Roman" w:cs="Times New Roman"/>
                <w:sz w:val="28"/>
                <w:szCs w:val="28"/>
              </w:rPr>
              <w:t>2. 该项目研究发现PCI手术的冠心病患者，P2Y12基因表达与血小板反应性相关，并且在LPR组和HPR组之间表达存在差异。通过TargetScan和miR-Walk软件，结合Gene Expression Omnibus数据库分析选择 miR-145-5p, miR-4701-3p, miR-107和miR-15b-5p 进行进一步验证，发现 miR-107和P2Y12的表达呈负相关，双荧光素酶报告基因检测验证了两者的相互作用。揭示了氯吡格雷耐药引起的HPR是ACS/PCI患者反复缺血的原因。血小板miRNA与血小板反应性和氯吡格雷耐药有关。为早期识别氯吡格雷抵抗，降低患者用药成本，节省公共医药开支提供了依据。</w:t>
            </w:r>
          </w:p>
          <w:p>
            <w:pPr>
              <w:keepNext w:val="0"/>
              <w:keepLines w:val="0"/>
              <w:pageBreakBefore w:val="0"/>
              <w:widowControl w:val="0"/>
              <w:kinsoku/>
              <w:wordWrap/>
              <w:overflowPunct/>
              <w:topLinePunct w:val="0"/>
              <w:autoSpaceDE/>
              <w:autoSpaceDN/>
              <w:bidi w:val="0"/>
              <w:adjustRightInd w:val="0"/>
              <w:snapToGrid w:val="0"/>
              <w:jc w:val="left"/>
              <w:textAlignment w:val="auto"/>
              <w:rPr>
                <w:rFonts w:ascii="Times New Roman" w:hAnsi="Times New Roman" w:cs="Times New Roman"/>
                <w:sz w:val="28"/>
                <w:szCs w:val="28"/>
              </w:rPr>
            </w:pPr>
            <w:r>
              <w:rPr>
                <w:rFonts w:hint="eastAsia" w:ascii="Times New Roman" w:hAnsi="Times New Roman" w:cs="Times New Roman"/>
                <w:sz w:val="28"/>
                <w:szCs w:val="28"/>
                <w:lang w:eastAsia="zh-CN"/>
              </w:rPr>
              <w:t>　　</w:t>
            </w:r>
            <w:r>
              <w:rPr>
                <w:rFonts w:ascii="Times New Roman" w:hAnsi="Times New Roman" w:cs="Times New Roman"/>
                <w:sz w:val="28"/>
                <w:szCs w:val="28"/>
              </w:rPr>
              <w:t>3. 项目课题组发表SCI论文1篇，培养研究生1人，完成高级和中级职称晋升各1人。</w:t>
            </w:r>
          </w:p>
          <w:p>
            <w:pPr>
              <w:keepNext w:val="0"/>
              <w:keepLines w:val="0"/>
              <w:pageBreakBefore w:val="0"/>
              <w:widowControl w:val="0"/>
              <w:kinsoku/>
              <w:wordWrap/>
              <w:overflowPunct/>
              <w:topLinePunct w:val="0"/>
              <w:autoSpaceDE/>
              <w:autoSpaceDN/>
              <w:bidi w:val="0"/>
              <w:adjustRightInd w:val="0"/>
              <w:snapToGrid w:val="0"/>
              <w:ind w:firstLine="560"/>
              <w:jc w:val="left"/>
              <w:textAlignment w:val="auto"/>
              <w:rPr>
                <w:rFonts w:ascii="Times New Roman" w:hAnsi="Times New Roman" w:cs="Times New Roman"/>
                <w:sz w:val="28"/>
                <w:szCs w:val="28"/>
              </w:rPr>
            </w:pPr>
            <w:r>
              <w:rPr>
                <w:rFonts w:ascii="Times New Roman" w:hAnsi="Times New Roman" w:cs="Times New Roman"/>
                <w:sz w:val="28"/>
                <w:szCs w:val="28"/>
              </w:rPr>
              <w:t>4. 该项目总经费为6万元，其中财政经费3万元，单位自筹3万元，实际经费支出 4.83万元，结余经费用于后期研究，经费使用基本合理、规范。</w:t>
            </w:r>
          </w:p>
          <w:p>
            <w:pPr>
              <w:keepNext w:val="0"/>
              <w:keepLines w:val="0"/>
              <w:pageBreakBefore w:val="0"/>
              <w:widowControl w:val="0"/>
              <w:kinsoku/>
              <w:wordWrap/>
              <w:overflowPunct/>
              <w:topLinePunct w:val="0"/>
              <w:autoSpaceDE/>
              <w:autoSpaceDN/>
              <w:bidi w:val="0"/>
              <w:adjustRightInd w:val="0"/>
              <w:snapToGrid w:val="0"/>
              <w:ind w:firstLine="560"/>
              <w:jc w:val="left"/>
              <w:textAlignment w:val="auto"/>
              <w:rPr>
                <w:rFonts w:ascii="Times New Roman" w:hAnsi="Times New Roman" w:cs="Times New Roman"/>
                <w:sz w:val="28"/>
                <w:szCs w:val="28"/>
              </w:rPr>
            </w:pPr>
            <w:r>
              <w:rPr>
                <w:rFonts w:ascii="Times New Roman" w:hAnsi="Times New Roman" w:cs="Times New Roman"/>
                <w:sz w:val="28"/>
                <w:szCs w:val="28"/>
              </w:rPr>
              <w:t>验收组认为，该项目基本完成了项目任务书规定的主要内容和任务，同意通过验收。</w:t>
            </w:r>
          </w:p>
        </w:tc>
      </w:tr>
    </w:tbl>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AE0"/>
    <w:rsid w:val="000F71B3"/>
    <w:rsid w:val="001242DC"/>
    <w:rsid w:val="00257F26"/>
    <w:rsid w:val="003263E8"/>
    <w:rsid w:val="003A541C"/>
    <w:rsid w:val="003F0AE0"/>
    <w:rsid w:val="004074D1"/>
    <w:rsid w:val="006B25CF"/>
    <w:rsid w:val="007A0B7C"/>
    <w:rsid w:val="007E0E78"/>
    <w:rsid w:val="009D0D17"/>
    <w:rsid w:val="00BD08E6"/>
    <w:rsid w:val="00C161C5"/>
    <w:rsid w:val="00FC005F"/>
    <w:rsid w:val="E1D3A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117</Words>
  <Characters>668</Characters>
  <Lines>5</Lines>
  <Paragraphs>1</Paragraphs>
  <TotalTime>34</TotalTime>
  <ScaleCrop>false</ScaleCrop>
  <LinksUpToDate>false</LinksUpToDate>
  <CharactersWithSpaces>784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huzhou</cp:lastModifiedBy>
  <dcterms:modified xsi:type="dcterms:W3CDTF">2023-04-14T13:53:38Z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