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附件1</w:t>
      </w:r>
    </w:p>
    <w:p>
      <w:pPr>
        <w:jc w:val="center"/>
        <w:rPr>
          <w:rFonts w:hint="eastAsia" w:ascii="Times New Roman" w:hAnsi="Times New Roman" w:eastAsia="仿宋_GB2312"/>
          <w:sz w:val="32"/>
          <w:szCs w:val="32"/>
        </w:rPr>
      </w:pPr>
      <w:r>
        <w:rPr>
          <w:rFonts w:hint="eastAsia" w:ascii="方正小标宋简体" w:hAnsi="方正小标宋简体" w:eastAsia="方正小标宋简体" w:cs="方正小标宋简体"/>
          <w:sz w:val="32"/>
          <w:szCs w:val="32"/>
          <w:lang w:val="en-US" w:eastAsia="zh-CN"/>
        </w:rPr>
        <w:t>验收项目清单</w:t>
      </w:r>
    </w:p>
    <w:tbl>
      <w:tblPr>
        <w:tblStyle w:val="5"/>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4815"/>
        <w:gridCol w:w="3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高性能前移式叉车的研发及产业化</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诺力智能装备股份有限公司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2-中药组方与洛匹那韦利托那韦联用治疗新型冠状病毒肺炎时潜在药物相互作用与体外肝微粒体代谢模型的研究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长兴县人民医院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rPr>
                <w:rFonts w:hint="eastAsia" w:ascii="宋体" w:hAnsi="宋体" w:eastAsia="宋体" w:cs="宋体"/>
                <w:i w:val="0"/>
                <w:color w:val="auto"/>
                <w:sz w:val="24"/>
                <w:szCs w:val="24"/>
                <w:u w:val="none"/>
              </w:rPr>
            </w:pPr>
            <w:r>
              <w:rPr>
                <w:rFonts w:hint="eastAsia"/>
                <w:color w:val="auto"/>
              </w:rPr>
              <w:t>规范化肠内营养对COPD机械通气患者预后的研究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rPr>
                <w:rFonts w:hint="eastAsia" w:ascii="宋体" w:hAnsi="宋体" w:eastAsia="宋体" w:cs="宋体"/>
                <w:i w:val="0"/>
                <w:color w:val="auto"/>
                <w:sz w:val="24"/>
                <w:szCs w:val="24"/>
                <w:u w:val="none"/>
              </w:rPr>
            </w:pPr>
            <w:r>
              <w:rPr>
                <w:rFonts w:hint="eastAsia"/>
                <w:color w:val="auto"/>
              </w:rPr>
              <w:t>EMMPRIN基因甲基化调控头颈鳞癌化疗耐药机制的实验研究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rPr>
                <w:rFonts w:hint="eastAsia" w:ascii="宋体" w:hAnsi="宋体" w:eastAsia="宋体" w:cs="宋体"/>
                <w:i w:val="0"/>
                <w:color w:val="auto"/>
                <w:sz w:val="24"/>
                <w:szCs w:val="24"/>
                <w:u w:val="none"/>
              </w:rPr>
            </w:pPr>
            <w:r>
              <w:rPr>
                <w:rFonts w:hint="eastAsia"/>
                <w:color w:val="auto"/>
              </w:rPr>
              <w:t>紫外线光功能化二氧化钛纳米管表面改性对糖尿病种植体骨结合的影响</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绝经后骨质疏松性胸腰椎骨折PKP术后再骨折与肌力、体脂含量及骨密度等指标相关性研究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P2Y12相关miRNAs调控冠心病PCI术后血小板反应性的研究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FF0000"/>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油蔬两用型油菜新品种筛选及生态高产栽培技术研究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FF0000"/>
                <w:sz w:val="24"/>
                <w:szCs w:val="24"/>
                <w:u w:val="none"/>
              </w:rPr>
            </w:pPr>
            <w:r>
              <w:rPr>
                <w:rFonts w:hint="eastAsia" w:asciiTheme="minorHAnsi" w:hAnsiTheme="minorHAnsi" w:eastAsiaTheme="minorEastAsia" w:cstheme="minorBidi"/>
                <w:color w:val="auto"/>
                <w:kern w:val="0"/>
                <w:sz w:val="24"/>
                <w:szCs w:val="22"/>
                <w:lang w:val="en-US" w:eastAsia="zh-CN" w:bidi="ar"/>
              </w:rPr>
              <w:t>湖州市农业</w:t>
            </w:r>
            <w:r>
              <w:rPr>
                <w:rFonts w:hint="eastAsia" w:cstheme="minorBidi"/>
                <w:color w:val="auto"/>
                <w:kern w:val="0"/>
                <w:sz w:val="24"/>
                <w:szCs w:val="22"/>
                <w:lang w:val="en-US" w:eastAsia="zh-CN" w:bidi="ar"/>
              </w:rPr>
              <w:t>科技发展中心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湖州地区食源性腹泻病原谱分布特征研究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动脉-静脉血糖代谢率与脓毒性休克患者预后相关性研究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before="0" w:beforeAutospacing="0" w:after="0" w:afterAutospacing="0"/>
              <w:ind w:left="0" w:right="0" w:firstLine="0"/>
              <w:rPr>
                <w:rFonts w:hint="eastAsia" w:asciiTheme="minorHAnsi" w:hAnsiTheme="minorHAnsi" w:eastAsiaTheme="minorEastAsia" w:cstheme="minorBidi"/>
                <w:color w:val="auto"/>
                <w:kern w:val="0"/>
                <w:sz w:val="24"/>
                <w:szCs w:val="22"/>
                <w:lang w:val="en-US" w:eastAsia="zh-CN" w:bidi="ar"/>
              </w:rPr>
            </w:pPr>
            <w:r>
              <w:rPr>
                <w:color w:val="auto"/>
              </w:rPr>
              <w:t>阴道镜检查在可疑宫颈病变中的应用</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德清县人民医院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大功率小筒径移动破专用电动滚筒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湖州电动滚筒有限公司</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color w:val="auto"/>
                <w:kern w:val="0"/>
                <w:sz w:val="24"/>
                <w:szCs w:val="22"/>
                <w:lang w:val="en-US" w:eastAsia="zh-CN" w:bidi="ar"/>
              </w:rPr>
            </w:pPr>
            <w:r>
              <w:rPr>
                <w:rFonts w:hint="eastAsia" w:asciiTheme="minorHAnsi" w:hAnsiTheme="minorHAnsi" w:eastAsiaTheme="minorEastAsia" w:cstheme="minorBidi"/>
                <w:color w:val="auto"/>
                <w:kern w:val="0"/>
                <w:sz w:val="24"/>
                <w:szCs w:val="22"/>
                <w:lang w:val="en-US" w:eastAsia="zh-CN" w:bidi="ar"/>
              </w:rPr>
              <w:t>企业设备在线实时诊断与全生命周期健康管理系统研发及应用</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中科台达（浙江）信息技术有限公司</w:t>
            </w:r>
          </w:p>
        </w:tc>
      </w:tr>
    </w:tbl>
    <w:p>
      <w:pPr>
        <w:rPr>
          <w:rFonts w:hint="eastAsia"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AF"/>
    <w:rsid w:val="00073DB4"/>
    <w:rsid w:val="003A7BAF"/>
    <w:rsid w:val="0047396E"/>
    <w:rsid w:val="004A35D7"/>
    <w:rsid w:val="00601850"/>
    <w:rsid w:val="00684239"/>
    <w:rsid w:val="008B40C2"/>
    <w:rsid w:val="009462D9"/>
    <w:rsid w:val="00A17D5D"/>
    <w:rsid w:val="00B546B8"/>
    <w:rsid w:val="00BD08D9"/>
    <w:rsid w:val="00C621A9"/>
    <w:rsid w:val="00C9037E"/>
    <w:rsid w:val="00CC098C"/>
    <w:rsid w:val="00CD5AC0"/>
    <w:rsid w:val="00D66A19"/>
    <w:rsid w:val="00D70A5E"/>
    <w:rsid w:val="00FE54C2"/>
    <w:rsid w:val="2FE177F2"/>
    <w:rsid w:val="301D0DA9"/>
    <w:rsid w:val="3493DFA4"/>
    <w:rsid w:val="37BFFCB2"/>
    <w:rsid w:val="39BFF545"/>
    <w:rsid w:val="3B7FC260"/>
    <w:rsid w:val="4F3FF15C"/>
    <w:rsid w:val="57FB7950"/>
    <w:rsid w:val="59B4D88A"/>
    <w:rsid w:val="5BEB0DB5"/>
    <w:rsid w:val="5BFFBA47"/>
    <w:rsid w:val="5EEFD160"/>
    <w:rsid w:val="5EFC1722"/>
    <w:rsid w:val="5F7D77F6"/>
    <w:rsid w:val="5FCA0C7F"/>
    <w:rsid w:val="5FED9FF1"/>
    <w:rsid w:val="5FFEA638"/>
    <w:rsid w:val="6F5F81DB"/>
    <w:rsid w:val="71EAFB70"/>
    <w:rsid w:val="77F79661"/>
    <w:rsid w:val="79D76B75"/>
    <w:rsid w:val="7A6F7F11"/>
    <w:rsid w:val="7BBD3F21"/>
    <w:rsid w:val="7BEE1EFA"/>
    <w:rsid w:val="7BEF8EE7"/>
    <w:rsid w:val="7DE7DA1D"/>
    <w:rsid w:val="7EFFC9E5"/>
    <w:rsid w:val="7F6C0FF2"/>
    <w:rsid w:val="7F7D2FDC"/>
    <w:rsid w:val="7FAA1DAD"/>
    <w:rsid w:val="7FDF58D4"/>
    <w:rsid w:val="9E4F3540"/>
    <w:rsid w:val="BD7FFE2C"/>
    <w:rsid w:val="BE69C6A4"/>
    <w:rsid w:val="BEFDBF25"/>
    <w:rsid w:val="BFB6ECE8"/>
    <w:rsid w:val="BFBA772D"/>
    <w:rsid w:val="BFFF82D7"/>
    <w:rsid w:val="DB6BDFF2"/>
    <w:rsid w:val="DDBD9DDD"/>
    <w:rsid w:val="DEDF1006"/>
    <w:rsid w:val="DFAEC271"/>
    <w:rsid w:val="E3D978A1"/>
    <w:rsid w:val="E7FFF45B"/>
    <w:rsid w:val="EADAAE04"/>
    <w:rsid w:val="EC66872E"/>
    <w:rsid w:val="ECF207DC"/>
    <w:rsid w:val="EDDB1CE1"/>
    <w:rsid w:val="EF7743E2"/>
    <w:rsid w:val="F17B119C"/>
    <w:rsid w:val="F55A52B5"/>
    <w:rsid w:val="F7772FD3"/>
    <w:rsid w:val="F85B3C4E"/>
    <w:rsid w:val="FCCF6A1C"/>
    <w:rsid w:val="FEDF6478"/>
    <w:rsid w:val="FF3E9399"/>
    <w:rsid w:val="FFFB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458</Characters>
  <Lines>3</Lines>
  <Paragraphs>1</Paragraphs>
  <TotalTime>0</TotalTime>
  <ScaleCrop>false</ScaleCrop>
  <LinksUpToDate>false</LinksUpToDate>
  <CharactersWithSpaces>537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2021-01-05T06:12:00Z</dcterms:created>
  <dc:creator>Administrator</dc:creator>
  <cp:lastModifiedBy>huzhou</cp:lastModifiedBy>
  <cp:lastPrinted>2021-01-05T06:23:00Z</cp:lastPrinted>
  <dcterms:modified xsi:type="dcterms:W3CDTF">2023-07-21T16:47:16Z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