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24" w:lineRule="auto"/>
        <w:rPr>
          <w:rFonts w:ascii="黑体" w:hAnsi="黑体" w:eastAsia="黑体"/>
          <w:bCs/>
          <w:snapToGrid w:val="0"/>
        </w:rPr>
      </w:pPr>
      <w:r>
        <w:rPr>
          <w:rFonts w:hint="eastAsia" w:ascii="黑体" w:hAnsi="黑体" w:eastAsia="黑体"/>
          <w:bCs/>
          <w:snapToGrid w:val="0"/>
        </w:rPr>
        <w:t>附件1</w:t>
      </w:r>
    </w:p>
    <w:p>
      <w:pPr>
        <w:overflowPunct w:val="0"/>
        <w:adjustRightInd w:val="0"/>
        <w:spacing w:line="240" w:lineRule="auto"/>
        <w:rPr>
          <w:rFonts w:ascii="仿宋_GB2312"/>
          <w:bCs/>
          <w:snapToGrid w:val="0"/>
          <w:sz w:val="13"/>
          <w:szCs w:val="13"/>
        </w:rPr>
      </w:pPr>
    </w:p>
    <w:p>
      <w:pPr>
        <w:overflowPunct w:val="0"/>
        <w:adjustRightInd w:val="0"/>
        <w:spacing w:line="288" w:lineRule="auto"/>
        <w:jc w:val="center"/>
        <w:rPr>
          <w:rFonts w:ascii="方正小标宋简体" w:eastAsia="方正小标宋简体"/>
          <w:bCs/>
          <w:snapToGrid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sz w:val="44"/>
          <w:szCs w:val="44"/>
        </w:rPr>
        <w:t>“浙里康养”长兴体系架构图（2.0版本）</w:t>
      </w:r>
    </w:p>
    <w:p>
      <w:pPr>
        <w:overflowPunct w:val="0"/>
        <w:adjustRightInd w:val="0"/>
        <w:spacing w:line="240" w:lineRule="auto"/>
        <w:rPr>
          <w:rFonts w:ascii="仿宋_GB2312"/>
          <w:bCs/>
          <w:snapToGrid w:val="0"/>
          <w:sz w:val="21"/>
          <w:szCs w:val="21"/>
        </w:rPr>
      </w:pPr>
      <w:r>
        <w:rPr>
          <w:rFonts w:ascii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-2540</wp:posOffset>
            </wp:positionV>
            <wp:extent cx="8027670" cy="45154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67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  <w:sectPr>
          <w:footerReference r:id="rId5" w:type="default"/>
          <w:footerReference r:id="rId6" w:type="even"/>
          <w:pgSz w:w="16838" w:h="11906" w:orient="landscape"/>
          <w:pgMar w:top="1531" w:right="2098" w:bottom="1531" w:left="2098" w:header="851" w:footer="1304" w:gutter="0"/>
          <w:cols w:space="720" w:num="1"/>
          <w:docGrid w:linePitch="632" w:charSpace="-1065"/>
        </w:sectPr>
      </w:pPr>
    </w:p>
    <w:p>
      <w:pPr>
        <w:overflowPunct w:val="0"/>
        <w:adjustRightInd w:val="0"/>
        <w:spacing w:line="324" w:lineRule="auto"/>
        <w:rPr>
          <w:rFonts w:ascii="黑体" w:hAnsi="黑体" w:eastAsia="黑体"/>
          <w:bCs/>
          <w:snapToGrid w:val="0"/>
        </w:rPr>
      </w:pPr>
      <w:r>
        <w:rPr>
          <w:rFonts w:hint="eastAsia" w:ascii="黑体" w:hAnsi="黑体" w:eastAsia="黑体"/>
          <w:bCs/>
          <w:snapToGrid w:val="0"/>
        </w:rPr>
        <w:t>附件2</w:t>
      </w: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288" w:lineRule="auto"/>
        <w:jc w:val="center"/>
        <w:rPr>
          <w:rFonts w:ascii="方正小标宋简体" w:eastAsia="方正小标宋简体"/>
          <w:snapToGrid w:val="0"/>
          <w:sz w:val="28"/>
          <w:szCs w:val="28"/>
        </w:rPr>
      </w:pPr>
      <w:r>
        <w:rPr>
          <w:rFonts w:hint="eastAsia" w:ascii="方正小标宋简体" w:eastAsia="方正小标宋简体"/>
          <w:bCs/>
          <w:snapToGrid w:val="0"/>
          <w:sz w:val="44"/>
          <w:szCs w:val="44"/>
        </w:rPr>
        <w:t>“浙里康养”长兴专班成员名单</w:t>
      </w:r>
    </w:p>
    <w:p>
      <w:pPr>
        <w:overflowPunct w:val="0"/>
        <w:adjustRightInd w:val="0"/>
        <w:spacing w:line="324" w:lineRule="auto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pacing w:line="324" w:lineRule="auto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组  长：吴秋景（县政府）</w:t>
      </w:r>
    </w:p>
    <w:p>
      <w:pPr>
        <w:overflowPunct w:val="0"/>
        <w:adjustRightInd w:val="0"/>
        <w:spacing w:line="324" w:lineRule="auto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副组长：王  瑛（县政府办）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沈自强（县民政局）</w:t>
      </w:r>
    </w:p>
    <w:p>
      <w:pPr>
        <w:overflowPunct w:val="0"/>
        <w:adjustRightInd w:val="0"/>
        <w:spacing w:line="324" w:lineRule="auto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黄方成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（县委宣传部）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吴宏伟（县委组织部）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顾新强（县残联）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朱  磊（县委社建委）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白  杨（县经信局）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吴建勇（县财政局）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吴利功（县公安局）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毛煜庆（县建设局）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朱轶凡（县商务局）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朱宝成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（县人力社保局）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余玲燕（县民政局）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王世红（县卫生健康局）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钱云花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（县教育局）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史志钢（县文广旅体局）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冯  伟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（县统计局）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王  敏（县市场监管局）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王月花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（县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医疗保障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叶  月（县大数据局）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计林红（县自然资源和规划局）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王卫东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长兴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城投集团）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殷满林（县慈善总会）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沈  华（洪桥镇）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钟小丰（李家巷镇）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汪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上兴（夹浦镇）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赵  军（泗安镇）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苏  博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（虹星桥镇）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吴志年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（和平镇）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杨海豹（林城镇）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孙谢辉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（小浦镇）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金永勇（煤山镇）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张  勇（水口乡）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孙慧勇（吕山乡）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蔡  震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（龙山街道）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李  雷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（画溪街道）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王阳明（雉城街道）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周  鑫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（太湖街道）</w:t>
      </w:r>
    </w:p>
    <w:p>
      <w:pPr>
        <w:overflowPunct w:val="0"/>
        <w:adjustRightInd w:val="0"/>
        <w:spacing w:line="324" w:lineRule="auto"/>
        <w:ind w:firstLine="1920" w:firstLineChars="6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许  敏（太湖图影旅游度假区）</w:t>
      </w:r>
    </w:p>
    <w:p>
      <w:pPr>
        <w:overflowPunct w:val="0"/>
        <w:adjustRightInd w:val="0"/>
        <w:spacing w:line="324" w:lineRule="auto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“浙里康养”长兴专班下设专班工作办公室和社会保障体系组、养老服务体系组、健康支持体系组、老龄产业发展组、老年友好社会组5个专项工作组，专班工作办公室设在县民政局，由县民政局、人力社保局、卫生健康局、医疗保障局人员组成。以上成员如有变动，由所在单位接任人员自然更替。</w:t>
      </w:r>
    </w:p>
    <w:p>
      <w:pPr>
        <w:overflowPunct w:val="0"/>
        <w:adjustRightInd w:val="0"/>
        <w:spacing w:line="324" w:lineRule="auto"/>
        <w:ind w:firstLine="640" w:firstLineChars="20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“浙里康养”长兴专班不刻制印章，不对外正式行文。</w:t>
      </w: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rPr>
          <w:rFonts w:ascii="黑体" w:hAnsi="黑体" w:eastAsia="黑体"/>
          <w:bCs/>
          <w:snapToGrid w:val="0"/>
        </w:rPr>
        <w:sectPr>
          <w:pgSz w:w="11906" w:h="16838"/>
          <w:pgMar w:top="2098" w:right="1531" w:bottom="2098" w:left="1531" w:header="851" w:footer="1304" w:gutter="0"/>
          <w:cols w:space="720" w:num="1"/>
          <w:docGrid w:linePitch="632" w:charSpace="-1065"/>
        </w:sectPr>
      </w:pPr>
    </w:p>
    <w:p>
      <w:pPr>
        <w:overflowPunct w:val="0"/>
        <w:adjustRightInd w:val="0"/>
        <w:spacing w:line="324" w:lineRule="auto"/>
        <w:rPr>
          <w:rFonts w:ascii="黑体" w:hAnsi="黑体" w:eastAsia="黑体"/>
          <w:bCs/>
          <w:snapToGrid w:val="0"/>
        </w:rPr>
      </w:pPr>
      <w:r>
        <w:rPr>
          <w:rFonts w:hint="eastAsia" w:ascii="黑体" w:hAnsi="黑体" w:eastAsia="黑体"/>
          <w:bCs/>
          <w:snapToGrid w:val="0"/>
        </w:rPr>
        <w:t>附件3</w:t>
      </w: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288" w:lineRule="auto"/>
        <w:jc w:val="center"/>
        <w:rPr>
          <w:rFonts w:ascii="方正小标宋简体" w:eastAsia="方正小标宋简体"/>
          <w:snapToGrid w:val="0"/>
          <w:sz w:val="28"/>
          <w:szCs w:val="28"/>
        </w:rPr>
      </w:pPr>
      <w:r>
        <w:rPr>
          <w:rFonts w:hint="eastAsia" w:ascii="方正小标宋简体" w:eastAsia="方正小标宋简体"/>
          <w:bCs/>
          <w:snapToGrid w:val="0"/>
          <w:sz w:val="44"/>
          <w:szCs w:val="44"/>
        </w:rPr>
        <w:t>“浙里康养”长兴方案2022—2025年任务分解表</w:t>
      </w: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tbl>
      <w:tblPr>
        <w:tblStyle w:val="11"/>
        <w:tblW w:w="54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62"/>
        <w:gridCol w:w="1124"/>
        <w:gridCol w:w="1696"/>
        <w:gridCol w:w="1679"/>
        <w:gridCol w:w="1721"/>
        <w:gridCol w:w="1738"/>
        <w:gridCol w:w="1245"/>
        <w:gridCol w:w="1685"/>
        <w:gridCol w:w="757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3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任务清单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2022年任务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2023年任务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2024年任务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2025年任务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配合单位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18"/>
                <w:szCs w:val="1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打造具有“富美长兴”温度的养老服务品牌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制定长兴特有养老服务需求清单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完成全县16.35万老年人自理能力评估，建立定期探访关爱机制。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开展老年人家庭收入、支出、养老服务需求等调查，制定精准的基本养老服务清单。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根据基本养老服务清单，完善服务政策。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围绕老年人需求，全面开展精准养老服务。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县财政局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县人力社保局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县发改局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开展长期照护保障模式试点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根据省、市统一布置要求开展长期护理保险工作。出台长期照护保障试点文件，完善相关配套政策。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根据省、市统一布置要求开展长期护理险工作。梳理全县涉老补贴，规划补贴内容和范围，形成统一规范的养老服务补助政策。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根据省、市统一布置要求开展长期护理险工作。建立高龄失能老人养老服务补贴政策。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根据省、市统一布置要求开展长期护理险工作。在全县推广“爱心卡”服务模式。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县财政局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县人力社保局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县医疗保障局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县残联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县慈善总会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推进社区认知障碍照护试点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开展认知障碍照护专员培训，在居家养老服务中心中确定一个试点社区并实体运营。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出台试点方案，开展认知障碍社区筛查，推进认知障碍照护社区试点创建。成立认知障碍照护研究中心。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制定社区认知障碍照护服务规范，定期开展认知障碍照护研究，编制《认知症友好社区建设指南》。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社区居家养老服务中心工作人员持有认知障碍照护专业证书达到50%，培育10个认知障碍专业社区。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打造具有“富美长兴”温度的养老服务品牌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构筑“五社联动”的社区养老综合体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建成社区养老综合体1家，2家养老机构配有专职社工人员。培育3A社会组织1家，每万老年人口拥有社会工作者100人。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成立社区发展基金会，开展公益创投，建设社区养老综合体2家；将为老惠老公益项目作为重点扶持项目，实现公益创投项目中养老服务类项目不少于20%。每万老年人口拥有社会工作者110人。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建立养老服务机构派驻专业社工机制，50%的养老机构有专业社工派驻指导。“五社联动”的社区养老综合体达到4家，培育3A养老服务机构1家、品牌社会组织1家。每万老年人口拥有社会工作者115人。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“五社联动”的社区养老综合体达到5家，实现100%的养老机构有专业社工派驻指导。每万老年人口拥有社会工作者120人。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县委宣传部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林  健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曹建民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实施养老管家服务制度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会同县咨询委开展养老管家制度调研，形成调研报告。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出台养老管家实施方案，启动养老管家试点，会同有关部门开展涉老业务培训。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在全县养老服务机构全面实施养老管家服务制度，实现养老管家服务全覆盖；建立养老管家常态化培训制度，开展金牌养老服务管家评选。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在全县乡镇（街道、园区）和村（社区）党群服务中心、涉老服务窗口推广养老管家制度，建立县、乡镇、社区、机构四级养老管家服务体系。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各乡镇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（街道、园区）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推进家庭养老床位建设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完成全县老年人自理能力评估，掌握全县失能失智老人基数。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出台家庭养老床位实施办法，启动家庭养老床位改造试点。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整合适老化改造、家庭责任医生签约服务、护理上门服务、政府购买居家养老服务、老年人需求评估等政策，完善家庭养老康住制度。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建立家庭养老床位常态化申报、建设和服务制度，确保符合对象愿建尽建。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县大数据局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打造具有“富美长兴”温度的养老服务品牌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推行老年人数字健康服务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完成全县5.6万老年人“两慢病”人群健康指数；完成4个未来社区（乡村）“健康银行”；完成2个未来社区运动处方、膳食处方等数字化应用。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完成新增老年人健康指数，完成16个乡镇（街道、园区）“健康银行”覆盖；完成新增未来社区运动处方、膳食</w:t>
            </w:r>
            <w:r>
              <w:rPr>
                <w:rFonts w:hint="eastAsia" w:ascii="仿宋_GB2312"/>
                <w:snapToGrid w:val="0"/>
                <w:color w:val="000000" w:themeColor="text1"/>
                <w:spacing w:val="-5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处方应用，与民政养老系统实现数据贯通。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完成全县90%以上老年人区域健康画像；完成新增未来社区运动处方、膳食处方应用，探索与民政养老系统业务协同。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完成全县95%以上老年人区域健康画像；完成新增未来社区运动处方、膳食处方应用，实现医康养融合。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县大数据局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许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全力实施“健康银行”建设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出台“健康银行”建设方案，完成“健康银行”运营系统搭建，建立健康资产兑付机制，基本建成个人健康资产体系，“健康银行”网点新增至17个。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“健康银行”运营系统和健康资产兑付机制进一步迭代完善，建成个人健康资产体系，健康积分兑换点行政村（社区）覆盖率达到30%。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“健康银行”健康积分兑换点行政村（社区）覆盖率达到60%。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“健康银行”健康积分兑换点行政村（社区）覆盖率达到100%。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县文广旅体局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县大数据局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郑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提升农村居家养老服务网络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改革居家养老服务中心考核办法，建立居家养老服务中心设施评定、运营评估办法；提供居家养老服务中心运营补贴，新建5家农村区域型居家养老服务中心。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新增农村区域型居家养老服务中心5家，推进农村居家养老服务中心设施和设备提升。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新增农村区域型居家养老服务中心6家，继续推进农村居家养老服务中心设施和设备提升，培育农村社会组织2家。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实现30%的农村社区建有区域型养老服务中心，实现农村社区居家养老服务中心全覆盖。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0"/>
                <w:kern w:val="0"/>
                <w:sz w:val="18"/>
                <w:szCs w:val="18"/>
              </w:rPr>
              <w:t>县自然资源和规划局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实现具有“富美长兴”深度的标志性成果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实现康养联合体乡镇（街道、园区）全覆盖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创建2家省级层面康养联合体。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制定县级康养联合体创建办法，全面开展省市县康养联合体创建。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开展省市县级康养联合体申报，实现80%的乡镇（街道、园区）康养联合体覆盖。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开展省市县级康养联合体申报，实现100%的乡镇（街道、园区）康养联合体覆盖。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完善“一床一码”的普惠养老机构服务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编制养老服务设施布局规划，制定中心城区居家养老服务设施规划和方案；在全县养老机构启用“一床一码”，建立养老服务运营补贴监管制度。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完成养老服务设施布局规划编制和评审，新建城市社区居家养老服务中心5家。在康养联合体实施“一床一码”。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制订普惠型养老机构扶持政策，启动中心城区普惠型养老机构建设，新增普惠型养老机构床位200张。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推进普惠型养老机构建设，新增普惠型养老机构床位100张，实现全县养老机构、康养联合体、家庭养老床位“一床一码”全覆盖。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县发改局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0"/>
                <w:kern w:val="0"/>
                <w:sz w:val="18"/>
                <w:szCs w:val="18"/>
              </w:rPr>
              <w:t>县自然资源和规划局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县财政局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长兴城投集团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促进人人享有养老保障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企业职工基本养老保险净增参保1万人。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企业职工基本养老保险净增参保0.8万人。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企业职工基本养老保险净增参保0.6万人。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企业职工基本养老保险净增参保0.6万人。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朱宝成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徐丰丰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实现医疗保险人人享有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基本医保参保率（户籍）达到99%以上。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基本医保参保率（户籍）达到99.5%以上。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基本医保参保率（户籍）保持99.5%以上。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基本医保参保率（户籍）保持99.5%以上。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县医疗保障局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姚丰球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张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推进人均预期寿命居全市前列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规范开展死亡信息登记管理工作，准确收集2022年死亡和人口数据，测算我县2022年人均预期寿命。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规范开展死亡信息登记管理工作，准确收集2023年死亡和人口数据，测算我县2023年人均预期寿命。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规范开展死亡信息登记管理工作，准确收集2024年死亡和人口数据，测算我县2024年人均预期寿命。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18"/>
                <w:szCs w:val="18"/>
              </w:rPr>
              <w:t>规范开展死亡信息登记管理工作，准确收集2025年死亡和人口数据，测算我县2025年人均预期寿命。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县公安局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邵  斌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唐昊翔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实现具有“富美长兴”深度的标志性成果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建立城乡同标同质免费健康体检制度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出台《长兴县2022年城乡居民基本医疗保险参保人员健康体检实施方案》，完成老年人健康体检4万人。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制定年度实施方案，累计完成老年人健康体检8万人次。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制定年度实施方案，累计完成老年人健康体检12万人次。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制定年度实施方案，累计完成老年人健康体检16万人次。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县财政局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许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提升老年人中医药健康服务能力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中医医院设置“治未病”科室，开设老年医学科。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培训推广中医适宜技术，提升中医药特色服务能力。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中医医院设置康复（医学）科。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65岁及以上老年人中医药健康管理率达到75%以上。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积极开展安宁疗护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确定安宁疗护病区试点单位，并启动建设。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完成建设安宁疗护病区床位10张。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按照省级标准正常投入运行。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在试点基础上进行全县精准推广布局。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提升老年大学入学率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老年大学（学堂）入学人数达到老年人口占比的10%。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老年大学（学堂）入学人数达到老年人口占比的11%。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老年大学（学堂）入学人数达到老年人口占比的12%。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老年大学（学堂）入学人数达到老年人口占比的13%。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县教育局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佘海艳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廖芳芳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促进老年学校全覆盖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县级老年大学全覆盖，乡镇（街道、园区）老年学校覆盖率达到80%。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乡镇（街道、园区）老年学校全覆盖。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乡镇（街道、园区）老年学校全覆盖。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乡镇（街道、园区）老年学校全覆盖。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县教育局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佘海艳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廖芳芳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实现具有“富美长兴”深度的标志性成果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建立老年人就业创业体系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通过创业培训等手段，整合相关产业技术政策，鼓励引导老年人依托个人技术、资源等要素实现创业，年新增创业主体500个；建立适合老年人就业的岗位收集发布机制，增加老年人再就业渠道。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通过创业培训等手段，整合相关产业技术政策，鼓励引导老年人依托个人技术、资源等要素实现创业，年新增创业主体550个；建立适合老年人就业的岗位收集发布机制，增加老年人再就业渠道。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通过创业培训等手段，整合相关产业技术政策，鼓励引导老年人依托个人技术、资源等要素实现创业，年新增创业主体600个；建立适合老年人就业的岗位收集发布机制，增加老年人再就业渠道。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通过创业培训等手段，整合相关产业技术政策，鼓励引导老年人依托个人技术、资源等要素实现创业，年新增创业主体650个；建立适合老年人就业的岗位收集发布机制，增加老年人再就业渠道。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静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赵永华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探索“时间银行”长兴模式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制定并下发《长兴县志愿者激励嘉许办法》，开展志愿者星级评定，为“时间银行”志愿服务打好激励保障实施基础。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在《长兴县志愿者激励嘉许办法》继续实施的基础上，增设“时间银行”志愿板块，在有条件的乡镇（街道、园区）开展“时间银行”志愿服务试点工作。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全县推广实施“时间银行”志愿服务，开展“时间银行”志愿服务者星级评定管理办法。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优化文明实践志愿者服务数字平台，打通省市数字化志愿服务平台，扩大志愿服务优惠福利兑换范围和力度。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县委宣传部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黄方成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鲁昊雯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倡导“银龄行动”志愿服务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积极动员老同志参与“银龄行动”活动，做好省市级有关典型评选工作。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常态化开展“银龄行动”活动，加大志愿服务团队等挖掘培育力度，做好省市级有关典型评选工作。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健全完善“银龄行动”相关制度，做好银龄志愿者等培育，营造“银龄互助”浓厚氛围。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加强优秀典型选树，实现老干部志愿团队达到60个，志愿者达到3500人的目标任务。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吴宏伟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姚文帅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实现具有“富美长兴”深度的标志性成果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创建示范性老年友好型社区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入选全国示范性老年友好型社区1个。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力争入选全国示范性老年友好型社区1个以上。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力争入选全国示范性老年友好型社区1个以上。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力争入选全国示范性老年友好型社区1个以上。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县委宣传部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王世红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俞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提升老年人体育公共服务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建成村级全民健身广场1个、门球场1个；开展全民健身公益培训5场，举办乡村门球赛、举办夕阳红运动会。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建成村级全民健身广场1个、门球场1个；开展全民健身公益培训5场，举办乡村门球赛、举办夕阳红运动会。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建成村级全民健身广场1个、门球场1个；开展全民健身公益培训5场，举办乡村门球赛、举办夕阳红运动会。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建成村级全民健身广场1个、门球场1个；开展全民健身公益培训5场，举办乡村门球赛、举办夕阳红运动会。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县文广旅体局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陈新国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武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推进老年人文化和旅游公共服务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建成“15 分钟品质文化生活圈”90个，城市书房3个，文化驿站4个，乡村博物馆16家；举办针对老年人的健康知识书展1场，举办老年人阅读活动1场。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做好已建城市书房、文化驿站、乡村博物馆运行维护工作并正常开放，新建乡村博物馆8家；开展阅读等公共文化活动；举办</w:t>
            </w:r>
            <w:r>
              <w:rPr>
                <w:rFonts w:hint="eastAsia" w:ascii="仿宋_GB2312"/>
                <w:color w:val="000000"/>
                <w:spacing w:val="-5"/>
                <w:kern w:val="0"/>
                <w:sz w:val="18"/>
                <w:szCs w:val="18"/>
              </w:rPr>
              <w:t>针对老年人的书画展览1场，举办老年人阅读活动1场。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做好已建城市书房、文化驿站、乡村博物馆运行维护工作并正常开放，新建乡村博物馆8家；开展阅读等公</w:t>
            </w:r>
            <w:r>
              <w:rPr>
                <w:rFonts w:hint="eastAsia" w:ascii="仿宋_GB2312"/>
                <w:color w:val="000000"/>
                <w:spacing w:val="-5"/>
                <w:kern w:val="0"/>
                <w:sz w:val="18"/>
                <w:szCs w:val="18"/>
              </w:rPr>
              <w:t>共文化活动；举办针对老年人的健康知识书展1场，举办老年人阅读活动1场。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累计建成“15 分钟品质文化生活圈”200个左右，文旅驿站10个左右，新建乡村博物馆8家；举办针对老年人的书画展览1场，举办老年人阅读活动1场。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县文广旅体局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史志钢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赵鸿飞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推动企业职工养老保险提标扩面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加大养老保险政策宣传力度，推进企业职工养老保险提标扩面，实施企业职工基本养老保险全国统等政策。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制定完善灵活就业人员新业态从业人员参保缴费政策。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稳步实施程序居民基本养老保险基金省级管理制度。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8"/>
                <w:kern w:val="0"/>
                <w:sz w:val="18"/>
                <w:szCs w:val="18"/>
              </w:rPr>
              <w:t>进一步完善机关事业</w:t>
            </w:r>
            <w:r>
              <w:rPr>
                <w:rFonts w:hint="eastAsia" w:ascii="仿宋_GB2312"/>
                <w:color w:val="000000"/>
                <w:spacing w:val="-4"/>
                <w:kern w:val="0"/>
                <w:sz w:val="18"/>
                <w:szCs w:val="18"/>
              </w:rPr>
              <w:t>单位养老保险制度。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朱宝成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稳步提高城乡居保待遇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城乡居保待遇月平均水平力争达到417元/月。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城乡居保待遇月平均水平力争达到450元/月。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城乡居保待遇月平均水平力争达到486元/月。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城乡居保待遇月平均水平力争达到525元/月。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朱宝成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实现救助标准动态增长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12000元/人·年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13000元/人·年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14000元/人·年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15000元/人·年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县统计局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王  斌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杜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规范高龄津贴发放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提高城乡居民社会养老保险高龄老年人补贴标准，对部分高龄补贴对象进行补发。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落实高龄补贴标准，做到应发尽发。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落实高龄补贴标准，做到应发尽发。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落实高龄补贴标准，做到应发尽发。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县人力社保局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县财政局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深入推进党建引领养老服务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深化党建联建机制，加强阵地资源整合。结合在职党员进社区，实现机关在职党员进社区报到率达到96%。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7"/>
                <w:kern w:val="0"/>
                <w:sz w:val="18"/>
                <w:szCs w:val="18"/>
              </w:rPr>
              <w:t>开展在职党员进社区服务，创设“家园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帮帮团”，推动党员干部每年进入居住地开展助老服务至少1次。深入排摸养老行业情况，对符合建立党组织的建立党组织。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52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坚持党建引领，深入推动村（社区）与养老机构、社会组织、涉老企事业等党建联建，细化机关党员进社区服务要求，鼓励机关党员在社区或小区设立固定服务点或</w:t>
            </w:r>
            <w:r>
              <w:rPr>
                <w:rFonts w:hint="eastAsia" w:ascii="仿宋_GB2312"/>
                <w:color w:val="000000"/>
                <w:spacing w:val="-4"/>
                <w:kern w:val="0"/>
                <w:sz w:val="18"/>
                <w:szCs w:val="18"/>
              </w:rPr>
              <w:t>固定服务时间，提升服务养老工作水平。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将机关党员进社区志愿服务、日常管理等方面的优秀经验全面总结，形成制度；打造“党建+养老”优质党建自主品牌，并加强志愿服务、助老帮扶、养老康养党建子品牌建设。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县委宣传部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县文广旅体局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吴宏伟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姚文帅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推进服务供给一图可及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开发县养老服务平台，建立养老服务监督系统。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依托县养老服务平台，开发老年人养老服务需求热力图，掌握全县老年人养老服务需求。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开展老年人需求常态化评估，建立探访关爱与需求调查、能力评估与需求评估、数据分析与人工采集相结合的工作机制，梳理一批刚性、共性、高频需求事项，形成“需求、服务、政策”三张清单。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通过服务需求和智慧决策热力图，政府及其职能部门通过人群、设施、需求、供给多元图层嵌套叠加，实现科学精准直观决策。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县大数据局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提升养老护理员水平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出台《长兴县养老服务人才队伍建设激励办法》，提供养老护理员岗位津贴，开展新增养老护理员培训，每万名老人持证护理员达到26人。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落实《长兴县养老服务人才队伍建设激励办法》，建立养老护理员数据库，举办养老护理员技能大赛，每万名老人持证护理员达到27人。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落实《长兴县养老服务人才队伍建设激励办法》，鼓励养老服务机构引进大学生，积极培育养老服务机构，增加养老护理员数量。开展养老护理员评选，提高护理员社会地位。每万名老人持证护理员达到27人。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鼓励大学生入职养老服务机构，落实入职奖补和就业补助政策。开展养老护理员等养老服务从业人员职业技能培训、等级认定和竞赛。每万名老人持证护理员达到30人。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完善居家养老服务网络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启动养老服务布局规划编制，制定中心城区居家养老服务中心建设计划，新增城市社区居家</w:t>
            </w:r>
            <w:r>
              <w:rPr>
                <w:rFonts w:hint="eastAsia" w:ascii="仿宋_GB2312"/>
                <w:color w:val="000000"/>
                <w:spacing w:val="-5"/>
                <w:kern w:val="0"/>
                <w:sz w:val="18"/>
                <w:szCs w:val="18"/>
              </w:rPr>
              <w:t>养老服务中心2家。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完成全县居家养老服务中心公开招标，改革居家养老</w:t>
            </w:r>
            <w:r>
              <w:rPr>
                <w:rFonts w:hint="eastAsia" w:ascii="仿宋_GB2312"/>
                <w:color w:val="000000"/>
                <w:spacing w:val="-5"/>
                <w:kern w:val="0"/>
                <w:sz w:val="18"/>
                <w:szCs w:val="18"/>
              </w:rPr>
              <w:t>服务中心考核办法。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完成养老服务设施布局规划，落实《湖州市居家养老服务条例》，推进新建住宅小区配建居家养老服务中心。新建城乡社区居家养老服务中心8家，村（社区）居家养老服务设施覆盖率达到85%。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推进城乡社区居家养老服务中心建设，改造提升居家养老服务中心10家，新建城乡社区居家养老服务中心5家，城乡社区居家养老服务中心覆盖率达到100%。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推进居家养老服务设施长效运行，完善服务网络，形成“15分钟养老服务圈”。到2025年，城乡社区居家养老服务中心覆盖率达到100%。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0"/>
                <w:kern w:val="0"/>
                <w:sz w:val="18"/>
                <w:szCs w:val="18"/>
              </w:rPr>
              <w:t>县自然资源和规划局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县财政局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推进认知障碍照护专区建设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新增认知障碍照护专区床位100张。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新增认知障碍照护专区床位80张。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新增认知障碍照护专区床位80张。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新增认知障碍照护专区床位100张。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构建城乡老年助餐体系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实现乡镇（街道、园区）老年食堂全覆盖，城市社区送餐覆盖率达到80%。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建立送餐服务制度，新增老年食堂8家，城市社区送餐覆盖率达到90%。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新增老年食堂7家，城市社区送餐覆盖率达到95%。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新增老年食堂5家，城市社区送餐覆盖率达到100%。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县市场监管局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县大数据局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实施老年健康服务“五大行动”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为1.6万老年人开展口腔健康评估和营养不良风险筛查评估，为8000余名老年人开展认知功能</w:t>
            </w:r>
            <w:r>
              <w:rPr>
                <w:rFonts w:hint="eastAsia" w:ascii="仿宋_GB2312"/>
                <w:color w:val="000000"/>
                <w:spacing w:val="-5"/>
                <w:kern w:val="0"/>
                <w:sz w:val="18"/>
                <w:szCs w:val="18"/>
              </w:rPr>
              <w:t>评定和情感状态评估，开展糖尿病患者眼底筛查700人。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高标准完成老年人口腔健康评估、营养不良风险筛查评估、认知功能评定、情感状态评估、糖尿病患者眼底筛查等老年健康服务“五大行动”。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高标准完成老年人口腔健康评估、营养不良风险筛查评估、认知功能评定、情感状态评估、糖尿病患者眼底筛查等老年健康服务“五大行动”。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高标准完成老年人口腔健康评估、营养不良风险筛查评估、认知功能评定、情感状态评估、糖尿病患者眼底筛查等老年健康服务“五大行动”。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王世红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杭萍萍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建立老年人健康评估和功能维护机制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落实基本公共卫生服务项目，常态化开展城乡老年人免费健康体检、结直肠癌免费筛查、慢性阻塞性肺疾病免费筛查和流感疫苗免费接种等。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落实基本公共卫生服务项目，常态化开展城乡老年人免费健康体检、结直肠癌免费筛查、慢性阻塞性肺疾病免费筛查和流感疫苗免费接种等。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落实基本公共卫生服务项目，常态化开展城乡老年人免费健康体检、结直肠癌免费筛查、慢性阻塞性肺疾病免费筛查和流感疫苗免费接种等。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落实基本公共卫生服务项目，常态化开展城乡老年人免费健康体检、结直肠癌免费筛查、慢性阻塞性肺疾病免费筛查和流感疫苗免费接种等。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王世红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杭萍萍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深入推进医养结合发展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实现养老机构和医疗卫生机构100%签约合作。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全县二级及以上综合医院、中医医院设置老年医学科的比例达到100%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加强信息化建设，开展远程医疗服务。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每万名老年人拥有医疗机构康复护理床位达到61张。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推动中医药健康服务进社区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社区卫生服务站100%能提供中医药服务。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所有社区卫生服务站能提供4类6项以上中医适宜技术。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4"/>
                <w:kern w:val="0"/>
                <w:sz w:val="18"/>
                <w:szCs w:val="18"/>
              </w:rPr>
              <w:t>开展“中医药健康科普活动”，通过知识讲座、中医义诊等方式，推动中医药健康服务进社区。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所有乡镇卫生院（社区卫生服务中心）建有中医馆。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健全老年医疗服务网络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4"/>
                <w:kern w:val="0"/>
                <w:sz w:val="18"/>
                <w:szCs w:val="18"/>
              </w:rPr>
              <w:t>推动医疗服务向居家、社区延伸，支持有条件的医疗卫生机构为失能、慢性病、高龄、残疾等行动不便或确有困难的老年人提供家庭病床、上门巡诊等居家医疗服务。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加强二级及以上综合性医院老年医学科建设。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建立县级老年医疗中心，争创国家和省级示范老年医疗中心。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持续推进老年友善医疗机构建设。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全面深化家庭医生签约服务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65岁以上老年人家庭医生签约率85%以上；根据需求，为老年人提供针对性个性化服务。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65岁以上老年人家庭医生签约率88%以上；根据需求，为老年人提供针对性个性化服务。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65岁以上老年人家庭医生签约率90%以上；根据需求，为老年人提供针对性个性化服务。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65岁以上老年人家庭医生签约率稳定在90%以上；根据需求，为老年人提供针对性个性化服务。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许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构建老年用品研发体系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加大对老年用品关键核心技术研发及产业化的支持力度，加快老年用品领域新产品开发。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加大对老年用品关键核心技术研发及产业化的支持力度，加快老年用品领域新产品开发。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加大对老年用品关键核心技术研发及产业化的支持力度，加快老年用品领域新产品开发。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加大对老年用品关键核心技术研发及产业化的支持力度，加快老年用品领域新产品开发。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县经信局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县科技局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县发改局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白杨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引导扩大老年消费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在医疗服务、体育健身、健康食品等方面出台相关政策，鼓励建设相关设施，举办活动及赛事，研发健康产品，提供健康服务，促进健康消费。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在医疗服务、体育健身、健康食品等方面出台相关政策，鼓励建设相关设施，举办活动及赛事，研发健康产品，提供健康服务，促进健康消费。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在医疗服务、体育健身、健康食品等方面出台相关政策，鼓励建设相关设施，举办活动及赛事，研发健康产品，提供健康服务，促进健康消费。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在医疗服务、体育健身、健康食品等方面出台相关政策，鼓励建设相关设施，举办活动及赛事，研发健康产品，提供健康服务，促进健康消费。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县发改局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县商务局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县市场监管局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朱 磊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沈华婷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完善康复器具适配网络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建立县康复器具展示租赁中心。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3"/>
                <w:kern w:val="0"/>
                <w:sz w:val="18"/>
                <w:szCs w:val="18"/>
              </w:rPr>
              <w:t>养老服务机构康复器具租赁点达到30家。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3"/>
                <w:kern w:val="0"/>
                <w:sz w:val="18"/>
                <w:szCs w:val="18"/>
              </w:rPr>
              <w:t>养老服务机构康复器具租赁点达到40家。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4"/>
                <w:kern w:val="0"/>
                <w:sz w:val="18"/>
                <w:szCs w:val="18"/>
              </w:rPr>
              <w:t>养老服务机构康复器具租赁点达到50家。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培育一批养老服务头部企业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强化政策审批支持，优化养老服务市场竞争环境。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强化政策审批支持，优化养老服务市场竞争环境。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强化政策审批支持，优化养老服务市场竞争环境。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强化政策审批支持，优化养老服务市场竞争环境。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县发改局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朱 磊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沈华婷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新建居住区配套养老服务设施应建必建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落实新建住宅小区“四同步”，做到新增住宅小区应建必建。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制定新建住宅小区配建居家养老用房联合验收机制，开展已建居家养老服务用房调查排摸和整顿工作。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建立已建住宅小区居家养老房屋用房补建、购置、置换、租赁方案。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5"/>
                <w:kern w:val="0"/>
                <w:sz w:val="18"/>
                <w:szCs w:val="18"/>
              </w:rPr>
              <w:t>通过新建、补建、购置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等方式，实现中心城区居家养老服务用房100%全覆盖。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县自然资源和规划局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计林红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沈叶琴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建立家庭适老化改造常态机制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出台家庭适老化改造常态化文件，完成困难老人家庭适老化改造130户。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将家庭适老化改造扩大到家庭人均年收入3.33万元以下失能失智老年人，完成困难老人家庭适老化改造50户，实现愿改尽改。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完成低收入老人家庭适老化改造50户，实现愿改尽改。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完成低收入老人家庭适老化改造60户，实现愿改尽改。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县残联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县慈善总会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推动既有住宅加装电梯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实施既有住宅加装电梯20部。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按照“保障安全、业主主体、社区主导、政府引导、各方支持”的原则，持续推进既有住宅加装电梯工作。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持续推进既有住宅加装电梯工作，创造方便老年人出行的环境。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持续推进既有住宅加装电梯工作，创造方便老年人出行的环境。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毛煜庆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张燕飞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推进老旧小区改造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实施老旧小区改造9个。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实施老旧小区改造9个。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按照“建造年代先后、轻重缓急程度、改造意愿强弱”的原则，加快推进老旧小区改造工作。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加快推进老旧小区改造工作，进一步改善小区整体环境、提升服务功能。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毛煜庆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张燕飞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推进公共场所无障碍建设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严格执行《无障碍设计规范》</w:t>
            </w:r>
            <w:r>
              <w:rPr>
                <w:rFonts w:hint="eastAsia" w:ascii="仿宋_GB2312"/>
                <w:color w:val="000000"/>
                <w:spacing w:val="-20"/>
                <w:kern w:val="0"/>
                <w:sz w:val="18"/>
                <w:szCs w:val="18"/>
              </w:rPr>
              <w:t>（GB50763-2012），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严把建设质量关，完成10家公共场所无障碍改造。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严格执行《无障碍设计规范》</w:t>
            </w:r>
            <w:r>
              <w:rPr>
                <w:rFonts w:hint="eastAsia" w:ascii="仿宋_GB2312"/>
                <w:color w:val="000000"/>
                <w:spacing w:val="-20"/>
                <w:kern w:val="0"/>
                <w:sz w:val="18"/>
                <w:szCs w:val="18"/>
              </w:rPr>
              <w:t>（GB50763-2012）</w:t>
            </w: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严把建设质量关，完成10家公共场所无障碍改造。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严格执行《无障碍设计规范》</w:t>
            </w:r>
            <w:r>
              <w:rPr>
                <w:rFonts w:hint="eastAsia" w:ascii="仿宋_GB2312"/>
                <w:color w:val="000000"/>
                <w:spacing w:val="-20"/>
                <w:kern w:val="0"/>
                <w:sz w:val="18"/>
                <w:szCs w:val="18"/>
              </w:rPr>
              <w:t>（GB50763-2012）</w:t>
            </w: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严把建设质量关，完成10家公共场所无障碍改造。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严格执行《无障碍设计规范》</w:t>
            </w:r>
            <w:r>
              <w:rPr>
                <w:rFonts w:hint="eastAsia" w:ascii="仿宋_GB2312"/>
                <w:color w:val="000000"/>
                <w:spacing w:val="-20"/>
                <w:kern w:val="0"/>
                <w:sz w:val="18"/>
                <w:szCs w:val="18"/>
              </w:rPr>
              <w:t>（GB50763-2012）</w:t>
            </w:r>
            <w:r>
              <w:rPr>
                <w:rFonts w:hint="eastAsia" w:ascii="仿宋_GB2312"/>
                <w:color w:val="000000"/>
                <w:spacing w:val="-14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严把建设质量关，完成10家公共场所无障碍改造。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县残联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县建设局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顾新强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许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支持老年人跨越数字鸿沟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统筹推进数字社会系统建设，强化养老服务场景建设，打造“15分钟公共服务圈”。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统筹推进数字社会系统建设，强化养老服务场景建设，打造“15分钟公共服务圈”。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统筹推进数字社会系统建设，强化养老服务场景建设，打造“15分钟公共服务圈”。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统筹推进数字社会系统建设，强化养老服务场景建设，打造“15分钟公共服务圈”。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县发改局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县商务局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朱 磊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沈华婷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开展慈善惠老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慰问困难老人30名，开展敬老院慈善年夜饭，鼓励企业设立为老服务专项基金，落实为老助餐慈善资金30万元。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慰问困难老人30名，开展敬老院慈善年夜饭，农村困难老年人家庭改造10户，落实助老慈善资金50万元。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慰问困难老人30名，开展敬老院慈善年夜饭，农村困难老年人家庭改造10户，落实助老慈善资金50万元。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慰问困难老人30名，开展敬老院慈善年夜饭，农村困难老年人家庭改造10户，落实助老慈善资金50万元。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县慈善总会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王  群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徐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全面推行社区探访关爱制度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实施“敲门问需”关爱活动，依托居家养老服务中心工作人员，确保重点保障对象一周一次、重点对象一月一次、高龄对象一季度一次、一般对象半年一次。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全面建立社区探访关爱制度，建立社区探访关爱系统，依托社区干部、网格员、居家养老服务中心工作人员，开展老人探访关爱服务。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落实社区探访关爱制度，完善社区探访关爱系统，依托社区干部、网格员、居家养老服务中心工作人员，开展老人探访关爱服务。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落实社区探访关爱制度，完善社区探访关爱系统，依托社区干部、网格员、居家养老服务中心工作人员，开展老人探访关爱服务。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余玲燕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蔡  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建立具有“富美长兴”维度的突破性抓手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开展老年文艺汇演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开展老年文艺汇演1场以上。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开展老年文艺汇演1场以上。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开展老年文艺汇演1场以上。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开展老年文艺汇演1场以上。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pacing w:val="-6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县委组织部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王世红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杭萍萍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建立家庭养老支持和褒扬制度</w:t>
            </w: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每季度开展“长兴好人”评选，设立“孝老爱亲”类别。</w:t>
            </w:r>
          </w:p>
        </w:tc>
        <w:tc>
          <w:tcPr>
            <w:tcW w:w="599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每季度开展“长兴好人”评选，设立“孝老爱亲”类别。</w:t>
            </w:r>
          </w:p>
        </w:tc>
        <w:tc>
          <w:tcPr>
            <w:tcW w:w="61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每季度开展“长兴好人”评选，设立“孝老爱亲”类别。</w:t>
            </w:r>
          </w:p>
        </w:tc>
        <w:tc>
          <w:tcPr>
            <w:tcW w:w="62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每季度开展“长兴好人”评选，设立“孝老爱亲”类别。</w:t>
            </w:r>
          </w:p>
        </w:tc>
        <w:tc>
          <w:tcPr>
            <w:tcW w:w="444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县委宣传部</w:t>
            </w:r>
          </w:p>
        </w:tc>
        <w:tc>
          <w:tcPr>
            <w:tcW w:w="601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县民政局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县卫生健康局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杭巧勤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adjustRightInd w:val="0"/>
              <w:spacing w:line="288" w:lineRule="auto"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陈敏华</w:t>
            </w:r>
          </w:p>
        </w:tc>
      </w:tr>
    </w:tbl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overflowPunct w:val="0"/>
        <w:adjustRightInd w:val="0"/>
        <w:spacing w:line="324" w:lineRule="auto"/>
        <w:ind w:firstLine="560" w:firstLineChars="200"/>
        <w:rPr>
          <w:rFonts w:ascii="仿宋_GB2312"/>
          <w:snapToGrid w:val="0"/>
          <w:sz w:val="28"/>
          <w:szCs w:val="28"/>
        </w:rPr>
      </w:pPr>
    </w:p>
    <w:p>
      <w:pPr>
        <w:rPr>
          <w:rFonts w:ascii="仿宋_GB2312"/>
          <w:snapToGrid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31" w:right="2098" w:bottom="1531" w:left="2098" w:header="851" w:footer="1304" w:gutter="0"/>
      <w:cols w:space="720" w:num="1"/>
      <w:docGrid w:linePitch="632" w:charSpace="-1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7BD09A-A799-459E-843F-9627BF0D1B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269537C-487A-4541-8644-F2D7662AD5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AAAD7E-9E25-4F1E-9B5D-D1A40C8A5B69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3BA0B15-3A39-48DA-BEAB-B4097E01776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8882405"/>
      <w:docPartObj>
        <w:docPartGallery w:val="AutoText"/>
      </w:docPartObj>
    </w:sdtPr>
    <w:sdtContent>
      <w:p>
        <w:pPr>
          <w:pStyle w:val="7"/>
          <w:adjustRightInd w:val="0"/>
          <w:ind w:right="320" w:rightChars="100"/>
          <w:jc w:val="right"/>
          <w:rPr>
            <w:sz w:val="32"/>
          </w:rPr>
        </w:pPr>
        <w:r>
          <w:rPr>
            <w:rStyle w:val="14"/>
            <w:rFonts w:hint="eastAsia" w:ascii="宋体" w:hAnsi="宋体"/>
            <w:sz w:val="28"/>
          </w:rPr>
          <w:t xml:space="preserve">— </w:t>
        </w:r>
        <w:r>
          <w:rPr>
            <w:rFonts w:hint="eastAsia" w:ascii="宋体" w:hAnsi="宋体" w:eastAsia="宋体"/>
            <w:sz w:val="28"/>
          </w:rPr>
          <w:fldChar w:fldCharType="begin"/>
        </w:r>
        <w:r>
          <w:rPr>
            <w:rStyle w:val="14"/>
            <w:rFonts w:hint="eastAsia" w:ascii="宋体" w:hAnsi="宋体"/>
            <w:sz w:val="28"/>
          </w:rPr>
          <w:instrText xml:space="preserve"> PAGE  </w:instrText>
        </w:r>
        <w:r>
          <w:rPr>
            <w:rFonts w:hint="eastAsia" w:ascii="宋体" w:hAnsi="宋体" w:eastAsia="宋体"/>
            <w:sz w:val="28"/>
          </w:rPr>
          <w:fldChar w:fldCharType="separate"/>
        </w:r>
        <w:r>
          <w:rPr>
            <w:rStyle w:val="14"/>
            <w:rFonts w:ascii="宋体" w:hAnsi="宋体"/>
            <w:sz w:val="28"/>
          </w:rPr>
          <w:t>1</w:t>
        </w:r>
        <w:r>
          <w:rPr>
            <w:rFonts w:hint="eastAsia" w:ascii="宋体" w:hAnsi="宋体" w:eastAsia="宋体"/>
            <w:sz w:val="28"/>
          </w:rPr>
          <w:fldChar w:fldCharType="end"/>
        </w:r>
        <w:r>
          <w:rPr>
            <w:rStyle w:val="14"/>
            <w:rFonts w:hint="eastAsia" w:ascii="宋体" w:hAnsi="宋体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5690307"/>
      <w:docPartObj>
        <w:docPartGallery w:val="AutoText"/>
      </w:docPartObj>
    </w:sdtPr>
    <w:sdtContent>
      <w:p>
        <w:pPr>
          <w:pStyle w:val="7"/>
          <w:adjustRightInd w:val="0"/>
          <w:ind w:left="320" w:leftChars="100"/>
          <w:rPr>
            <w:sz w:val="32"/>
          </w:rPr>
        </w:pPr>
        <w:r>
          <w:rPr>
            <w:rStyle w:val="14"/>
            <w:rFonts w:hint="eastAsia" w:ascii="宋体" w:hAnsi="宋体"/>
            <w:sz w:val="28"/>
          </w:rPr>
          <w:t xml:space="preserve">— </w:t>
        </w:r>
        <w:r>
          <w:rPr>
            <w:rFonts w:hint="eastAsia" w:ascii="宋体" w:hAnsi="宋体" w:eastAsia="宋体"/>
            <w:sz w:val="28"/>
          </w:rPr>
          <w:fldChar w:fldCharType="begin"/>
        </w:r>
        <w:r>
          <w:rPr>
            <w:rStyle w:val="14"/>
            <w:rFonts w:hint="eastAsia" w:ascii="宋体" w:hAnsi="宋体"/>
            <w:sz w:val="28"/>
          </w:rPr>
          <w:instrText xml:space="preserve"> PAGE  </w:instrText>
        </w:r>
        <w:r>
          <w:rPr>
            <w:rFonts w:hint="eastAsia" w:ascii="宋体" w:hAnsi="宋体" w:eastAsia="宋体"/>
            <w:sz w:val="28"/>
          </w:rPr>
          <w:fldChar w:fldCharType="separate"/>
        </w:r>
        <w:r>
          <w:rPr>
            <w:rStyle w:val="14"/>
            <w:rFonts w:ascii="宋体" w:hAnsi="宋体"/>
            <w:sz w:val="28"/>
          </w:rPr>
          <w:t>40</w:t>
        </w:r>
        <w:r>
          <w:rPr>
            <w:rFonts w:hint="eastAsia" w:ascii="宋体" w:hAnsi="宋体" w:eastAsia="宋体"/>
            <w:sz w:val="28"/>
          </w:rPr>
          <w:fldChar w:fldCharType="end"/>
        </w:r>
        <w:r>
          <w:rPr>
            <w:rStyle w:val="14"/>
            <w:rFonts w:hint="eastAsia" w:ascii="宋体" w:hAnsi="宋体"/>
            <w:sz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jFkZTY0OWUwNWM1OTEwMzVhOGRjNGVjOGM2NTAifQ=="/>
  </w:docVars>
  <w:rsids>
    <w:rsidRoot w:val="005B1229"/>
    <w:rsid w:val="00054833"/>
    <w:rsid w:val="000608FB"/>
    <w:rsid w:val="00071D0E"/>
    <w:rsid w:val="00074145"/>
    <w:rsid w:val="000A3A53"/>
    <w:rsid w:val="000C2EF4"/>
    <w:rsid w:val="000C6387"/>
    <w:rsid w:val="000F2DC6"/>
    <w:rsid w:val="00151194"/>
    <w:rsid w:val="001977E0"/>
    <w:rsid w:val="001B6BC0"/>
    <w:rsid w:val="0022655B"/>
    <w:rsid w:val="0024003B"/>
    <w:rsid w:val="00254BD3"/>
    <w:rsid w:val="00271BDE"/>
    <w:rsid w:val="002739E5"/>
    <w:rsid w:val="002D29C5"/>
    <w:rsid w:val="002D3149"/>
    <w:rsid w:val="002D5BDB"/>
    <w:rsid w:val="003C656F"/>
    <w:rsid w:val="003D409E"/>
    <w:rsid w:val="0047030F"/>
    <w:rsid w:val="004869BF"/>
    <w:rsid w:val="00487785"/>
    <w:rsid w:val="004A0ADA"/>
    <w:rsid w:val="004B74F3"/>
    <w:rsid w:val="004C0DA4"/>
    <w:rsid w:val="004C1666"/>
    <w:rsid w:val="004C79B1"/>
    <w:rsid w:val="004E1860"/>
    <w:rsid w:val="00521FD4"/>
    <w:rsid w:val="00532ECA"/>
    <w:rsid w:val="00534085"/>
    <w:rsid w:val="00540B28"/>
    <w:rsid w:val="00556B46"/>
    <w:rsid w:val="00572249"/>
    <w:rsid w:val="00591012"/>
    <w:rsid w:val="005A1839"/>
    <w:rsid w:val="005B1229"/>
    <w:rsid w:val="005B46A2"/>
    <w:rsid w:val="005B6DE4"/>
    <w:rsid w:val="005D526C"/>
    <w:rsid w:val="006250D0"/>
    <w:rsid w:val="00625652"/>
    <w:rsid w:val="00672A1E"/>
    <w:rsid w:val="006919BA"/>
    <w:rsid w:val="006969B5"/>
    <w:rsid w:val="006A44AA"/>
    <w:rsid w:val="006E5389"/>
    <w:rsid w:val="006E6A1D"/>
    <w:rsid w:val="00706CD6"/>
    <w:rsid w:val="00710094"/>
    <w:rsid w:val="007152FC"/>
    <w:rsid w:val="0073397A"/>
    <w:rsid w:val="007A7057"/>
    <w:rsid w:val="007C181D"/>
    <w:rsid w:val="008057B3"/>
    <w:rsid w:val="0087185A"/>
    <w:rsid w:val="00872BF6"/>
    <w:rsid w:val="008A27E0"/>
    <w:rsid w:val="008B0E6B"/>
    <w:rsid w:val="008C1C66"/>
    <w:rsid w:val="008D61FA"/>
    <w:rsid w:val="00903F0B"/>
    <w:rsid w:val="0091314C"/>
    <w:rsid w:val="0098226C"/>
    <w:rsid w:val="009957A2"/>
    <w:rsid w:val="009970FA"/>
    <w:rsid w:val="009C2BD2"/>
    <w:rsid w:val="009D6AA7"/>
    <w:rsid w:val="009F1AC2"/>
    <w:rsid w:val="00A1584A"/>
    <w:rsid w:val="00A2137E"/>
    <w:rsid w:val="00A83220"/>
    <w:rsid w:val="00A963D6"/>
    <w:rsid w:val="00AE7D2C"/>
    <w:rsid w:val="00AE7EFF"/>
    <w:rsid w:val="00B615BE"/>
    <w:rsid w:val="00B709B3"/>
    <w:rsid w:val="00B832F2"/>
    <w:rsid w:val="00B96BD1"/>
    <w:rsid w:val="00BB76D4"/>
    <w:rsid w:val="00BC40F2"/>
    <w:rsid w:val="00BE1EE9"/>
    <w:rsid w:val="00C547D9"/>
    <w:rsid w:val="00C77EB6"/>
    <w:rsid w:val="00C962FB"/>
    <w:rsid w:val="00C96B75"/>
    <w:rsid w:val="00CF55E1"/>
    <w:rsid w:val="00D024DE"/>
    <w:rsid w:val="00D05187"/>
    <w:rsid w:val="00D30279"/>
    <w:rsid w:val="00D6357A"/>
    <w:rsid w:val="00DB4BC5"/>
    <w:rsid w:val="00DE7471"/>
    <w:rsid w:val="00DF6822"/>
    <w:rsid w:val="00E000D9"/>
    <w:rsid w:val="00E0067F"/>
    <w:rsid w:val="00E01281"/>
    <w:rsid w:val="00E15C3A"/>
    <w:rsid w:val="00E160EB"/>
    <w:rsid w:val="00E71AC7"/>
    <w:rsid w:val="00E81716"/>
    <w:rsid w:val="00E93704"/>
    <w:rsid w:val="00EA2141"/>
    <w:rsid w:val="00ED18E9"/>
    <w:rsid w:val="00ED64D0"/>
    <w:rsid w:val="00EE25D5"/>
    <w:rsid w:val="00F014A7"/>
    <w:rsid w:val="00F028BC"/>
    <w:rsid w:val="00F113E9"/>
    <w:rsid w:val="00F46E03"/>
    <w:rsid w:val="00F52FDC"/>
    <w:rsid w:val="00F56865"/>
    <w:rsid w:val="00F6102E"/>
    <w:rsid w:val="00F9671C"/>
    <w:rsid w:val="00FA30C4"/>
    <w:rsid w:val="00FB0A24"/>
    <w:rsid w:val="00FB65D4"/>
    <w:rsid w:val="00FB66E5"/>
    <w:rsid w:val="00FC3051"/>
    <w:rsid w:val="00FD2BC7"/>
    <w:rsid w:val="00FD51AD"/>
    <w:rsid w:val="00FE208A"/>
    <w:rsid w:val="625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/>
      <w:spacing w:line="240" w:lineRule="auto"/>
      <w:ind w:firstLine="42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link w:val="22"/>
    <w:semiHidden/>
    <w:unhideWhenUsed/>
    <w:uiPriority w:val="99"/>
    <w:pPr>
      <w:spacing w:after="120"/>
    </w:pPr>
    <w:rPr>
      <w:rFonts w:cstheme="minorBidi"/>
    </w:rPr>
  </w:style>
  <w:style w:type="paragraph" w:styleId="4">
    <w:name w:val="Body Text Indent"/>
    <w:basedOn w:val="1"/>
    <w:link w:val="24"/>
    <w:semiHidden/>
    <w:unhideWhenUsed/>
    <w:uiPriority w:val="99"/>
    <w:pPr>
      <w:spacing w:after="120"/>
      <w:ind w:left="420" w:leftChars="200"/>
    </w:pPr>
    <w:rPr>
      <w:rFonts w:cstheme="minorBidi"/>
    </w:rPr>
  </w:style>
  <w:style w:type="paragraph" w:styleId="5">
    <w:name w:val="Plain Text"/>
    <w:basedOn w:val="1"/>
    <w:link w:val="26"/>
    <w:qFormat/>
    <w:uiPriority w:val="0"/>
    <w:pPr>
      <w:suppressAutoHyphens/>
      <w:snapToGrid/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Body Text First Indent"/>
    <w:basedOn w:val="3"/>
    <w:link w:val="23"/>
    <w:qFormat/>
    <w:uiPriority w:val="0"/>
    <w:pPr>
      <w:suppressAutoHyphens/>
      <w:snapToGrid/>
      <w:spacing w:after="140" w:line="276" w:lineRule="auto"/>
      <w:ind w:firstLine="420" w:firstLineChars="100"/>
    </w:pPr>
    <w:rPr>
      <w:rFonts w:ascii="Calibri" w:hAnsi="Calibri" w:eastAsia="宋体" w:cs="Times New Roman"/>
      <w:szCs w:val="24"/>
    </w:rPr>
  </w:style>
  <w:style w:type="paragraph" w:styleId="10">
    <w:name w:val="Body Text First Indent 2"/>
    <w:basedOn w:val="4"/>
    <w:link w:val="25"/>
    <w:qFormat/>
    <w:uiPriority w:val="99"/>
    <w:pPr>
      <w:suppressAutoHyphens/>
      <w:snapToGrid/>
      <w:spacing w:after="0" w:line="240" w:lineRule="auto"/>
      <w:ind w:left="0" w:leftChars="0" w:firstLine="420" w:firstLineChars="200"/>
    </w:pPr>
    <w:rPr>
      <w:rFonts w:ascii="Calibri" w:hAnsi="Calibri" w:eastAsia="宋体" w:cs="黑体"/>
      <w:color w:val="3366FF"/>
      <w:sz w:val="28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  <w:rPr>
      <w:rFonts w:ascii="Times New Roman" w:hAnsi="Times New Roman" w:eastAsia="宋体"/>
      <w:sz w:val="24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paragraph" w:customStyle="1" w:styleId="16">
    <w:name w:val="正文 A"/>
    <w:qFormat/>
    <w:uiPriority w:val="0"/>
    <w:pPr>
      <w:widowControl w:val="0"/>
      <w:spacing w:line="500" w:lineRule="exact"/>
      <w:ind w:firstLine="200"/>
      <w:jc w:val="both"/>
    </w:pPr>
    <w:rPr>
      <w:rFonts w:ascii="Times New Roman" w:hAnsi="Times New Roman" w:eastAsia="Arial Unicode MS" w:cs="Arial Unicode MS"/>
      <w:color w:val="000000"/>
      <w:spacing w:val="8"/>
      <w:kern w:val="2"/>
      <w:sz w:val="28"/>
      <w:szCs w:val="28"/>
      <w:lang w:val="en-US" w:eastAsia="zh-CN" w:bidi="ar-SA"/>
    </w:rPr>
  </w:style>
  <w:style w:type="paragraph" w:customStyle="1" w:styleId="17">
    <w:name w:val="默认"/>
    <w:qFormat/>
    <w:uiPriority w:val="0"/>
    <w:rPr>
      <w:rFonts w:ascii="Helvetica Neue" w:hAnsi="Helvetica Neue" w:eastAsia="Helvetica Neue" w:cs="Helvetica Neue"/>
      <w:color w:val="000000"/>
      <w:kern w:val="0"/>
      <w:sz w:val="22"/>
      <w:szCs w:val="22"/>
      <w:lang w:val="en-US" w:eastAsia="zh-CN" w:bidi="ar-SA"/>
    </w:rPr>
  </w:style>
  <w:style w:type="paragraph" w:customStyle="1" w:styleId="18">
    <w:name w:val="正文正常"/>
    <w:basedOn w:val="1"/>
    <w:qFormat/>
    <w:uiPriority w:val="0"/>
    <w:pPr>
      <w:spacing w:line="500" w:lineRule="exact"/>
      <w:ind w:firstLine="560" w:firstLineChars="200"/>
    </w:pPr>
    <w:rPr>
      <w:rFonts w:ascii="宋体" w:hAnsi="宋体"/>
      <w:spacing w:val="8"/>
      <w:sz w:val="28"/>
      <w:szCs w:val="28"/>
      <w:lang w:val="zh-CN"/>
    </w:rPr>
  </w:style>
  <w:style w:type="paragraph" w:customStyle="1" w:styleId="19">
    <w:name w:val="仿宋正文格式"/>
    <w:basedOn w:val="1"/>
    <w:qFormat/>
    <w:uiPriority w:val="0"/>
    <w:pPr>
      <w:spacing w:line="360" w:lineRule="auto"/>
      <w:ind w:firstLine="200" w:firstLineChars="200"/>
    </w:pPr>
    <w:rPr>
      <w:sz w:val="30"/>
      <w:szCs w:val="21"/>
    </w:rPr>
  </w:style>
  <w:style w:type="character" w:customStyle="1" w:styleId="20">
    <w:name w:val="页眉 Char"/>
    <w:basedOn w:val="13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脚 Char"/>
    <w:basedOn w:val="13"/>
    <w:link w:val="7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22">
    <w:name w:val="正文文本 Char"/>
    <w:basedOn w:val="13"/>
    <w:link w:val="3"/>
    <w:semiHidden/>
    <w:uiPriority w:val="99"/>
    <w:rPr>
      <w:rFonts w:ascii="Times New Roman" w:hAnsi="Times New Roman" w:eastAsia="仿宋_GB2312"/>
      <w:sz w:val="32"/>
      <w:szCs w:val="20"/>
    </w:rPr>
  </w:style>
  <w:style w:type="character" w:customStyle="1" w:styleId="23">
    <w:name w:val="正文首行缩进 Char"/>
    <w:basedOn w:val="22"/>
    <w:link w:val="9"/>
    <w:uiPriority w:val="0"/>
    <w:rPr>
      <w:rFonts w:ascii="Calibri" w:hAnsi="Calibri" w:eastAsia="宋体" w:cs="Times New Roman"/>
      <w:sz w:val="32"/>
      <w:szCs w:val="24"/>
    </w:rPr>
  </w:style>
  <w:style w:type="character" w:customStyle="1" w:styleId="24">
    <w:name w:val="正文文本缩进 Char"/>
    <w:basedOn w:val="13"/>
    <w:link w:val="4"/>
    <w:semiHidden/>
    <w:uiPriority w:val="99"/>
    <w:rPr>
      <w:rFonts w:ascii="Times New Roman" w:hAnsi="Times New Roman" w:eastAsia="仿宋_GB2312"/>
      <w:sz w:val="32"/>
      <w:szCs w:val="20"/>
    </w:rPr>
  </w:style>
  <w:style w:type="character" w:customStyle="1" w:styleId="25">
    <w:name w:val="正文首行缩进 2 Char"/>
    <w:basedOn w:val="24"/>
    <w:link w:val="10"/>
    <w:uiPriority w:val="99"/>
    <w:rPr>
      <w:rFonts w:ascii="Calibri" w:hAnsi="Calibri" w:eastAsia="宋体" w:cs="黑体"/>
      <w:color w:val="3366FF"/>
      <w:sz w:val="28"/>
      <w:szCs w:val="24"/>
    </w:rPr>
  </w:style>
  <w:style w:type="character" w:customStyle="1" w:styleId="26">
    <w:name w:val="纯文本 Char"/>
    <w:basedOn w:val="13"/>
    <w:link w:val="5"/>
    <w:uiPriority w:val="0"/>
    <w:rPr>
      <w:rFonts w:ascii="宋体" w:hAnsi="Courier New" w:eastAsia="宋体" w:cs="Courier New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3"/>
    <w:link w:val="6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micosoft.com</Company>
  <Pages>40</Pages>
  <Words>22070</Words>
  <Characters>22846</Characters>
  <Lines>169</Lines>
  <Paragraphs>47</Paragraphs>
  <TotalTime>14</TotalTime>
  <ScaleCrop>false</ScaleCrop>
  <LinksUpToDate>false</LinksUpToDate>
  <CharactersWithSpaces>22989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2023-05-29T08:45:00Z</dcterms:created>
  <dc:creator>micosoft</dc:creator>
  <lastModifiedBy>周志龙</lastModifiedBy>
  <lastPrinted>2023-05-24T08:32:00Z</lastPrinted>
  <dcterms:modified xsi:type="dcterms:W3CDTF">2023-05-31T07:18:50Z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EA3ABBD3F1E04798854B187CD190B03F_13</vt:lpwstr>
  </property>
</Properties>
</file>