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40" w:lineRule="exact"/>
        <w:jc w:val="center"/>
        <w:rPr>
          <w:rFonts w:hint="eastAsia" w:ascii="宋体" w:hAnsi="宋体" w:cs="宋体"/>
          <w:b/>
          <w:bCs/>
          <w:color w:val="000000"/>
          <w:sz w:val="32"/>
          <w:szCs w:val="32"/>
        </w:rPr>
      </w:pPr>
      <w:r>
        <w:rPr>
          <w:rFonts w:hint="eastAsia" w:ascii="宋体" w:hAnsi="宋体" w:cs="宋体"/>
          <w:b/>
          <w:bCs/>
          <w:color w:val="000000"/>
          <w:sz w:val="32"/>
          <w:szCs w:val="32"/>
        </w:rPr>
        <w:t>长三角区域电动自行车充电器产品质量市级</w:t>
      </w:r>
    </w:p>
    <w:p>
      <w:pPr>
        <w:spacing w:line="440" w:lineRule="exact"/>
        <w:jc w:val="center"/>
        <w:rPr>
          <w:rFonts w:ascii="楷体" w:hAnsi="楷体" w:eastAsia="楷体" w:cs="楷体"/>
          <w:sz w:val="32"/>
          <w:szCs w:val="32"/>
        </w:rPr>
      </w:pPr>
      <w:r>
        <w:rPr>
          <w:rFonts w:hint="eastAsia" w:ascii="宋体" w:hAnsi="宋体" w:cs="宋体"/>
          <w:b/>
          <w:bCs/>
          <w:color w:val="000000"/>
          <w:sz w:val="32"/>
          <w:szCs w:val="32"/>
        </w:rPr>
        <w:t>监督抽查实施细则</w:t>
      </w:r>
      <w:r>
        <w:rPr>
          <w:rFonts w:hint="eastAsia" w:ascii="楷体" w:hAnsi="楷体" w:eastAsia="楷体" w:cs="楷体"/>
          <w:sz w:val="32"/>
          <w:szCs w:val="32"/>
        </w:rPr>
        <w:t>（2023版）</w:t>
      </w:r>
    </w:p>
    <w:p>
      <w:pPr>
        <w:spacing w:line="400" w:lineRule="exact"/>
        <w:rPr>
          <w:rFonts w:ascii="宋体" w:hAnsi="宋体"/>
          <w:b/>
        </w:rPr>
      </w:pPr>
    </w:p>
    <w:p>
      <w:pPr>
        <w:spacing w:line="400" w:lineRule="exact"/>
        <w:rPr>
          <w:rFonts w:ascii="宋体" w:hAnsi="宋体"/>
          <w:b/>
        </w:rPr>
      </w:pPr>
      <w:r>
        <w:rPr>
          <w:rFonts w:hint="eastAsia" w:ascii="宋体" w:hAnsi="宋体"/>
          <w:b/>
        </w:rPr>
        <w:t>1  抽样方法</w:t>
      </w:r>
    </w:p>
    <w:p>
      <w:pPr>
        <w:adjustRightInd w:val="0"/>
        <w:snapToGrid w:val="0"/>
        <w:spacing w:line="440" w:lineRule="exact"/>
        <w:ind w:firstLine="420" w:firstLineChars="200"/>
        <w:rPr>
          <w:color w:val="000000"/>
        </w:rPr>
      </w:pPr>
      <w:r>
        <w:rPr>
          <w:rFonts w:hint="eastAsia"/>
          <w:color w:val="000000"/>
        </w:rPr>
        <w:t>以随机抽样的方式在被抽样生产者、销售者的待销产品中抽取。</w:t>
      </w:r>
    </w:p>
    <w:p>
      <w:pPr>
        <w:adjustRightInd w:val="0"/>
        <w:snapToGrid w:val="0"/>
        <w:spacing w:line="440" w:lineRule="exact"/>
        <w:ind w:firstLine="420" w:firstLineChars="200"/>
        <w:rPr>
          <w:color w:val="000000"/>
        </w:rPr>
      </w:pPr>
      <w:r>
        <w:rPr>
          <w:rFonts w:hint="eastAsia"/>
          <w:color w:val="000000"/>
        </w:rPr>
        <w:t>随机数一般可使用随机数表等方法产生。</w:t>
      </w:r>
    </w:p>
    <w:p>
      <w:pPr>
        <w:spacing w:line="400" w:lineRule="exact"/>
        <w:rPr>
          <w:color w:val="000000"/>
        </w:rPr>
      </w:pPr>
      <w:r>
        <w:rPr>
          <w:rFonts w:hint="eastAsia"/>
          <w:color w:val="000000"/>
        </w:rPr>
        <w:t>每批次产品抽取样品3台（套），其中2台（套）作为检验样品，1台（套）作为备用样品。</w:t>
      </w:r>
    </w:p>
    <w:p>
      <w:pPr>
        <w:spacing w:line="400" w:lineRule="exact"/>
        <w:rPr>
          <w:rFonts w:ascii="宋体" w:hAnsi="宋体"/>
          <w:b/>
        </w:rPr>
      </w:pPr>
    </w:p>
    <w:p>
      <w:pPr>
        <w:spacing w:line="400" w:lineRule="exact"/>
        <w:rPr>
          <w:rFonts w:ascii="宋体" w:hAnsi="宋体"/>
          <w:b/>
        </w:rPr>
      </w:pPr>
      <w:r>
        <w:rPr>
          <w:rFonts w:hint="eastAsia" w:ascii="宋体" w:hAnsi="宋体"/>
          <w:b/>
        </w:rPr>
        <w:t>2  检验依据</w:t>
      </w:r>
    </w:p>
    <w:p>
      <w:pPr>
        <w:snapToGrid w:val="0"/>
        <w:spacing w:line="440" w:lineRule="exact"/>
        <w:jc w:val="center"/>
        <w:rPr>
          <w:szCs w:val="24"/>
        </w:rPr>
      </w:pPr>
      <w:r>
        <w:rPr>
          <w:rFonts w:hint="eastAsia" w:ascii="宋体" w:hAnsi="宋体"/>
          <w:b/>
        </w:rPr>
        <w:t xml:space="preserve"> </w:t>
      </w:r>
      <w:r>
        <w:rPr>
          <w:rFonts w:ascii="宋体" w:hAnsi="宋体"/>
          <w:b/>
        </w:rPr>
        <w:t xml:space="preserve">     </w:t>
      </w:r>
      <w:r>
        <w:t>表1 产品执行标准GB 4706.1—2005、GB 4706.18—2014检验项目</w:t>
      </w:r>
    </w:p>
    <w:tbl>
      <w:tblPr>
        <w:tblW w:w="7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9"/>
        <w:gridCol w:w="3354"/>
        <w:gridCol w:w="3320"/>
      </w:tblGrid>
      <w:tr>
        <w:trPr>
          <w:trHeight w:val="340" w:hRule="atLeast"/>
          <w:jc w:val="center"/>
        </w:trPr>
        <w:tc>
          <w:tcPr>
            <w:tcW w:w="779" w:type="dxa"/>
            <w:vAlign w:val="center"/>
          </w:tcPr>
          <w:p>
            <w:pPr>
              <w:snapToGrid w:val="0"/>
              <w:jc w:val="center"/>
            </w:pPr>
            <w:r>
              <w:t>序号</w:t>
            </w:r>
          </w:p>
        </w:tc>
        <w:tc>
          <w:tcPr>
            <w:tcW w:w="3354" w:type="dxa"/>
            <w:vAlign w:val="center"/>
          </w:tcPr>
          <w:p>
            <w:pPr>
              <w:snapToGrid w:val="0"/>
              <w:jc w:val="center"/>
            </w:pPr>
            <w:r>
              <w:t>检验项目</w:t>
            </w:r>
          </w:p>
        </w:tc>
        <w:tc>
          <w:tcPr>
            <w:tcW w:w="3320" w:type="dxa"/>
            <w:vAlign w:val="center"/>
          </w:tcPr>
          <w:p>
            <w:pPr>
              <w:snapToGrid w:val="0"/>
              <w:jc w:val="center"/>
            </w:pPr>
            <w:r>
              <w:t>检验方法</w:t>
            </w:r>
          </w:p>
        </w:tc>
      </w:tr>
      <w:tr>
        <w:trPr>
          <w:trHeight w:val="340" w:hRule="atLeast"/>
          <w:jc w:val="center"/>
        </w:trPr>
        <w:tc>
          <w:tcPr>
            <w:tcW w:w="779" w:type="dxa"/>
            <w:vAlign w:val="center"/>
          </w:tcPr>
          <w:p>
            <w:pPr>
              <w:snapToGrid w:val="0"/>
              <w:jc w:val="center"/>
            </w:pPr>
            <w:r>
              <w:t>1</w:t>
            </w:r>
          </w:p>
        </w:tc>
        <w:tc>
          <w:tcPr>
            <w:tcW w:w="3354" w:type="dxa"/>
            <w:vAlign w:val="center"/>
          </w:tcPr>
          <w:p>
            <w:pPr>
              <w:snapToGrid w:val="0"/>
              <w:jc w:val="center"/>
            </w:pPr>
            <w:r>
              <w:t>对触及带电部件的防护</w:t>
            </w:r>
          </w:p>
        </w:tc>
        <w:tc>
          <w:tcPr>
            <w:tcW w:w="3320" w:type="dxa"/>
            <w:vAlign w:val="center"/>
          </w:tcPr>
          <w:p>
            <w:pPr>
              <w:snapToGrid w:val="0"/>
              <w:ind w:firstLine="105" w:firstLineChars="50"/>
              <w:jc w:val="center"/>
            </w:pPr>
            <w:r>
              <w:t>GB 4706.1—2005</w:t>
            </w:r>
          </w:p>
          <w:p>
            <w:pPr>
              <w:snapToGrid w:val="0"/>
              <w:ind w:firstLine="105" w:firstLineChars="50"/>
              <w:jc w:val="center"/>
            </w:pPr>
            <w:r>
              <w:t>GB 4706.18—2014</w:t>
            </w:r>
          </w:p>
        </w:tc>
      </w:tr>
      <w:tr>
        <w:trPr>
          <w:trHeight w:val="340" w:hRule="atLeast"/>
          <w:jc w:val="center"/>
        </w:trPr>
        <w:tc>
          <w:tcPr>
            <w:tcW w:w="779" w:type="dxa"/>
            <w:vAlign w:val="center"/>
          </w:tcPr>
          <w:p>
            <w:pPr>
              <w:snapToGrid w:val="0"/>
              <w:jc w:val="center"/>
            </w:pPr>
            <w:r>
              <w:t>2</w:t>
            </w:r>
          </w:p>
        </w:tc>
        <w:tc>
          <w:tcPr>
            <w:tcW w:w="3354" w:type="dxa"/>
            <w:vAlign w:val="center"/>
          </w:tcPr>
          <w:p>
            <w:pPr>
              <w:snapToGrid w:val="0"/>
              <w:jc w:val="center"/>
            </w:pPr>
            <w:r>
              <w:t>工作温度下的泄漏电流和电气强度</w:t>
            </w:r>
          </w:p>
        </w:tc>
        <w:tc>
          <w:tcPr>
            <w:tcW w:w="3320" w:type="dxa"/>
            <w:vAlign w:val="center"/>
          </w:tcPr>
          <w:p>
            <w:pPr>
              <w:snapToGrid w:val="0"/>
              <w:ind w:firstLine="105" w:firstLineChars="50"/>
              <w:jc w:val="center"/>
            </w:pPr>
            <w:r>
              <w:t>GB 4706.1—2005</w:t>
            </w:r>
          </w:p>
          <w:p>
            <w:pPr>
              <w:snapToGrid w:val="0"/>
              <w:ind w:firstLine="105" w:firstLineChars="50"/>
              <w:jc w:val="center"/>
            </w:pPr>
            <w:r>
              <w:t>GB 4706.18—2014</w:t>
            </w:r>
          </w:p>
        </w:tc>
      </w:tr>
      <w:tr>
        <w:trPr>
          <w:trHeight w:val="340" w:hRule="atLeast"/>
          <w:jc w:val="center"/>
        </w:trPr>
        <w:tc>
          <w:tcPr>
            <w:tcW w:w="779" w:type="dxa"/>
            <w:vAlign w:val="center"/>
          </w:tcPr>
          <w:p>
            <w:pPr>
              <w:snapToGrid w:val="0"/>
              <w:jc w:val="center"/>
            </w:pPr>
            <w:r>
              <w:t>3</w:t>
            </w:r>
          </w:p>
        </w:tc>
        <w:tc>
          <w:tcPr>
            <w:tcW w:w="3354" w:type="dxa"/>
            <w:vAlign w:val="center"/>
          </w:tcPr>
          <w:p>
            <w:pPr>
              <w:snapToGrid w:val="0"/>
              <w:jc w:val="center"/>
            </w:pPr>
            <w:r>
              <w:t>非正常工作</w:t>
            </w:r>
          </w:p>
        </w:tc>
        <w:tc>
          <w:tcPr>
            <w:tcW w:w="3320" w:type="dxa"/>
            <w:vAlign w:val="center"/>
          </w:tcPr>
          <w:p>
            <w:pPr>
              <w:snapToGrid w:val="0"/>
              <w:ind w:firstLine="105" w:firstLineChars="50"/>
              <w:jc w:val="center"/>
            </w:pPr>
            <w:r>
              <w:t>GB 4706.1—2005</w:t>
            </w:r>
          </w:p>
          <w:p>
            <w:pPr>
              <w:snapToGrid w:val="0"/>
              <w:ind w:firstLine="105" w:firstLineChars="50"/>
              <w:jc w:val="center"/>
            </w:pPr>
            <w:r>
              <w:t>GB 4706.18—2014</w:t>
            </w:r>
          </w:p>
        </w:tc>
      </w:tr>
      <w:tr>
        <w:trPr>
          <w:trHeight w:val="340" w:hRule="atLeast"/>
          <w:jc w:val="center"/>
        </w:trPr>
        <w:tc>
          <w:tcPr>
            <w:tcW w:w="779" w:type="dxa"/>
            <w:vAlign w:val="center"/>
          </w:tcPr>
          <w:p>
            <w:pPr>
              <w:snapToGrid w:val="0"/>
              <w:jc w:val="center"/>
            </w:pPr>
            <w:r>
              <w:t>4</w:t>
            </w:r>
          </w:p>
        </w:tc>
        <w:tc>
          <w:tcPr>
            <w:tcW w:w="3354" w:type="dxa"/>
            <w:vAlign w:val="center"/>
          </w:tcPr>
          <w:p>
            <w:pPr>
              <w:snapToGrid w:val="0"/>
              <w:jc w:val="center"/>
            </w:pPr>
            <w:r>
              <w:t>机械强度</w:t>
            </w:r>
          </w:p>
        </w:tc>
        <w:tc>
          <w:tcPr>
            <w:tcW w:w="3320" w:type="dxa"/>
            <w:vAlign w:val="center"/>
          </w:tcPr>
          <w:p>
            <w:pPr>
              <w:snapToGrid w:val="0"/>
              <w:ind w:firstLine="105" w:firstLineChars="50"/>
              <w:jc w:val="center"/>
            </w:pPr>
            <w:r>
              <w:t>GB 4706.1—2005</w:t>
            </w:r>
          </w:p>
          <w:p>
            <w:pPr>
              <w:snapToGrid w:val="0"/>
              <w:ind w:firstLine="105" w:firstLineChars="50"/>
              <w:jc w:val="center"/>
            </w:pPr>
            <w:r>
              <w:t>GB 4706.18—2014</w:t>
            </w:r>
          </w:p>
        </w:tc>
      </w:tr>
      <w:tr>
        <w:trPr>
          <w:trHeight w:val="340" w:hRule="atLeast"/>
          <w:jc w:val="center"/>
        </w:trPr>
        <w:tc>
          <w:tcPr>
            <w:tcW w:w="779" w:type="dxa"/>
            <w:vAlign w:val="center"/>
          </w:tcPr>
          <w:p>
            <w:pPr>
              <w:snapToGrid w:val="0"/>
              <w:jc w:val="center"/>
            </w:pPr>
            <w:r>
              <w:t>5</w:t>
            </w:r>
          </w:p>
        </w:tc>
        <w:tc>
          <w:tcPr>
            <w:tcW w:w="3354" w:type="dxa"/>
            <w:vAlign w:val="center"/>
          </w:tcPr>
          <w:p>
            <w:pPr>
              <w:snapToGrid w:val="0"/>
              <w:jc w:val="center"/>
            </w:pPr>
            <w:r>
              <w:t>内部布线</w:t>
            </w:r>
          </w:p>
        </w:tc>
        <w:tc>
          <w:tcPr>
            <w:tcW w:w="3320" w:type="dxa"/>
            <w:vAlign w:val="center"/>
          </w:tcPr>
          <w:p>
            <w:pPr>
              <w:snapToGrid w:val="0"/>
              <w:ind w:firstLine="105" w:firstLineChars="50"/>
              <w:jc w:val="center"/>
            </w:pPr>
            <w:r>
              <w:t>GB 4706.1—2005</w:t>
            </w:r>
          </w:p>
          <w:p>
            <w:pPr>
              <w:snapToGrid w:val="0"/>
              <w:ind w:firstLine="105" w:firstLineChars="50"/>
              <w:jc w:val="center"/>
            </w:pPr>
            <w:r>
              <w:t>GB 4706.18—2014</w:t>
            </w:r>
          </w:p>
        </w:tc>
      </w:tr>
      <w:tr>
        <w:trPr>
          <w:trHeight w:val="340" w:hRule="atLeast"/>
          <w:jc w:val="center"/>
        </w:trPr>
        <w:tc>
          <w:tcPr>
            <w:tcW w:w="779" w:type="dxa"/>
            <w:vAlign w:val="center"/>
          </w:tcPr>
          <w:p>
            <w:pPr>
              <w:snapToGrid w:val="0"/>
              <w:jc w:val="center"/>
            </w:pPr>
            <w:r>
              <w:t>6</w:t>
            </w:r>
          </w:p>
        </w:tc>
        <w:tc>
          <w:tcPr>
            <w:tcW w:w="3354" w:type="dxa"/>
            <w:vAlign w:val="center"/>
          </w:tcPr>
          <w:p>
            <w:pPr>
              <w:snapToGrid w:val="0"/>
              <w:jc w:val="center"/>
            </w:pPr>
            <w:r>
              <w:t>电源连接和外部软线</w:t>
            </w:r>
          </w:p>
        </w:tc>
        <w:tc>
          <w:tcPr>
            <w:tcW w:w="3320" w:type="dxa"/>
            <w:vAlign w:val="center"/>
          </w:tcPr>
          <w:p>
            <w:pPr>
              <w:snapToGrid w:val="0"/>
              <w:ind w:firstLine="105" w:firstLineChars="50"/>
              <w:jc w:val="center"/>
            </w:pPr>
            <w:r>
              <w:t>GB 4706.1—2005</w:t>
            </w:r>
          </w:p>
          <w:p>
            <w:pPr>
              <w:snapToGrid w:val="0"/>
              <w:ind w:firstLine="105" w:firstLineChars="50"/>
              <w:jc w:val="center"/>
            </w:pPr>
            <w:r>
              <w:t>GB 4706.18—2014</w:t>
            </w:r>
          </w:p>
        </w:tc>
      </w:tr>
    </w:tbl>
    <w:p>
      <w:pPr>
        <w:snapToGrid w:val="0"/>
        <w:spacing w:line="440" w:lineRule="exact"/>
        <w:jc w:val="left"/>
      </w:pPr>
    </w:p>
    <w:p>
      <w:pPr>
        <w:snapToGrid w:val="0"/>
        <w:spacing w:line="440" w:lineRule="exact"/>
        <w:jc w:val="center"/>
      </w:pPr>
      <w:r>
        <w:t>表2 产品执行标准GB/T 36944—2018检验项目</w:t>
      </w:r>
    </w:p>
    <w:tbl>
      <w:tblPr>
        <w:tblW w:w="7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5"/>
        <w:gridCol w:w="3329"/>
        <w:gridCol w:w="3298"/>
      </w:tblGrid>
      <w:tr>
        <w:trPr>
          <w:trHeight w:val="340" w:hRule="atLeast"/>
          <w:tblHeader/>
          <w:jc w:val="center"/>
        </w:trPr>
        <w:tc>
          <w:tcPr>
            <w:tcW w:w="775" w:type="dxa"/>
            <w:vAlign w:val="center"/>
          </w:tcPr>
          <w:p>
            <w:pPr>
              <w:snapToGrid w:val="0"/>
              <w:jc w:val="center"/>
            </w:pPr>
            <w:r>
              <w:t>序号</w:t>
            </w:r>
          </w:p>
        </w:tc>
        <w:tc>
          <w:tcPr>
            <w:tcW w:w="3329" w:type="dxa"/>
            <w:vAlign w:val="center"/>
          </w:tcPr>
          <w:p>
            <w:pPr>
              <w:snapToGrid w:val="0"/>
              <w:jc w:val="center"/>
            </w:pPr>
            <w:r>
              <w:t>检验项目</w:t>
            </w:r>
          </w:p>
        </w:tc>
        <w:tc>
          <w:tcPr>
            <w:tcW w:w="3298" w:type="dxa"/>
            <w:vAlign w:val="center"/>
          </w:tcPr>
          <w:p>
            <w:pPr>
              <w:snapToGrid w:val="0"/>
              <w:jc w:val="center"/>
            </w:pPr>
            <w:r>
              <w:t>检验方法</w:t>
            </w:r>
          </w:p>
        </w:tc>
      </w:tr>
      <w:tr>
        <w:trPr>
          <w:trHeight w:val="340" w:hRule="atLeast"/>
          <w:jc w:val="center"/>
        </w:trPr>
        <w:tc>
          <w:tcPr>
            <w:tcW w:w="775" w:type="dxa"/>
            <w:vAlign w:val="center"/>
          </w:tcPr>
          <w:p>
            <w:pPr>
              <w:snapToGrid w:val="0"/>
              <w:jc w:val="center"/>
            </w:pPr>
            <w:r>
              <w:t>1</w:t>
            </w:r>
          </w:p>
        </w:tc>
        <w:tc>
          <w:tcPr>
            <w:tcW w:w="3329" w:type="dxa"/>
            <w:vAlign w:val="center"/>
          </w:tcPr>
          <w:p>
            <w:pPr>
              <w:snapToGrid w:val="0"/>
              <w:jc w:val="center"/>
            </w:pPr>
            <w:r>
              <w:t>机械强度</w:t>
            </w:r>
          </w:p>
        </w:tc>
        <w:tc>
          <w:tcPr>
            <w:tcW w:w="3298" w:type="dxa"/>
            <w:vAlign w:val="center"/>
          </w:tcPr>
          <w:p>
            <w:pPr>
              <w:snapToGrid w:val="0"/>
              <w:jc w:val="center"/>
            </w:pPr>
            <w:r>
              <w:t>GB/T 36944—2018</w:t>
            </w:r>
          </w:p>
        </w:tc>
      </w:tr>
      <w:tr>
        <w:trPr>
          <w:trHeight w:val="340" w:hRule="atLeast"/>
          <w:jc w:val="center"/>
        </w:trPr>
        <w:tc>
          <w:tcPr>
            <w:tcW w:w="775" w:type="dxa"/>
            <w:vAlign w:val="center"/>
          </w:tcPr>
          <w:p>
            <w:pPr>
              <w:snapToGrid w:val="0"/>
              <w:jc w:val="center"/>
            </w:pPr>
            <w:r>
              <w:t>2</w:t>
            </w:r>
          </w:p>
        </w:tc>
        <w:tc>
          <w:tcPr>
            <w:tcW w:w="3329" w:type="dxa"/>
            <w:vAlign w:val="center"/>
          </w:tcPr>
          <w:p>
            <w:pPr>
              <w:snapToGrid w:val="0"/>
              <w:jc w:val="center"/>
            </w:pPr>
            <w:r>
              <w:t>泄漏电流</w:t>
            </w:r>
          </w:p>
        </w:tc>
        <w:tc>
          <w:tcPr>
            <w:tcW w:w="3298" w:type="dxa"/>
            <w:vAlign w:val="center"/>
          </w:tcPr>
          <w:p>
            <w:pPr>
              <w:snapToGrid w:val="0"/>
              <w:jc w:val="center"/>
            </w:pPr>
            <w:r>
              <w:t>GB/T 36944—2018</w:t>
            </w:r>
          </w:p>
        </w:tc>
      </w:tr>
      <w:tr>
        <w:trPr>
          <w:trHeight w:val="340" w:hRule="atLeast"/>
          <w:jc w:val="center"/>
        </w:trPr>
        <w:tc>
          <w:tcPr>
            <w:tcW w:w="775" w:type="dxa"/>
            <w:vAlign w:val="center"/>
          </w:tcPr>
          <w:p>
            <w:pPr>
              <w:snapToGrid w:val="0"/>
              <w:jc w:val="center"/>
            </w:pPr>
            <w:r>
              <w:t>3</w:t>
            </w:r>
          </w:p>
        </w:tc>
        <w:tc>
          <w:tcPr>
            <w:tcW w:w="3329" w:type="dxa"/>
            <w:vAlign w:val="center"/>
          </w:tcPr>
          <w:p>
            <w:pPr>
              <w:snapToGrid w:val="0"/>
              <w:jc w:val="center"/>
            </w:pPr>
            <w:r>
              <w:t>电气强度</w:t>
            </w:r>
          </w:p>
        </w:tc>
        <w:tc>
          <w:tcPr>
            <w:tcW w:w="3298" w:type="dxa"/>
            <w:vAlign w:val="center"/>
          </w:tcPr>
          <w:p>
            <w:pPr>
              <w:snapToGrid w:val="0"/>
              <w:jc w:val="center"/>
            </w:pPr>
            <w:r>
              <w:t>GB/T 36944—2018</w:t>
            </w:r>
          </w:p>
        </w:tc>
      </w:tr>
      <w:tr>
        <w:trPr>
          <w:trHeight w:val="340" w:hRule="atLeast"/>
          <w:jc w:val="center"/>
        </w:trPr>
        <w:tc>
          <w:tcPr>
            <w:tcW w:w="775" w:type="dxa"/>
            <w:vAlign w:val="center"/>
          </w:tcPr>
          <w:p>
            <w:pPr>
              <w:snapToGrid w:val="0"/>
              <w:jc w:val="center"/>
            </w:pPr>
            <w:r>
              <w:t>4</w:t>
            </w:r>
          </w:p>
        </w:tc>
        <w:tc>
          <w:tcPr>
            <w:tcW w:w="3329" w:type="dxa"/>
            <w:vAlign w:val="center"/>
          </w:tcPr>
          <w:p>
            <w:pPr>
              <w:snapToGrid w:val="0"/>
              <w:jc w:val="center"/>
            </w:pPr>
            <w:r>
              <w:t>防触电保护</w:t>
            </w:r>
          </w:p>
        </w:tc>
        <w:tc>
          <w:tcPr>
            <w:tcW w:w="3298" w:type="dxa"/>
            <w:vAlign w:val="center"/>
          </w:tcPr>
          <w:p>
            <w:pPr>
              <w:snapToGrid w:val="0"/>
              <w:jc w:val="center"/>
            </w:pPr>
            <w:r>
              <w:t>GB/T 36944—2018</w:t>
            </w:r>
          </w:p>
        </w:tc>
      </w:tr>
      <w:tr>
        <w:trPr>
          <w:trHeight w:val="340" w:hRule="atLeast"/>
          <w:jc w:val="center"/>
        </w:trPr>
        <w:tc>
          <w:tcPr>
            <w:tcW w:w="775" w:type="dxa"/>
            <w:vAlign w:val="center"/>
          </w:tcPr>
          <w:p>
            <w:pPr>
              <w:snapToGrid w:val="0"/>
              <w:jc w:val="center"/>
            </w:pPr>
            <w:r>
              <w:t>5</w:t>
            </w:r>
          </w:p>
        </w:tc>
        <w:tc>
          <w:tcPr>
            <w:tcW w:w="3329" w:type="dxa"/>
            <w:vAlign w:val="center"/>
          </w:tcPr>
          <w:p>
            <w:pPr>
              <w:snapToGrid w:val="0"/>
              <w:jc w:val="center"/>
            </w:pPr>
            <w:r>
              <w:t>非正常工作</w:t>
            </w:r>
          </w:p>
        </w:tc>
        <w:tc>
          <w:tcPr>
            <w:tcW w:w="3298" w:type="dxa"/>
            <w:vAlign w:val="center"/>
          </w:tcPr>
          <w:p>
            <w:pPr>
              <w:snapToGrid w:val="0"/>
              <w:jc w:val="center"/>
            </w:pPr>
            <w:r>
              <w:t>GB/T 36944—2018</w:t>
            </w:r>
          </w:p>
        </w:tc>
      </w:tr>
      <w:tr>
        <w:trPr>
          <w:trHeight w:val="340" w:hRule="atLeast"/>
          <w:jc w:val="center"/>
        </w:trPr>
        <w:tc>
          <w:tcPr>
            <w:tcW w:w="775" w:type="dxa"/>
            <w:vAlign w:val="center"/>
          </w:tcPr>
          <w:p>
            <w:pPr>
              <w:snapToGrid w:val="0"/>
              <w:jc w:val="center"/>
            </w:pPr>
            <w:r>
              <w:t>6</w:t>
            </w:r>
          </w:p>
        </w:tc>
        <w:tc>
          <w:tcPr>
            <w:tcW w:w="3329" w:type="dxa"/>
            <w:vAlign w:val="center"/>
          </w:tcPr>
          <w:p>
            <w:pPr>
              <w:snapToGrid w:val="0"/>
              <w:jc w:val="center"/>
            </w:pPr>
            <w:r>
              <w:t>内部布线</w:t>
            </w:r>
          </w:p>
        </w:tc>
        <w:tc>
          <w:tcPr>
            <w:tcW w:w="3298" w:type="dxa"/>
            <w:vAlign w:val="center"/>
          </w:tcPr>
          <w:p>
            <w:pPr>
              <w:snapToGrid w:val="0"/>
              <w:jc w:val="center"/>
            </w:pPr>
            <w:r>
              <w:t>GB/T 36944—2018</w:t>
            </w:r>
          </w:p>
        </w:tc>
      </w:tr>
      <w:tr>
        <w:trPr>
          <w:trHeight w:val="340" w:hRule="atLeast"/>
          <w:jc w:val="center"/>
        </w:trPr>
        <w:tc>
          <w:tcPr>
            <w:tcW w:w="775" w:type="dxa"/>
            <w:vAlign w:val="center"/>
          </w:tcPr>
          <w:p>
            <w:pPr>
              <w:snapToGrid w:val="0"/>
              <w:jc w:val="center"/>
            </w:pPr>
            <w:r>
              <w:t>7</w:t>
            </w:r>
          </w:p>
        </w:tc>
        <w:tc>
          <w:tcPr>
            <w:tcW w:w="3329" w:type="dxa"/>
            <w:vAlign w:val="center"/>
          </w:tcPr>
          <w:p>
            <w:pPr>
              <w:snapToGrid w:val="0"/>
              <w:jc w:val="center"/>
            </w:pPr>
            <w:r>
              <w:t>电源软线</w:t>
            </w:r>
          </w:p>
        </w:tc>
        <w:tc>
          <w:tcPr>
            <w:tcW w:w="3298" w:type="dxa"/>
            <w:vAlign w:val="center"/>
          </w:tcPr>
          <w:p>
            <w:pPr>
              <w:snapToGrid w:val="0"/>
              <w:jc w:val="center"/>
            </w:pPr>
            <w:r>
              <w:t>GB/T 36944—2018</w:t>
            </w:r>
          </w:p>
        </w:tc>
      </w:tr>
    </w:tbl>
    <w:p>
      <w:pPr>
        <w:snapToGrid w:val="0"/>
        <w:spacing w:line="440" w:lineRule="exact"/>
        <w:jc w:val="left"/>
        <w:rPr>
          <w:szCs w:val="24"/>
        </w:rPr>
      </w:pPr>
    </w:p>
    <w:p>
      <w:pPr>
        <w:jc w:val="center"/>
        <w:rPr>
          <w:szCs w:val="24"/>
        </w:rPr>
      </w:pPr>
      <w:r>
        <w:t>表3 产品执行标准QB/T 2947.1—2008、QB/T 2947.3—2008检验项目</w:t>
      </w:r>
    </w:p>
    <w:tbl>
      <w:tblPr>
        <w:tblW w:w="7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
        <w:gridCol w:w="3352"/>
        <w:gridCol w:w="3243"/>
      </w:tblGrid>
      <w:tr>
        <w:trPr>
          <w:trHeight w:val="340" w:hRule="atLeast"/>
          <w:tblHeader/>
          <w:jc w:val="center"/>
        </w:trPr>
        <w:tc>
          <w:tcPr>
            <w:tcW w:w="816" w:type="dxa"/>
            <w:vAlign w:val="center"/>
          </w:tcPr>
          <w:p>
            <w:pPr>
              <w:snapToGrid w:val="0"/>
              <w:jc w:val="center"/>
            </w:pPr>
            <w:r>
              <w:t>序号</w:t>
            </w:r>
          </w:p>
        </w:tc>
        <w:tc>
          <w:tcPr>
            <w:tcW w:w="3352" w:type="dxa"/>
            <w:vAlign w:val="center"/>
          </w:tcPr>
          <w:p>
            <w:pPr>
              <w:snapToGrid w:val="0"/>
              <w:jc w:val="center"/>
            </w:pPr>
            <w:r>
              <w:t>检验项目</w:t>
            </w:r>
          </w:p>
        </w:tc>
        <w:tc>
          <w:tcPr>
            <w:tcW w:w="3243" w:type="dxa"/>
            <w:vAlign w:val="center"/>
          </w:tcPr>
          <w:p>
            <w:pPr>
              <w:snapToGrid w:val="0"/>
              <w:jc w:val="center"/>
            </w:pPr>
            <w:r>
              <w:t>检验方法</w:t>
            </w:r>
          </w:p>
        </w:tc>
      </w:tr>
      <w:tr>
        <w:trPr>
          <w:trHeight w:val="340" w:hRule="atLeast"/>
          <w:jc w:val="center"/>
        </w:trPr>
        <w:tc>
          <w:tcPr>
            <w:tcW w:w="816" w:type="dxa"/>
            <w:vAlign w:val="center"/>
          </w:tcPr>
          <w:p>
            <w:pPr>
              <w:snapToGrid w:val="0"/>
              <w:jc w:val="center"/>
            </w:pPr>
            <w:r>
              <w:t>1</w:t>
            </w:r>
          </w:p>
        </w:tc>
        <w:tc>
          <w:tcPr>
            <w:tcW w:w="3352" w:type="dxa"/>
            <w:vAlign w:val="center"/>
          </w:tcPr>
          <w:p>
            <w:pPr>
              <w:snapToGrid w:val="0"/>
              <w:jc w:val="center"/>
            </w:pPr>
            <w:r>
              <w:t>对触及带电部件的防护</w:t>
            </w:r>
          </w:p>
        </w:tc>
        <w:tc>
          <w:tcPr>
            <w:tcW w:w="3243" w:type="dxa"/>
            <w:vAlign w:val="center"/>
          </w:tcPr>
          <w:p>
            <w:pPr>
              <w:snapToGrid w:val="0"/>
              <w:jc w:val="center"/>
            </w:pPr>
            <w:r>
              <w:t>QB/T 2947.1—2008</w:t>
            </w:r>
          </w:p>
          <w:p>
            <w:pPr>
              <w:snapToGrid w:val="0"/>
              <w:jc w:val="center"/>
            </w:pPr>
            <w:r>
              <w:t>QB/T 2947.3—2008</w:t>
            </w:r>
          </w:p>
        </w:tc>
      </w:tr>
      <w:tr>
        <w:trPr>
          <w:trHeight w:val="340" w:hRule="atLeast"/>
          <w:jc w:val="center"/>
        </w:trPr>
        <w:tc>
          <w:tcPr>
            <w:tcW w:w="816" w:type="dxa"/>
            <w:vAlign w:val="center"/>
          </w:tcPr>
          <w:p>
            <w:pPr>
              <w:snapToGrid w:val="0"/>
              <w:jc w:val="center"/>
            </w:pPr>
            <w:r>
              <w:t>2</w:t>
            </w:r>
          </w:p>
        </w:tc>
        <w:tc>
          <w:tcPr>
            <w:tcW w:w="3352" w:type="dxa"/>
            <w:vAlign w:val="center"/>
          </w:tcPr>
          <w:p>
            <w:pPr>
              <w:snapToGrid w:val="0"/>
              <w:jc w:val="center"/>
            </w:pPr>
            <w:r>
              <w:t>工作温度下的泄漏电流和电气强度</w:t>
            </w:r>
          </w:p>
        </w:tc>
        <w:tc>
          <w:tcPr>
            <w:tcW w:w="3243" w:type="dxa"/>
            <w:vAlign w:val="center"/>
          </w:tcPr>
          <w:p>
            <w:pPr>
              <w:snapToGrid w:val="0"/>
              <w:jc w:val="center"/>
            </w:pPr>
            <w:r>
              <w:t>QB/T 2947.1—2008</w:t>
            </w:r>
          </w:p>
          <w:p>
            <w:pPr>
              <w:snapToGrid w:val="0"/>
              <w:jc w:val="center"/>
            </w:pPr>
            <w:r>
              <w:t>QB/T 2947.3—2008</w:t>
            </w:r>
          </w:p>
        </w:tc>
      </w:tr>
      <w:tr>
        <w:trPr>
          <w:trHeight w:val="340" w:hRule="atLeast"/>
          <w:jc w:val="center"/>
        </w:trPr>
        <w:tc>
          <w:tcPr>
            <w:tcW w:w="816" w:type="dxa"/>
            <w:vAlign w:val="center"/>
          </w:tcPr>
          <w:p>
            <w:pPr>
              <w:snapToGrid w:val="0"/>
              <w:jc w:val="center"/>
            </w:pPr>
            <w:r>
              <w:t>3</w:t>
            </w:r>
          </w:p>
        </w:tc>
        <w:tc>
          <w:tcPr>
            <w:tcW w:w="3352" w:type="dxa"/>
            <w:vAlign w:val="center"/>
          </w:tcPr>
          <w:p>
            <w:pPr>
              <w:snapToGrid w:val="0"/>
              <w:jc w:val="center"/>
            </w:pPr>
            <w:r>
              <w:t>过载保护</w:t>
            </w:r>
          </w:p>
        </w:tc>
        <w:tc>
          <w:tcPr>
            <w:tcW w:w="3243" w:type="dxa"/>
            <w:vAlign w:val="center"/>
          </w:tcPr>
          <w:p>
            <w:pPr>
              <w:snapToGrid w:val="0"/>
              <w:jc w:val="center"/>
            </w:pPr>
            <w:r>
              <w:t>QB/T 2947.1—2008</w:t>
            </w:r>
          </w:p>
          <w:p>
            <w:pPr>
              <w:snapToGrid w:val="0"/>
              <w:jc w:val="center"/>
            </w:pPr>
            <w:r>
              <w:t>QB/T 2947.3—2008</w:t>
            </w:r>
          </w:p>
        </w:tc>
      </w:tr>
      <w:tr>
        <w:trPr>
          <w:trHeight w:val="340" w:hRule="atLeast"/>
          <w:jc w:val="center"/>
        </w:trPr>
        <w:tc>
          <w:tcPr>
            <w:tcW w:w="816" w:type="dxa"/>
            <w:vAlign w:val="center"/>
          </w:tcPr>
          <w:p>
            <w:pPr>
              <w:snapToGrid w:val="0"/>
              <w:jc w:val="center"/>
            </w:pPr>
            <w:r>
              <w:t>4</w:t>
            </w:r>
          </w:p>
        </w:tc>
        <w:tc>
          <w:tcPr>
            <w:tcW w:w="3352" w:type="dxa"/>
            <w:vAlign w:val="center"/>
          </w:tcPr>
          <w:p>
            <w:pPr>
              <w:snapToGrid w:val="0"/>
              <w:jc w:val="center"/>
            </w:pPr>
            <w:r>
              <w:t>机械强度</w:t>
            </w:r>
          </w:p>
        </w:tc>
        <w:tc>
          <w:tcPr>
            <w:tcW w:w="3243" w:type="dxa"/>
            <w:vAlign w:val="center"/>
          </w:tcPr>
          <w:p>
            <w:pPr>
              <w:snapToGrid w:val="0"/>
              <w:jc w:val="center"/>
            </w:pPr>
            <w:r>
              <w:t>QB/T 2947.1—2008</w:t>
            </w:r>
          </w:p>
          <w:p>
            <w:pPr>
              <w:snapToGrid w:val="0"/>
              <w:jc w:val="center"/>
            </w:pPr>
            <w:r>
              <w:t>QB/T 2947.3—2008</w:t>
            </w:r>
          </w:p>
        </w:tc>
      </w:tr>
      <w:tr>
        <w:trPr>
          <w:trHeight w:val="340" w:hRule="atLeast"/>
          <w:jc w:val="center"/>
        </w:trPr>
        <w:tc>
          <w:tcPr>
            <w:tcW w:w="816" w:type="dxa"/>
            <w:vAlign w:val="center"/>
          </w:tcPr>
          <w:p>
            <w:pPr>
              <w:snapToGrid w:val="0"/>
              <w:jc w:val="center"/>
            </w:pPr>
            <w:r>
              <w:t>5</w:t>
            </w:r>
          </w:p>
        </w:tc>
        <w:tc>
          <w:tcPr>
            <w:tcW w:w="3352" w:type="dxa"/>
            <w:vAlign w:val="center"/>
          </w:tcPr>
          <w:p>
            <w:pPr>
              <w:snapToGrid w:val="0"/>
              <w:jc w:val="center"/>
            </w:pPr>
            <w:r>
              <w:t>布线</w:t>
            </w:r>
          </w:p>
        </w:tc>
        <w:tc>
          <w:tcPr>
            <w:tcW w:w="3243" w:type="dxa"/>
            <w:vAlign w:val="center"/>
          </w:tcPr>
          <w:p>
            <w:pPr>
              <w:snapToGrid w:val="0"/>
              <w:jc w:val="center"/>
            </w:pPr>
            <w:r>
              <w:t>QB/T 2947.1—2008</w:t>
            </w:r>
          </w:p>
          <w:p>
            <w:pPr>
              <w:snapToGrid w:val="0"/>
              <w:jc w:val="center"/>
            </w:pPr>
            <w:r>
              <w:t>QB/T 2947.3—2008</w:t>
            </w:r>
          </w:p>
        </w:tc>
      </w:tr>
      <w:tr>
        <w:trPr>
          <w:trHeight w:val="340" w:hRule="atLeast"/>
          <w:jc w:val="center"/>
        </w:trPr>
        <w:tc>
          <w:tcPr>
            <w:tcW w:w="816" w:type="dxa"/>
            <w:vAlign w:val="center"/>
          </w:tcPr>
          <w:p>
            <w:pPr>
              <w:snapToGrid w:val="0"/>
              <w:jc w:val="center"/>
            </w:pPr>
            <w:r>
              <w:t>6</w:t>
            </w:r>
          </w:p>
        </w:tc>
        <w:tc>
          <w:tcPr>
            <w:tcW w:w="3352" w:type="dxa"/>
            <w:vAlign w:val="center"/>
          </w:tcPr>
          <w:p>
            <w:pPr>
              <w:snapToGrid w:val="0"/>
              <w:jc w:val="center"/>
            </w:pPr>
            <w:r>
              <w:t>输入、输出线及插头</w:t>
            </w:r>
          </w:p>
        </w:tc>
        <w:tc>
          <w:tcPr>
            <w:tcW w:w="3243" w:type="dxa"/>
            <w:vAlign w:val="center"/>
          </w:tcPr>
          <w:p>
            <w:pPr>
              <w:snapToGrid w:val="0"/>
              <w:jc w:val="center"/>
            </w:pPr>
            <w:r>
              <w:t>QB/T 2947.1—2008</w:t>
            </w:r>
          </w:p>
          <w:p>
            <w:pPr>
              <w:snapToGrid w:val="0"/>
              <w:jc w:val="center"/>
            </w:pPr>
            <w:r>
              <w:t>QB/T 2947.3—2008</w:t>
            </w:r>
          </w:p>
        </w:tc>
      </w:tr>
    </w:tbl>
    <w:p>
      <w:pPr>
        <w:spacing w:line="400" w:lineRule="exact"/>
        <w:rPr>
          <w:rFonts w:ascii="宋体" w:hAnsi="宋体"/>
          <w:b/>
        </w:rPr>
      </w:pPr>
    </w:p>
    <w:p>
      <w:pPr>
        <w:snapToGrid w:val="0"/>
        <w:spacing w:line="440" w:lineRule="exact"/>
        <w:jc w:val="center"/>
      </w:pPr>
      <w:r>
        <w:rPr>
          <w:rFonts w:hint="eastAsia" w:ascii="宋体" w:hAnsi="宋体"/>
        </w:rPr>
        <w:t>表4</w:t>
      </w:r>
      <w:r>
        <w:rPr>
          <w:rFonts w:ascii="宋体" w:hAnsi="宋体"/>
        </w:rPr>
        <w:t xml:space="preserve"> </w:t>
      </w:r>
      <w:r>
        <w:t>产品执行标准</w:t>
      </w:r>
      <w:r>
        <w:rPr>
          <w:rFonts w:hint="eastAsia" w:ascii="宋体" w:hAnsi="宋体"/>
        </w:rPr>
        <w:t>GB</w:t>
      </w:r>
      <w:r>
        <w:rPr>
          <w:rFonts w:ascii="宋体" w:hAnsi="宋体"/>
        </w:rPr>
        <w:t xml:space="preserve"> </w:t>
      </w:r>
      <w:r>
        <w:rPr>
          <w:rFonts w:hint="eastAsia" w:ascii="宋体" w:hAnsi="宋体"/>
        </w:rPr>
        <w:t>42296-202</w:t>
      </w:r>
      <w:r>
        <w:rPr>
          <w:rFonts w:ascii="宋体" w:hAnsi="宋体"/>
        </w:rPr>
        <w:t>2</w:t>
      </w:r>
      <w:r>
        <w:t>检验项目</w:t>
      </w:r>
    </w:p>
    <w:tbl>
      <w:tblPr>
        <w:tblW w:w="7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13"/>
        <w:gridCol w:w="3372"/>
        <w:gridCol w:w="3254"/>
      </w:tblGrid>
      <w:tr>
        <w:trPr>
          <w:trHeight w:val="597" w:hRule="atLeast"/>
          <w:tblHeader/>
          <w:jc w:val="center"/>
        </w:trPr>
        <w:tc>
          <w:tcPr>
            <w:tcW w:w="913" w:type="dxa"/>
            <w:vAlign w:val="center"/>
          </w:tcPr>
          <w:p>
            <w:pPr>
              <w:adjustRightInd w:val="0"/>
              <w:snapToGrid w:val="0"/>
              <w:jc w:val="center"/>
              <w:rPr>
                <w:rFonts w:ascii="仿宋_GB2312" w:hAnsi="仿宋_GB2312" w:eastAsia="仿宋_GB2312" w:cs="仿宋_GB2312"/>
                <w:b/>
              </w:rPr>
            </w:pPr>
            <w:r>
              <w:rPr>
                <w:rFonts w:hint="eastAsia" w:ascii="仿宋_GB2312" w:hAnsi="仿宋_GB2312" w:eastAsia="仿宋_GB2312" w:cs="仿宋_GB2312"/>
                <w:b/>
              </w:rPr>
              <w:t>序号</w:t>
            </w:r>
          </w:p>
        </w:tc>
        <w:tc>
          <w:tcPr>
            <w:tcW w:w="3372" w:type="dxa"/>
            <w:vAlign w:val="center"/>
          </w:tcPr>
          <w:p>
            <w:pPr>
              <w:adjustRightInd w:val="0"/>
              <w:snapToGrid w:val="0"/>
              <w:jc w:val="center"/>
              <w:rPr>
                <w:rFonts w:ascii="仿宋_GB2312" w:hAnsi="仿宋_GB2312" w:eastAsia="仿宋_GB2312" w:cs="仿宋_GB2312"/>
                <w:b/>
              </w:rPr>
            </w:pPr>
            <w:r>
              <w:rPr>
                <w:rFonts w:hint="eastAsia" w:ascii="仿宋_GB2312" w:hAnsi="仿宋_GB2312" w:eastAsia="仿宋_GB2312" w:cs="仿宋_GB2312"/>
                <w:b/>
              </w:rPr>
              <w:t>检验项目</w:t>
            </w:r>
          </w:p>
        </w:tc>
        <w:tc>
          <w:tcPr>
            <w:tcW w:w="3254" w:type="dxa"/>
            <w:vAlign w:val="center"/>
          </w:tcPr>
          <w:p>
            <w:pPr>
              <w:adjustRightInd w:val="0"/>
              <w:snapToGrid w:val="0"/>
              <w:jc w:val="center"/>
              <w:rPr>
                <w:rFonts w:ascii="仿宋_GB2312" w:hAnsi="仿宋_GB2312" w:eastAsia="仿宋_GB2312" w:cs="仿宋_GB2312"/>
                <w:b/>
              </w:rPr>
            </w:pPr>
            <w:r>
              <w:rPr>
                <w:rFonts w:hint="eastAsia" w:ascii="仿宋_GB2312" w:hAnsi="仿宋_GB2312" w:eastAsia="仿宋_GB2312" w:cs="仿宋_GB2312"/>
                <w:b/>
              </w:rPr>
              <w:t>检验方法</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1</w:t>
            </w:r>
          </w:p>
        </w:tc>
        <w:tc>
          <w:tcPr>
            <w:tcW w:w="3372" w:type="dxa"/>
            <w:tcBorders>
              <w:top w:val="nil"/>
              <w:left w:val="nil"/>
              <w:bottom w:val="single" w:color="auto" w:sz="8" w:space="0"/>
              <w:right w:val="single" w:color="auto" w:sz="8" w:space="0"/>
            </w:tcBorders>
            <w:vAlign w:val="center"/>
          </w:tcPr>
          <w:p>
            <w:pPr>
              <w:snapToGrid w:val="0"/>
              <w:jc w:val="center"/>
              <w:rPr>
                <w:rFonts w:ascii="宋体" w:hAnsi="宋体"/>
                <w:color w:val="000000"/>
              </w:rPr>
            </w:pPr>
            <w:r>
              <w:rPr>
                <w:rFonts w:hint="eastAsia" w:ascii="宋体" w:hAnsi="宋体"/>
                <w:color w:val="000000"/>
              </w:rPr>
              <w:t>外壳冲击</w:t>
            </w:r>
          </w:p>
        </w:tc>
        <w:tc>
          <w:tcPr>
            <w:tcW w:w="3254" w:type="dxa"/>
            <w:vAlign w:val="center"/>
          </w:tcPr>
          <w:p>
            <w:pPr>
              <w:rPr>
                <w:rFonts w:ascii="仿宋_GB2312" w:hAnsi="仿宋_GB2312" w:eastAsia="仿宋_GB2312" w:cs="仿宋_GB2312"/>
              </w:rPr>
            </w:pPr>
            <w:r>
              <w:rPr>
                <w:rFonts w:hint="eastAsia" w:ascii="仿宋_GB2312" w:hAnsi="仿宋_GB2312" w:eastAsia="仿宋_GB2312" w:cs="仿宋_GB2312"/>
                <w:bCs/>
              </w:rPr>
              <w:t>GB 42296-2022第5</w:t>
            </w:r>
            <w:r>
              <w:rPr>
                <w:rFonts w:ascii="仿宋_GB2312" w:hAnsi="仿宋_GB2312" w:eastAsia="仿宋_GB2312" w:cs="仿宋_GB2312"/>
                <w:bCs/>
              </w:rPr>
              <w:t>.1.1</w:t>
            </w:r>
            <w:r>
              <w:rPr>
                <w:rFonts w:hint="eastAsia" w:ascii="仿宋_GB2312" w:hAnsi="仿宋_GB2312" w:eastAsia="仿宋_GB2312" w:cs="仿宋_GB2312"/>
                <w:bCs/>
              </w:rPr>
              <w:t xml:space="preserve"> 条</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2</w:t>
            </w:r>
          </w:p>
        </w:tc>
        <w:tc>
          <w:tcPr>
            <w:tcW w:w="3372" w:type="dxa"/>
            <w:tcBorders>
              <w:top w:val="nil"/>
              <w:left w:val="nil"/>
              <w:bottom w:val="single" w:color="auto" w:sz="8" w:space="0"/>
              <w:right w:val="single" w:color="auto" w:sz="8" w:space="0"/>
            </w:tcBorders>
            <w:vAlign w:val="center"/>
          </w:tcPr>
          <w:p>
            <w:pPr>
              <w:snapToGrid w:val="0"/>
              <w:jc w:val="center"/>
              <w:rPr>
                <w:rFonts w:ascii="宋体" w:hAnsi="宋体"/>
                <w:color w:val="000000"/>
              </w:rPr>
            </w:pPr>
            <w:r>
              <w:rPr>
                <w:rFonts w:hint="eastAsia" w:ascii="宋体" w:hAnsi="宋体"/>
                <w:color w:val="000000"/>
              </w:rPr>
              <w:t>跌落</w:t>
            </w:r>
          </w:p>
        </w:tc>
        <w:tc>
          <w:tcPr>
            <w:tcW w:w="3254" w:type="dxa"/>
            <w:vAlign w:val="center"/>
          </w:tcPr>
          <w:p>
            <w:r>
              <w:rPr>
                <w:rFonts w:hint="eastAsia" w:ascii="仿宋_GB2312" w:hAnsi="仿宋_GB2312" w:eastAsia="仿宋_GB2312" w:cs="仿宋_GB2312"/>
                <w:bCs/>
              </w:rPr>
              <w:t xml:space="preserve">GB 42296-2022第 </w:t>
            </w:r>
            <w:r>
              <w:rPr>
                <w:rFonts w:ascii="仿宋_GB2312" w:hAnsi="仿宋_GB2312" w:eastAsia="仿宋_GB2312" w:cs="仿宋_GB2312"/>
                <w:bCs/>
              </w:rPr>
              <w:t>5.1.2</w:t>
            </w:r>
            <w:r>
              <w:rPr>
                <w:rFonts w:hint="eastAsia" w:ascii="仿宋_GB2312" w:hAnsi="仿宋_GB2312" w:eastAsia="仿宋_GB2312" w:cs="仿宋_GB2312"/>
                <w:bCs/>
              </w:rPr>
              <w:t>条</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3372" w:type="dxa"/>
            <w:tcBorders>
              <w:top w:val="nil"/>
              <w:left w:val="nil"/>
              <w:bottom w:val="single" w:color="auto" w:sz="8" w:space="0"/>
              <w:right w:val="single" w:color="auto" w:sz="8" w:space="0"/>
            </w:tcBorders>
            <w:vAlign w:val="center"/>
          </w:tcPr>
          <w:p>
            <w:pPr>
              <w:snapToGrid w:val="0"/>
              <w:jc w:val="center"/>
              <w:rPr>
                <w:rFonts w:ascii="宋体" w:hAnsi="宋体"/>
                <w:color w:val="000000"/>
              </w:rPr>
            </w:pPr>
            <w:r>
              <w:rPr>
                <w:rFonts w:hint="eastAsia" w:ascii="宋体" w:hAnsi="宋体"/>
                <w:color w:val="000000"/>
              </w:rPr>
              <w:t>电气强度</w:t>
            </w:r>
          </w:p>
        </w:tc>
        <w:tc>
          <w:tcPr>
            <w:tcW w:w="3254" w:type="dxa"/>
            <w:vAlign w:val="center"/>
          </w:tcPr>
          <w:p>
            <w:r>
              <w:rPr>
                <w:rFonts w:hint="eastAsia" w:ascii="仿宋_GB2312" w:hAnsi="仿宋_GB2312" w:eastAsia="仿宋_GB2312" w:cs="仿宋_GB2312"/>
                <w:bCs/>
              </w:rPr>
              <w:t>GB 42296-2022第</w:t>
            </w:r>
            <w:r>
              <w:rPr>
                <w:rFonts w:ascii="仿宋_GB2312" w:hAnsi="仿宋_GB2312" w:eastAsia="仿宋_GB2312" w:cs="仿宋_GB2312"/>
                <w:bCs/>
              </w:rPr>
              <w:t>5.2.2</w:t>
            </w:r>
            <w:r>
              <w:rPr>
                <w:rFonts w:hint="eastAsia" w:ascii="仿宋_GB2312" w:hAnsi="仿宋_GB2312" w:eastAsia="仿宋_GB2312" w:cs="仿宋_GB2312"/>
                <w:bCs/>
              </w:rPr>
              <w:t>条</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4</w:t>
            </w:r>
          </w:p>
        </w:tc>
        <w:tc>
          <w:tcPr>
            <w:tcW w:w="3372" w:type="dxa"/>
            <w:tcBorders>
              <w:top w:val="single" w:color="auto" w:sz="4" w:space="0"/>
              <w:left w:val="nil"/>
              <w:bottom w:val="single" w:color="auto" w:sz="8" w:space="0"/>
              <w:right w:val="single" w:color="auto" w:sz="8" w:space="0"/>
            </w:tcBorders>
            <w:vAlign w:val="center"/>
          </w:tcPr>
          <w:p>
            <w:pPr>
              <w:snapToGrid w:val="0"/>
              <w:jc w:val="center"/>
              <w:rPr>
                <w:rFonts w:ascii="宋体" w:hAnsi="宋体"/>
                <w:color w:val="000000"/>
              </w:rPr>
            </w:pPr>
            <w:r>
              <w:rPr>
                <w:rFonts w:hint="eastAsia" w:ascii="宋体" w:hAnsi="宋体" w:cs="宋体"/>
                <w:kern w:val="0"/>
              </w:rPr>
              <w:t>防触电保护</w:t>
            </w:r>
          </w:p>
        </w:tc>
        <w:tc>
          <w:tcPr>
            <w:tcW w:w="3254" w:type="dxa"/>
            <w:vAlign w:val="center"/>
          </w:tcPr>
          <w:p>
            <w:r>
              <w:rPr>
                <w:rFonts w:hint="eastAsia" w:ascii="仿宋_GB2312" w:hAnsi="仿宋_GB2312" w:eastAsia="仿宋_GB2312" w:cs="仿宋_GB2312"/>
                <w:bCs/>
              </w:rPr>
              <w:t xml:space="preserve">GB 42296-2022第 </w:t>
            </w:r>
            <w:r>
              <w:rPr>
                <w:rFonts w:ascii="仿宋_GB2312" w:hAnsi="仿宋_GB2312" w:eastAsia="仿宋_GB2312" w:cs="仿宋_GB2312"/>
                <w:bCs/>
              </w:rPr>
              <w:t>5.2.4</w:t>
            </w:r>
            <w:r>
              <w:rPr>
                <w:rFonts w:hint="eastAsia" w:ascii="仿宋_GB2312" w:hAnsi="仿宋_GB2312" w:eastAsia="仿宋_GB2312" w:cs="仿宋_GB2312"/>
                <w:bCs/>
              </w:rPr>
              <w:t>条</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5</w:t>
            </w:r>
          </w:p>
        </w:tc>
        <w:tc>
          <w:tcPr>
            <w:tcW w:w="3372" w:type="dxa"/>
            <w:tcBorders>
              <w:top w:val="nil"/>
              <w:left w:val="nil"/>
              <w:bottom w:val="single" w:color="auto" w:sz="8" w:space="0"/>
              <w:right w:val="single" w:color="auto" w:sz="8" w:space="0"/>
            </w:tcBorders>
            <w:vAlign w:val="center"/>
          </w:tcPr>
          <w:p>
            <w:pPr>
              <w:snapToGrid w:val="0"/>
              <w:jc w:val="center"/>
              <w:rPr>
                <w:rFonts w:ascii="宋体" w:hAnsi="宋体"/>
                <w:color w:val="000000"/>
              </w:rPr>
            </w:pPr>
            <w:r>
              <w:rPr>
                <w:rFonts w:hint="eastAsia" w:ascii="宋体" w:hAnsi="宋体" w:cs="宋体"/>
                <w:kern w:val="0"/>
              </w:rPr>
              <w:t>非正常工作</w:t>
            </w:r>
          </w:p>
        </w:tc>
        <w:tc>
          <w:tcPr>
            <w:tcW w:w="3254" w:type="dxa"/>
            <w:vAlign w:val="center"/>
          </w:tcPr>
          <w:p>
            <w:r>
              <w:rPr>
                <w:rFonts w:hint="eastAsia" w:ascii="仿宋_GB2312" w:hAnsi="仿宋_GB2312" w:eastAsia="仿宋_GB2312" w:cs="仿宋_GB2312"/>
                <w:bCs/>
              </w:rPr>
              <w:t>GB 42296-2022第5</w:t>
            </w:r>
            <w:r>
              <w:rPr>
                <w:rFonts w:ascii="仿宋_GB2312" w:hAnsi="仿宋_GB2312" w:eastAsia="仿宋_GB2312" w:cs="仿宋_GB2312"/>
                <w:bCs/>
              </w:rPr>
              <w:t>.2.5</w:t>
            </w:r>
            <w:r>
              <w:rPr>
                <w:rFonts w:hint="eastAsia" w:ascii="仿宋_GB2312" w:hAnsi="仿宋_GB2312" w:eastAsia="仿宋_GB2312" w:cs="仿宋_GB2312"/>
                <w:bCs/>
              </w:rPr>
              <w:t xml:space="preserve"> 条</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6</w:t>
            </w:r>
          </w:p>
        </w:tc>
        <w:tc>
          <w:tcPr>
            <w:tcW w:w="3372" w:type="dxa"/>
            <w:tcBorders>
              <w:top w:val="nil"/>
              <w:left w:val="nil"/>
              <w:bottom w:val="single" w:color="auto" w:sz="8" w:space="0"/>
              <w:right w:val="single" w:color="auto" w:sz="8" w:space="0"/>
            </w:tcBorders>
            <w:vAlign w:val="center"/>
          </w:tcPr>
          <w:p>
            <w:pPr>
              <w:autoSpaceDE w:val="0"/>
              <w:autoSpaceDN w:val="0"/>
              <w:adjustRightInd w:val="0"/>
              <w:jc w:val="center"/>
              <w:rPr>
                <w:rFonts w:ascii="宋体" w:hAnsi="宋体" w:cs="宋体"/>
                <w:kern w:val="0"/>
              </w:rPr>
            </w:pPr>
            <w:r>
              <w:rPr>
                <w:rFonts w:hint="eastAsia" w:ascii="宋体" w:hAnsi="宋体" w:cs="宋体"/>
                <w:kern w:val="0"/>
              </w:rPr>
              <w:t>熔断器</w:t>
            </w:r>
          </w:p>
        </w:tc>
        <w:tc>
          <w:tcPr>
            <w:tcW w:w="3254" w:type="dxa"/>
            <w:vAlign w:val="center"/>
          </w:tcPr>
          <w:p>
            <w:r>
              <w:rPr>
                <w:rFonts w:hint="eastAsia" w:ascii="仿宋_GB2312" w:hAnsi="仿宋_GB2312" w:eastAsia="仿宋_GB2312" w:cs="仿宋_GB2312"/>
                <w:bCs/>
              </w:rPr>
              <w:t>GB 42296-2022第5</w:t>
            </w:r>
            <w:r>
              <w:rPr>
                <w:rFonts w:ascii="仿宋_GB2312" w:hAnsi="仿宋_GB2312" w:eastAsia="仿宋_GB2312" w:cs="仿宋_GB2312"/>
                <w:bCs/>
              </w:rPr>
              <w:t>.2.6</w:t>
            </w:r>
            <w:r>
              <w:rPr>
                <w:rFonts w:hint="eastAsia" w:ascii="仿宋_GB2312" w:hAnsi="仿宋_GB2312" w:eastAsia="仿宋_GB2312" w:cs="仿宋_GB2312"/>
                <w:bCs/>
              </w:rPr>
              <w:t xml:space="preserve"> 条</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7</w:t>
            </w:r>
          </w:p>
        </w:tc>
        <w:tc>
          <w:tcPr>
            <w:tcW w:w="3372" w:type="dxa"/>
            <w:tcBorders>
              <w:top w:val="nil"/>
              <w:left w:val="nil"/>
              <w:bottom w:val="single" w:color="auto" w:sz="4" w:space="0"/>
              <w:right w:val="single" w:color="auto" w:sz="8" w:space="0"/>
            </w:tcBorders>
            <w:vAlign w:val="center"/>
          </w:tcPr>
          <w:p>
            <w:pPr>
              <w:autoSpaceDE w:val="0"/>
              <w:autoSpaceDN w:val="0"/>
              <w:adjustRightInd w:val="0"/>
              <w:jc w:val="center"/>
              <w:rPr>
                <w:rFonts w:ascii="宋体" w:hAnsi="宋体" w:cs="宋体"/>
                <w:kern w:val="0"/>
              </w:rPr>
            </w:pPr>
            <w:r>
              <w:rPr>
                <w:rFonts w:hint="eastAsia" w:ascii="宋体" w:hAnsi="宋体"/>
                <w:iCs/>
              </w:rPr>
              <w:t>充电参数</w:t>
            </w:r>
          </w:p>
        </w:tc>
        <w:tc>
          <w:tcPr>
            <w:tcW w:w="3254" w:type="dxa"/>
            <w:vAlign w:val="center"/>
          </w:tcPr>
          <w:p>
            <w:r>
              <w:rPr>
                <w:rFonts w:hint="eastAsia" w:ascii="仿宋_GB2312" w:hAnsi="仿宋_GB2312" w:eastAsia="仿宋_GB2312" w:cs="仿宋_GB2312"/>
                <w:bCs/>
              </w:rPr>
              <w:t>GB 42296-2022第</w:t>
            </w:r>
            <w:r>
              <w:rPr>
                <w:rFonts w:ascii="仿宋_GB2312" w:hAnsi="仿宋_GB2312" w:eastAsia="仿宋_GB2312" w:cs="仿宋_GB2312"/>
                <w:bCs/>
              </w:rPr>
              <w:t>5.2.7</w:t>
            </w:r>
            <w:r>
              <w:rPr>
                <w:rFonts w:hint="eastAsia" w:ascii="仿宋_GB2312" w:hAnsi="仿宋_GB2312" w:eastAsia="仿宋_GB2312" w:cs="仿宋_GB2312"/>
                <w:bCs/>
              </w:rPr>
              <w:t>条</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8</w:t>
            </w:r>
          </w:p>
        </w:tc>
        <w:tc>
          <w:tcPr>
            <w:tcW w:w="3372" w:type="dxa"/>
            <w:tcBorders>
              <w:top w:val="nil"/>
              <w:left w:val="nil"/>
              <w:bottom w:val="single" w:color="auto" w:sz="4" w:space="0"/>
              <w:right w:val="single" w:color="auto" w:sz="8" w:space="0"/>
            </w:tcBorders>
            <w:vAlign w:val="center"/>
          </w:tcPr>
          <w:p>
            <w:pPr>
              <w:autoSpaceDE w:val="0"/>
              <w:autoSpaceDN w:val="0"/>
              <w:adjustRightInd w:val="0"/>
              <w:jc w:val="center"/>
              <w:rPr>
                <w:rFonts w:ascii="宋体" w:hAnsi="宋体"/>
                <w:iCs/>
              </w:rPr>
            </w:pPr>
            <w:r>
              <w:rPr>
                <w:rFonts w:hint="eastAsia" w:ascii="宋体" w:hAnsi="宋体"/>
                <w:iCs/>
              </w:rPr>
              <w:t>环境适应性（仅做防水）</w:t>
            </w:r>
          </w:p>
        </w:tc>
        <w:tc>
          <w:tcPr>
            <w:tcW w:w="3254" w:type="dxa"/>
            <w:vAlign w:val="center"/>
          </w:tcPr>
          <w:p>
            <w:r>
              <w:rPr>
                <w:rFonts w:hint="eastAsia" w:ascii="仿宋_GB2312" w:hAnsi="仿宋_GB2312" w:eastAsia="仿宋_GB2312" w:cs="仿宋_GB2312"/>
                <w:bCs/>
              </w:rPr>
              <w:t xml:space="preserve">GB 42296-2022第 </w:t>
            </w:r>
            <w:r>
              <w:rPr>
                <w:rFonts w:ascii="仿宋_GB2312" w:hAnsi="仿宋_GB2312" w:eastAsia="仿宋_GB2312" w:cs="仿宋_GB2312"/>
                <w:bCs/>
              </w:rPr>
              <w:t>5.3.5</w:t>
            </w:r>
            <w:r>
              <w:rPr>
                <w:rFonts w:hint="eastAsia" w:ascii="仿宋_GB2312" w:hAnsi="仿宋_GB2312" w:eastAsia="仿宋_GB2312" w:cs="仿宋_GB2312"/>
                <w:bCs/>
              </w:rPr>
              <w:t>条</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9</w:t>
            </w:r>
          </w:p>
        </w:tc>
        <w:tc>
          <w:tcPr>
            <w:tcW w:w="3372" w:type="dxa"/>
            <w:tcBorders>
              <w:top w:val="nil"/>
              <w:left w:val="nil"/>
              <w:bottom w:val="single" w:color="auto" w:sz="4" w:space="0"/>
              <w:right w:val="single" w:color="auto" w:sz="8" w:space="0"/>
            </w:tcBorders>
            <w:vAlign w:val="center"/>
          </w:tcPr>
          <w:p>
            <w:pPr>
              <w:autoSpaceDE w:val="0"/>
              <w:autoSpaceDN w:val="0"/>
              <w:adjustRightInd w:val="0"/>
              <w:jc w:val="center"/>
              <w:rPr>
                <w:rFonts w:ascii="宋体" w:hAnsi="宋体"/>
                <w:iCs/>
              </w:rPr>
            </w:pPr>
            <w:r>
              <w:rPr>
                <w:rFonts w:hint="eastAsia" w:ascii="宋体" w:hAnsi="宋体"/>
                <w:iCs/>
              </w:rPr>
              <w:t>发热与热失控</w:t>
            </w:r>
          </w:p>
        </w:tc>
        <w:tc>
          <w:tcPr>
            <w:tcW w:w="3254" w:type="dxa"/>
            <w:vAlign w:val="center"/>
          </w:tcPr>
          <w:p>
            <w:r>
              <w:rPr>
                <w:rFonts w:hint="eastAsia" w:ascii="仿宋_GB2312" w:hAnsi="仿宋_GB2312" w:eastAsia="仿宋_GB2312" w:cs="仿宋_GB2312"/>
                <w:bCs/>
              </w:rPr>
              <w:t>GB 42296-2022第5</w:t>
            </w:r>
            <w:r>
              <w:rPr>
                <w:rFonts w:ascii="仿宋_GB2312" w:hAnsi="仿宋_GB2312" w:eastAsia="仿宋_GB2312" w:cs="仿宋_GB2312"/>
                <w:bCs/>
              </w:rPr>
              <w:t>.4</w:t>
            </w:r>
            <w:r>
              <w:rPr>
                <w:rFonts w:hint="eastAsia" w:ascii="仿宋_GB2312" w:hAnsi="仿宋_GB2312" w:eastAsia="仿宋_GB2312" w:cs="仿宋_GB2312"/>
                <w:bCs/>
              </w:rPr>
              <w:t xml:space="preserve"> 条</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0</w:t>
            </w:r>
          </w:p>
        </w:tc>
        <w:tc>
          <w:tcPr>
            <w:tcW w:w="3372" w:type="dxa"/>
            <w:tcBorders>
              <w:top w:val="nil"/>
              <w:left w:val="nil"/>
              <w:bottom w:val="single" w:color="auto" w:sz="4" w:space="0"/>
              <w:right w:val="single" w:color="auto" w:sz="8" w:space="0"/>
            </w:tcBorders>
            <w:vAlign w:val="center"/>
          </w:tcPr>
          <w:p>
            <w:pPr>
              <w:autoSpaceDE w:val="0"/>
              <w:autoSpaceDN w:val="0"/>
              <w:adjustRightInd w:val="0"/>
              <w:jc w:val="center"/>
              <w:rPr>
                <w:rFonts w:ascii="宋体" w:hAnsi="宋体"/>
                <w:iCs/>
              </w:rPr>
            </w:pPr>
            <w:r>
              <w:rPr>
                <w:rFonts w:hint="eastAsia" w:ascii="宋体" w:hAnsi="宋体"/>
                <w:iCs/>
              </w:rPr>
              <w:t>输出接口安全性</w:t>
            </w:r>
          </w:p>
        </w:tc>
        <w:tc>
          <w:tcPr>
            <w:tcW w:w="3254" w:type="dxa"/>
            <w:vAlign w:val="center"/>
          </w:tcPr>
          <w:p>
            <w:r>
              <w:rPr>
                <w:rFonts w:hint="eastAsia" w:ascii="仿宋_GB2312" w:hAnsi="仿宋_GB2312" w:eastAsia="仿宋_GB2312" w:cs="仿宋_GB2312"/>
                <w:bCs/>
              </w:rPr>
              <w:t>GB 42296-2022第5</w:t>
            </w:r>
            <w:r>
              <w:rPr>
                <w:rFonts w:ascii="仿宋_GB2312" w:hAnsi="仿宋_GB2312" w:eastAsia="仿宋_GB2312" w:cs="仿宋_GB2312"/>
                <w:bCs/>
              </w:rPr>
              <w:t>.5</w:t>
            </w:r>
            <w:r>
              <w:rPr>
                <w:rFonts w:hint="eastAsia" w:ascii="仿宋_GB2312" w:hAnsi="仿宋_GB2312" w:eastAsia="仿宋_GB2312" w:cs="仿宋_GB2312"/>
                <w:bCs/>
              </w:rPr>
              <w:t xml:space="preserve"> 条</w:t>
            </w:r>
          </w:p>
        </w:tc>
      </w:tr>
      <w:tr>
        <w:trPr>
          <w:trHeight w:val="598" w:hRule="atLeast"/>
          <w:jc w:val="center"/>
        </w:trPr>
        <w:tc>
          <w:tcPr>
            <w:tcW w:w="913" w:type="dxa"/>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11</w:t>
            </w:r>
          </w:p>
        </w:tc>
        <w:tc>
          <w:tcPr>
            <w:tcW w:w="33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rPr>
            </w:pPr>
            <w:r>
              <w:rPr>
                <w:rFonts w:hint="eastAsia" w:ascii="宋体" w:hAnsi="宋体"/>
                <w:color w:val="000000"/>
              </w:rPr>
              <w:t>耐热、灼热丝</w:t>
            </w:r>
          </w:p>
        </w:tc>
        <w:tc>
          <w:tcPr>
            <w:tcW w:w="3254" w:type="dxa"/>
            <w:vAlign w:val="center"/>
          </w:tcPr>
          <w:p>
            <w:r>
              <w:rPr>
                <w:rFonts w:hint="eastAsia" w:ascii="仿宋_GB2312" w:hAnsi="仿宋_GB2312" w:eastAsia="仿宋_GB2312" w:cs="仿宋_GB2312"/>
                <w:bCs/>
              </w:rPr>
              <w:t>GB 42296-2022第</w:t>
            </w:r>
            <w:r>
              <w:rPr>
                <w:rFonts w:ascii="仿宋_GB2312" w:hAnsi="仿宋_GB2312" w:eastAsia="仿宋_GB2312" w:cs="仿宋_GB2312"/>
                <w:bCs/>
              </w:rPr>
              <w:t>5.6</w:t>
            </w:r>
            <w:r>
              <w:rPr>
                <w:rFonts w:hint="eastAsia" w:ascii="仿宋_GB2312" w:hAnsi="仿宋_GB2312" w:eastAsia="仿宋_GB2312" w:cs="仿宋_GB2312"/>
                <w:bCs/>
              </w:rPr>
              <w:t>条</w:t>
            </w:r>
          </w:p>
        </w:tc>
      </w:tr>
    </w:tbl>
    <w:p>
      <w:pPr>
        <w:snapToGrid w:val="0"/>
        <w:spacing w:line="440" w:lineRule="exact"/>
        <w:jc w:val="center"/>
        <w:rPr>
          <w:rFonts w:ascii="宋体" w:hAnsi="宋体"/>
        </w:rPr>
      </w:pPr>
    </w:p>
    <w:p>
      <w:pPr>
        <w:widowControl/>
        <w:spacing w:line="320" w:lineRule="atLeast"/>
        <w:jc w:val="center"/>
        <w:rPr>
          <w:rFonts w:hint="eastAsia" w:eastAsia="微软雅黑"/>
          <w:color w:val="000000"/>
          <w:kern w:val="0"/>
        </w:rPr>
      </w:pPr>
      <w:bookmarkStart w:id="0" w:name="_GoBack"/>
      <w:r>
        <w:rPr>
          <w:rFonts w:hint="eastAsia" w:ascii="宋体" w:hAnsi="宋体"/>
          <w:color w:val="000000"/>
        </w:rPr>
        <w:t>表</w:t>
      </w:r>
      <w:r>
        <w:rPr>
          <w:rFonts w:ascii="宋体" w:hAnsi="宋体"/>
          <w:color w:val="000000"/>
        </w:rPr>
        <w:t xml:space="preserve">5  </w:t>
      </w:r>
      <w:r>
        <w:rPr>
          <w:color w:val="000000"/>
        </w:rPr>
        <w:t>产品执行标准</w:t>
      </w:r>
      <w:r>
        <w:rPr>
          <w:rFonts w:hint="eastAsia" w:ascii="宋体" w:hAnsi="宋体"/>
          <w:color w:val="000000"/>
          <w:kern w:val="0"/>
        </w:rPr>
        <w:t>T/TCDZ 0001-2016、T/TCDZ 0001-2019</w:t>
      </w:r>
      <w:r>
        <w:rPr>
          <w:color w:val="000000"/>
        </w:rPr>
        <w:t>检验项目</w:t>
      </w:r>
    </w:p>
    <w:tbl>
      <w:tblPr>
        <w:tblW w:w="8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
      <w:tblGrid>
        <w:gridCol w:w="791"/>
        <w:gridCol w:w="2228"/>
        <w:gridCol w:w="2345"/>
        <w:gridCol w:w="3056"/>
      </w:tblGrid>
      <w:tr>
        <w:trPr>
          <w:trHeight w:val="90" w:hRule="atLeast"/>
        </w:trPr>
        <w:tc>
          <w:tcPr>
            <w:tcW w:w="79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eastAsia="微软雅黑"/>
                <w:color w:val="000000"/>
                <w:kern w:val="0"/>
              </w:rPr>
            </w:pPr>
            <w:r>
              <w:rPr>
                <w:rFonts w:hint="eastAsia" w:ascii="宋体" w:hAnsi="宋体"/>
                <w:color w:val="000000"/>
                <w:kern w:val="0"/>
              </w:rPr>
              <w:t>序号</w:t>
            </w:r>
          </w:p>
        </w:tc>
        <w:tc>
          <w:tcPr>
            <w:tcW w:w="222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eastAsia="微软雅黑"/>
                <w:color w:val="000000"/>
                <w:kern w:val="0"/>
              </w:rPr>
            </w:pPr>
            <w:r>
              <w:rPr>
                <w:rFonts w:hint="eastAsia" w:ascii="宋体" w:hAnsi="宋体"/>
                <w:color w:val="000000"/>
                <w:kern w:val="0"/>
              </w:rPr>
              <w:t>检验项目</w:t>
            </w:r>
          </w:p>
        </w:tc>
        <w:tc>
          <w:tcPr>
            <w:tcW w:w="23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eastAsia="微软雅黑"/>
                <w:color w:val="000000"/>
                <w:kern w:val="0"/>
              </w:rPr>
            </w:pPr>
            <w:r>
              <w:rPr>
                <w:rFonts w:hint="eastAsia" w:ascii="宋体" w:hAnsi="宋体"/>
                <w:color w:val="000000"/>
                <w:kern w:val="0"/>
              </w:rPr>
              <w:t>判定依据</w:t>
            </w:r>
          </w:p>
        </w:tc>
        <w:tc>
          <w:tcPr>
            <w:tcW w:w="305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eastAsia="微软雅黑"/>
                <w:color w:val="000000"/>
                <w:kern w:val="0"/>
              </w:rPr>
            </w:pPr>
            <w:r>
              <w:rPr>
                <w:rFonts w:hint="eastAsia" w:ascii="宋体" w:hAnsi="宋体"/>
                <w:color w:val="000000"/>
                <w:kern w:val="0"/>
              </w:rPr>
              <w:t>检测方法</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1</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输入功率和电流</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第7.1条；</w:t>
            </w:r>
          </w:p>
          <w:p>
            <w:pPr>
              <w:widowControl/>
              <w:spacing w:line="320" w:lineRule="atLeast"/>
              <w:jc w:val="center"/>
              <w:rPr>
                <w:rFonts w:eastAsia="微软雅黑"/>
                <w:color w:val="000000"/>
                <w:kern w:val="0"/>
              </w:rPr>
            </w:pPr>
            <w:r>
              <w:rPr>
                <w:rFonts w:hint="eastAsia" w:ascii="宋体" w:hAnsi="宋体"/>
                <w:color w:val="000000"/>
                <w:kern w:val="0"/>
              </w:rPr>
              <w:t>T/TCDZ 0001-2019 第7.1条</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2</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对触及带电部件的防护</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第8.2条；</w:t>
            </w:r>
          </w:p>
          <w:p>
            <w:pPr>
              <w:widowControl/>
              <w:spacing w:line="320" w:lineRule="atLeast"/>
              <w:jc w:val="center"/>
              <w:rPr>
                <w:rFonts w:eastAsia="微软雅黑"/>
                <w:color w:val="000000"/>
                <w:kern w:val="0"/>
              </w:rPr>
            </w:pPr>
            <w:r>
              <w:rPr>
                <w:rFonts w:hint="eastAsia" w:ascii="宋体" w:hAnsi="宋体"/>
                <w:color w:val="000000"/>
                <w:kern w:val="0"/>
              </w:rPr>
              <w:t>T/TCDZ 0001-2019第8.2条</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3</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发热</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第8.3条；</w:t>
            </w:r>
          </w:p>
          <w:p>
            <w:pPr>
              <w:widowControl/>
              <w:spacing w:line="320" w:lineRule="atLeast"/>
              <w:jc w:val="center"/>
              <w:rPr>
                <w:rFonts w:eastAsia="微软雅黑"/>
                <w:color w:val="000000"/>
                <w:kern w:val="0"/>
              </w:rPr>
            </w:pPr>
            <w:r>
              <w:rPr>
                <w:rFonts w:hint="eastAsia" w:ascii="宋体" w:hAnsi="宋体"/>
                <w:color w:val="000000"/>
                <w:kern w:val="0"/>
              </w:rPr>
              <w:t>T/TCDZ 0001-2019 第8.3条</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4</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泄漏电流和电气强度</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第8.4条；</w:t>
            </w:r>
          </w:p>
          <w:p>
            <w:pPr>
              <w:widowControl/>
              <w:spacing w:line="320" w:lineRule="atLeast"/>
              <w:jc w:val="center"/>
              <w:rPr>
                <w:rFonts w:eastAsia="微软雅黑"/>
                <w:color w:val="000000"/>
                <w:kern w:val="0"/>
              </w:rPr>
            </w:pPr>
            <w:r>
              <w:rPr>
                <w:rFonts w:hint="eastAsia" w:ascii="宋体" w:hAnsi="宋体"/>
                <w:color w:val="000000"/>
                <w:kern w:val="0"/>
              </w:rPr>
              <w:t>T/TCDZ 0001-2019 第8.4条</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5</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机械强度</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第8.5条；</w:t>
            </w:r>
          </w:p>
          <w:p>
            <w:pPr>
              <w:widowControl/>
              <w:spacing w:line="320" w:lineRule="atLeast"/>
              <w:jc w:val="center"/>
              <w:rPr>
                <w:rFonts w:eastAsia="微软雅黑"/>
                <w:color w:val="000000"/>
                <w:kern w:val="0"/>
              </w:rPr>
            </w:pPr>
            <w:r>
              <w:rPr>
                <w:rFonts w:hint="eastAsia" w:ascii="宋体" w:hAnsi="宋体"/>
                <w:color w:val="000000"/>
                <w:kern w:val="0"/>
              </w:rPr>
              <w:t>T/TCDZ 0001-2019 第8.5条</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6</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结构</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第8.6条；</w:t>
            </w:r>
          </w:p>
          <w:p>
            <w:pPr>
              <w:widowControl/>
              <w:spacing w:line="320" w:lineRule="atLeast"/>
              <w:jc w:val="center"/>
              <w:rPr>
                <w:rFonts w:eastAsia="微软雅黑"/>
                <w:color w:val="000000"/>
                <w:kern w:val="0"/>
              </w:rPr>
            </w:pPr>
            <w:r>
              <w:rPr>
                <w:rFonts w:hint="eastAsia" w:ascii="宋体" w:hAnsi="宋体"/>
                <w:color w:val="000000"/>
                <w:kern w:val="0"/>
              </w:rPr>
              <w:t>T/TCDZ 0001-2019 第8.6条</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7</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内部布线</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第8.6条；</w:t>
            </w:r>
          </w:p>
          <w:p>
            <w:pPr>
              <w:widowControl/>
              <w:spacing w:line="320" w:lineRule="atLeast"/>
              <w:jc w:val="center"/>
              <w:rPr>
                <w:rFonts w:eastAsia="微软雅黑"/>
                <w:color w:val="000000"/>
                <w:kern w:val="0"/>
              </w:rPr>
            </w:pPr>
            <w:r>
              <w:rPr>
                <w:rFonts w:hint="eastAsia" w:ascii="宋体" w:hAnsi="宋体"/>
                <w:color w:val="000000"/>
                <w:kern w:val="0"/>
              </w:rPr>
              <w:t>T/TCDZ 0001-2019 第8.6条</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8</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电源连接和外部软线</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第8.6条；</w:t>
            </w:r>
          </w:p>
          <w:p>
            <w:pPr>
              <w:widowControl/>
              <w:spacing w:line="320" w:lineRule="atLeast"/>
              <w:jc w:val="center"/>
              <w:rPr>
                <w:rFonts w:eastAsia="微软雅黑"/>
                <w:color w:val="000000"/>
                <w:kern w:val="0"/>
              </w:rPr>
            </w:pPr>
            <w:r>
              <w:rPr>
                <w:rFonts w:hint="eastAsia" w:ascii="宋体" w:hAnsi="宋体"/>
                <w:color w:val="000000"/>
                <w:kern w:val="0"/>
              </w:rPr>
              <w:t>T/TCDZ 0001-2019 第8.6条</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9</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接地措施</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第8.9条；</w:t>
            </w:r>
          </w:p>
          <w:p>
            <w:pPr>
              <w:widowControl/>
              <w:spacing w:line="320" w:lineRule="atLeast"/>
              <w:jc w:val="center"/>
              <w:rPr>
                <w:rFonts w:eastAsia="微软雅黑"/>
                <w:color w:val="000000"/>
                <w:kern w:val="0"/>
              </w:rPr>
            </w:pPr>
            <w:r>
              <w:rPr>
                <w:rFonts w:hint="eastAsia" w:ascii="宋体" w:hAnsi="宋体"/>
                <w:color w:val="000000"/>
                <w:kern w:val="0"/>
              </w:rPr>
              <w:t>T/TCDZ 0001-2016 第8.9条</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10</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电气间隙、爬电距离</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第8.10</w:t>
            </w:r>
          </w:p>
          <w:p>
            <w:pPr>
              <w:widowControl/>
              <w:spacing w:line="320" w:lineRule="atLeast"/>
              <w:jc w:val="center"/>
              <w:rPr>
                <w:rFonts w:eastAsia="微软雅黑"/>
                <w:color w:val="000000"/>
                <w:kern w:val="0"/>
              </w:rPr>
            </w:pPr>
            <w:r>
              <w:rPr>
                <w:rFonts w:hint="eastAsia" w:ascii="宋体" w:hAnsi="宋体"/>
                <w:color w:val="000000"/>
                <w:kern w:val="0"/>
              </w:rPr>
              <w:t>T/TCDZ 0001-2019 第8.10</w:t>
            </w:r>
          </w:p>
        </w:tc>
      </w:tr>
      <w:tr>
        <w:trPr>
          <w:trHeight w:val="90" w:hRule="atLeast"/>
        </w:trPr>
        <w:tc>
          <w:tcPr>
            <w:tcW w:w="7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11</w:t>
            </w:r>
          </w:p>
        </w:tc>
        <w:tc>
          <w:tcPr>
            <w:tcW w:w="2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耐热和耐燃</w:t>
            </w:r>
          </w:p>
        </w:tc>
        <w:tc>
          <w:tcPr>
            <w:tcW w:w="2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w:t>
            </w:r>
          </w:p>
          <w:p>
            <w:pPr>
              <w:widowControl/>
              <w:spacing w:line="320" w:lineRule="atLeast"/>
              <w:jc w:val="center"/>
              <w:rPr>
                <w:rFonts w:eastAsia="微软雅黑"/>
                <w:color w:val="000000"/>
                <w:kern w:val="0"/>
              </w:rPr>
            </w:pPr>
            <w:r>
              <w:rPr>
                <w:rFonts w:hint="eastAsia" w:ascii="宋体" w:hAnsi="宋体"/>
                <w:color w:val="000000"/>
                <w:kern w:val="0"/>
              </w:rPr>
              <w:t>T/TCDZ 0001-2019</w:t>
            </w:r>
          </w:p>
        </w:tc>
        <w:tc>
          <w:tcPr>
            <w:tcW w:w="3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eastAsia="微软雅黑"/>
                <w:color w:val="000000"/>
                <w:kern w:val="0"/>
              </w:rPr>
            </w:pPr>
            <w:r>
              <w:rPr>
                <w:rFonts w:hint="eastAsia" w:ascii="宋体" w:hAnsi="宋体"/>
                <w:color w:val="000000"/>
                <w:kern w:val="0"/>
              </w:rPr>
              <w:t>T/TCDZ 0001-2016 第8.11</w:t>
            </w:r>
          </w:p>
          <w:p>
            <w:pPr>
              <w:widowControl/>
              <w:spacing w:line="320" w:lineRule="atLeast"/>
              <w:jc w:val="center"/>
              <w:rPr>
                <w:rFonts w:eastAsia="微软雅黑"/>
                <w:color w:val="000000"/>
                <w:kern w:val="0"/>
              </w:rPr>
            </w:pPr>
            <w:r>
              <w:rPr>
                <w:rFonts w:hint="eastAsia" w:ascii="宋体" w:hAnsi="宋体"/>
                <w:color w:val="000000"/>
                <w:kern w:val="0"/>
              </w:rPr>
              <w:t>T/TCDZ 0001-2019 第8.11</w:t>
            </w:r>
          </w:p>
        </w:tc>
      </w:tr>
    </w:tbl>
    <w:p>
      <w:pPr>
        <w:spacing w:line="400" w:lineRule="exact"/>
        <w:ind w:firstLine="420" w:firstLineChars="200"/>
        <w:rPr>
          <w:rFonts w:ascii="宋体" w:hAnsi="宋体"/>
        </w:rPr>
      </w:pPr>
      <w:r>
        <w:rPr>
          <w:rFonts w:hint="eastAsia" w:ascii="宋体" w:hAnsi="宋体"/>
        </w:rPr>
        <w:t>执行企业标准、团体标准、地方标准的产品，检验项目参照上述内容执行。</w:t>
      </w:r>
    </w:p>
    <w:p>
      <w:pPr>
        <w:spacing w:line="400" w:lineRule="exact"/>
        <w:ind w:firstLine="420" w:firstLineChars="200"/>
        <w:rPr>
          <w:rFonts w:ascii="宋体" w:hAnsi="宋体"/>
        </w:rPr>
      </w:pPr>
      <w:r>
        <w:rPr>
          <w:rFonts w:ascii="宋体" w:hAnsi="宋体"/>
        </w:rPr>
        <w:t>凡是注日期的文件，其随后所有的修改单（不包括勘误的内容）或修订版不适用于本细则。凡是不注日期的文件，其最新版本适用于本细则。</w:t>
      </w:r>
    </w:p>
    <w:p>
      <w:pPr>
        <w:spacing w:line="400" w:lineRule="exact"/>
        <w:rPr>
          <w:rFonts w:ascii="宋体" w:hAnsi="宋体"/>
          <w:b/>
        </w:rPr>
      </w:pPr>
      <w:r>
        <w:rPr>
          <w:rFonts w:hint="eastAsia" w:ascii="宋体" w:hAnsi="宋体"/>
          <w:b/>
        </w:rPr>
        <w:t>3  判定规则</w:t>
      </w:r>
    </w:p>
    <w:p>
      <w:pPr>
        <w:spacing w:line="400" w:lineRule="exact"/>
        <w:rPr>
          <w:rFonts w:ascii="宋体" w:hAnsi="宋体"/>
          <w:b/>
        </w:rPr>
      </w:pPr>
      <w:r>
        <w:rPr>
          <w:rFonts w:hint="eastAsia" w:ascii="宋体" w:hAnsi="宋体"/>
          <w:b/>
        </w:rPr>
        <w:t>3.1  依据标准</w:t>
      </w:r>
    </w:p>
    <w:p>
      <w:pPr>
        <w:snapToGrid w:val="0"/>
        <w:spacing w:line="440" w:lineRule="exact"/>
        <w:ind w:firstLine="420" w:firstLineChars="200"/>
      </w:pPr>
      <w:r>
        <w:t>GB 4706.1—2005 家用和类似用途电器的安全  第1部分：通用要求</w:t>
      </w:r>
    </w:p>
    <w:p>
      <w:pPr>
        <w:snapToGrid w:val="0"/>
        <w:spacing w:line="440" w:lineRule="exact"/>
        <w:ind w:firstLine="420" w:firstLineChars="200"/>
      </w:pPr>
      <w:r>
        <w:t>GB 4706.18—2014 家用和类似用途电器的安全  电池充电器的特殊要求</w:t>
      </w:r>
    </w:p>
    <w:p>
      <w:pPr>
        <w:snapToGrid w:val="0"/>
        <w:spacing w:line="440" w:lineRule="exact"/>
        <w:ind w:firstLine="420" w:firstLineChars="200"/>
      </w:pPr>
      <w:r>
        <w:t>GB/T 36944—2018 电动自行车用充电器技术要求</w:t>
      </w:r>
    </w:p>
    <w:p>
      <w:pPr>
        <w:snapToGrid w:val="0"/>
        <w:spacing w:line="440" w:lineRule="exact"/>
        <w:ind w:firstLine="420" w:firstLineChars="200"/>
      </w:pPr>
      <w:r>
        <w:t>QB/T 2947.1—2008 电动自行车用蓄电池及充电器  第1部分：密封铅酸蓄电池及充电器</w:t>
      </w:r>
    </w:p>
    <w:p>
      <w:pPr>
        <w:snapToGrid w:val="0"/>
        <w:spacing w:line="440" w:lineRule="exact"/>
        <w:ind w:firstLine="420" w:firstLineChars="200"/>
      </w:pPr>
      <w:r>
        <w:t>QB/T 2947.3—2008 电动自行车用蓄电池及充电器  第3部分：锂离子蓄电池及充电器</w:t>
      </w:r>
    </w:p>
    <w:p>
      <w:pPr>
        <w:adjustRightInd w:val="0"/>
        <w:snapToGrid w:val="0"/>
        <w:spacing w:line="440" w:lineRule="exact"/>
        <w:ind w:firstLine="420" w:firstLineChars="200"/>
        <w:rPr>
          <w:color w:val="000000"/>
        </w:rPr>
      </w:pPr>
      <w:r>
        <w:rPr>
          <w:rFonts w:hint="eastAsia"/>
          <w:color w:val="000000"/>
        </w:rPr>
        <w:t>GB 42296-2022电动自行车用充电器安全技术要求</w:t>
      </w:r>
    </w:p>
    <w:p>
      <w:pPr>
        <w:adjustRightInd w:val="0"/>
        <w:snapToGrid w:val="0"/>
        <w:spacing w:line="440" w:lineRule="exact"/>
        <w:ind w:firstLine="420" w:firstLineChars="200"/>
        <w:rPr>
          <w:color w:val="000000"/>
        </w:rPr>
      </w:pPr>
      <w:r>
        <w:rPr>
          <w:rFonts w:hint="eastAsia"/>
          <w:color w:val="000000"/>
        </w:rPr>
        <w:t>现行有效的企业标准、团体标准、地方标准及产品明示质量要求</w:t>
      </w:r>
    </w:p>
    <w:p>
      <w:pPr>
        <w:spacing w:line="400" w:lineRule="exact"/>
        <w:rPr>
          <w:rFonts w:ascii="宋体" w:hAnsi="宋体"/>
          <w:b/>
        </w:rPr>
      </w:pPr>
      <w:r>
        <w:rPr>
          <w:rFonts w:hint="eastAsia" w:ascii="宋体" w:hAnsi="宋体"/>
          <w:b/>
        </w:rPr>
        <w:t>3.2  判定原则</w:t>
      </w:r>
    </w:p>
    <w:p>
      <w:pPr>
        <w:adjustRightInd w:val="0"/>
        <w:snapToGrid w:val="0"/>
        <w:spacing w:line="440" w:lineRule="exact"/>
        <w:ind w:firstLine="420" w:firstLineChars="200"/>
        <w:rPr>
          <w:color w:val="000000"/>
        </w:rPr>
      </w:pPr>
      <w:r>
        <w:rPr>
          <w:rFonts w:hint="eastAsia"/>
          <w:color w:val="000000"/>
        </w:rPr>
        <w:t>经检验，检验项目全部合格，判定为被抽查产品所检项目未发现不合格；检验项目中任一项或一项以上不合格，判定为被抽查产品不合格。</w:t>
      </w:r>
    </w:p>
    <w:p>
      <w:pPr>
        <w:adjustRightInd w:val="0"/>
        <w:snapToGrid w:val="0"/>
        <w:spacing w:line="440" w:lineRule="exact"/>
        <w:ind w:firstLine="420" w:firstLineChars="200"/>
        <w:rPr>
          <w:color w:val="000000"/>
        </w:rPr>
      </w:pPr>
      <w:r>
        <w:rPr>
          <w:rFonts w:hint="eastAsia"/>
          <w:color w:val="000000"/>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rPr>
      </w:pPr>
      <w:r>
        <w:rPr>
          <w:rFonts w:hint="eastAsia"/>
          <w:color w:val="000000"/>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rPr>
      </w:pPr>
      <w:r>
        <w:rPr>
          <w:rFonts w:hint="eastAsia"/>
          <w:color w:val="000000"/>
        </w:rPr>
        <w:t>若被检产品明示的质量要求低于或包含本细则中检验项目依据的推荐性标准要求时，应以被检产品明示的质量要求判定。</w:t>
      </w:r>
    </w:p>
    <w:p>
      <w:pPr>
        <w:adjustRightInd w:val="0"/>
        <w:snapToGrid w:val="0"/>
        <w:spacing w:line="440" w:lineRule="exact"/>
        <w:ind w:firstLine="420" w:firstLineChars="200"/>
        <w:rPr>
          <w:color w:val="000000"/>
        </w:rPr>
      </w:pPr>
      <w:r>
        <w:rPr>
          <w:rFonts w:hint="eastAsia"/>
          <w:color w:val="000000"/>
        </w:rPr>
        <w:t>若被检产品明示的质量要求缺少本细则中检验项目依据的强制性标准要求时，应按照强制性标准要求判定。</w:t>
      </w:r>
    </w:p>
    <w:p>
      <w:pPr>
        <w:adjustRightInd w:val="0"/>
        <w:snapToGrid w:val="0"/>
        <w:spacing w:line="440" w:lineRule="exact"/>
        <w:ind w:firstLine="420" w:firstLineChars="200"/>
        <w:rPr>
          <w:rFonts w:ascii="宋体" w:hAnsi="宋体"/>
          <w:b/>
        </w:rPr>
      </w:pPr>
      <w:r>
        <w:rPr>
          <w:rFonts w:hint="eastAsia"/>
          <w:color w:val="000000"/>
        </w:rPr>
        <w:t>若被检产品明示的质量要求缺少本细则中检验项目依据的推荐性标准要求时，该项目不参与判定。</w:t>
      </w:r>
    </w:p>
    <w:p>
      <w:pPr>
        <w:spacing w:line="400" w:lineRule="exact"/>
        <w:ind w:firstLine="420" w:firstLineChars="200"/>
        <w:rPr>
          <w:rFonts w:ascii="宋体" w:hAnsi="宋体"/>
        </w:rPr>
      </w:pPr>
    </w:p>
    <w:p>
      <w:pPr>
        <w:spacing w:line="400" w:lineRule="exact"/>
        <w:rPr>
          <w:rFonts w:ascii="宋体" w:hAnsi="宋体"/>
          <w:b/>
          <w:color w:val="000000"/>
        </w:rPr>
      </w:pPr>
      <w:r>
        <w:rPr>
          <w:rFonts w:hint="eastAsia" w:ascii="宋体" w:hAnsi="宋体"/>
          <w:b/>
          <w:color w:val="000000"/>
        </w:rPr>
        <w:t>4  附则</w:t>
      </w:r>
    </w:p>
    <w:p>
      <w:pPr>
        <w:spacing w:line="400" w:lineRule="exact"/>
        <w:rPr>
          <w:rFonts w:ascii="宋体" w:hAnsi="宋体"/>
          <w:color w:val="000000"/>
        </w:rPr>
      </w:pPr>
      <w:r>
        <w:rPr>
          <w:rFonts w:hint="eastAsia" w:ascii="宋体" w:hAnsi="宋体"/>
          <w:color w:val="000000"/>
        </w:rPr>
        <w:t xml:space="preserve">   本细则由安徽省产品质量监督检验研究院编制，松江区、苏州市、镇江市、湖州市、宣城市市场监督管理局管理。</w:t>
      </w:r>
    </w:p>
    <w:sectPr>
      <w:footerReference r:id="rId5" w:type="first"/>
      <w:footerReference r:id="rId4" w:type="default"/>
      <w:pgSz w:w="11906" w:h="16838"/>
      <w:pgMar w:top="1440" w:right="1289" w:bottom="1440" w:left="1797" w:header="851" w:footer="992" w:gutter="0"/>
      <w:pgNumType w:start="1"/>
      <w:cols w:space="720" w:num="1"/>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Times New Roman" w:hAnsi="Times New Roman" w:eastAsia="宋体" w:cs="Times New Roman"/>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Times New Roman" w:hAnsi="Times New Roman" w:eastAsia="宋体" w:cs="Times New Roman"/>
        <w:kern w:val="2"/>
        <w:sz w:val="18"/>
        <w:szCs w:val="18"/>
        <w:lang w:val="en-US" w:eastAsia="zh-CN" w:bidi="ar-SA"/>
      </w:rPr>
      <w:pict>
        <v:rect id="文本框 2"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link w:val="3"/>
    <w:pPr>
      <w:spacing w:before="7"/>
      <w:ind w:left="148"/>
      <w:jc w:val="left"/>
      <w:outlineLvl w:val="3"/>
    </w:pPr>
    <w:rPr>
      <w:rFonts w:ascii="宋体" w:hAnsi="宋体" w:eastAsia="宋体" w:cs="Times New Roman"/>
      <w:b/>
      <w:bCs/>
      <w:kern w:val="0"/>
      <w:szCs w:val="21"/>
      <w:lang w:eastAsia="en-US"/>
    </w:rPr>
  </w:style>
  <w:style w:type="character" w:default="1" w:styleId="10">
    <w:name w:val="Default Paragraph Font"/>
  </w:style>
  <w:style w:type="character" w:customStyle="1" w:styleId="3">
    <w:name w:val="标题 4 Char"/>
    <w:link w:val="2"/>
    <w:semiHidden/>
    <w:rPr>
      <w:rFonts w:ascii="宋体" w:hAnsi="宋体" w:eastAsia="宋体" w:cs="Times New Roman"/>
      <w:b/>
      <w:bCs/>
      <w:kern w:val="0"/>
      <w:szCs w:val="21"/>
      <w:lang w:eastAsia="en-US"/>
    </w:rPr>
  </w:style>
  <w:style w:type="paragraph" w:styleId="4">
    <w:name w:val="Body Text"/>
    <w:basedOn w:val="1"/>
    <w:link w:val="5"/>
    <w:pPr>
      <w:snapToGrid w:val="0"/>
      <w:spacing w:line="440" w:lineRule="exact"/>
    </w:pPr>
    <w:rPr>
      <w:rFonts w:ascii="宋体" w:hAnsi="宋体" w:eastAsia="宋体" w:cs="Times New Roman"/>
      <w:color w:val="FF0000"/>
      <w:sz w:val="18"/>
      <w:szCs w:val="21"/>
    </w:rPr>
  </w:style>
  <w:style w:type="character" w:customStyle="1" w:styleId="5">
    <w:name w:val="正文文本 Char"/>
    <w:link w:val="4"/>
    <w:semiHidden/>
    <w:rPr>
      <w:rFonts w:ascii="宋体" w:hAnsi="宋体" w:eastAsia="宋体" w:cs="Times New Roman"/>
      <w:color w:val="FF0000"/>
      <w:sz w:val="18"/>
      <w:szCs w:val="21"/>
    </w:rPr>
  </w:style>
  <w:style w:type="paragraph" w:styleId="6">
    <w:name w:val="footer"/>
    <w:basedOn w:val="1"/>
    <w:link w:val="7"/>
    <w:pPr>
      <w:tabs>
        <w:tab w:val="center" w:pos="4153"/>
        <w:tab w:val="right" w:pos="8306"/>
      </w:tabs>
      <w:snapToGrid w:val="0"/>
      <w:jc w:val="left"/>
    </w:pPr>
    <w:rPr>
      <w:sz w:val="18"/>
      <w:szCs w:val="18"/>
    </w:rPr>
  </w:style>
  <w:style w:type="character" w:customStyle="1" w:styleId="7">
    <w:name w:val="页脚 Char"/>
    <w:link w:val="6"/>
    <w:semiHidden/>
    <w:rPr>
      <w:sz w:val="18"/>
      <w:szCs w:val="18"/>
    </w:rPr>
  </w:style>
  <w:style w:type="paragraph" w:styleId="8">
    <w:name w:val="header"/>
    <w:basedOn w:val="1"/>
    <w:link w:val="9"/>
    <w:pPr>
      <w:pBdr>
        <w:bottom w:val="single" w:color="auto" w:sz="6" w:space="1"/>
      </w:pBdr>
      <w:tabs>
        <w:tab w:val="center" w:pos="4153"/>
        <w:tab w:val="right" w:pos="8306"/>
      </w:tabs>
      <w:snapToGrid w:val="0"/>
      <w:jc w:val="center"/>
    </w:pPr>
    <w:rPr>
      <w:sz w:val="18"/>
      <w:szCs w:val="18"/>
    </w:rPr>
  </w:style>
  <w:style w:type="character" w:customStyle="1" w:styleId="9">
    <w:name w:val="页眉 Char"/>
    <w:link w:val="8"/>
    <w:semiHidden/>
    <w:rPr>
      <w:sz w:val="18"/>
      <w:szCs w:val="18"/>
    </w:rPr>
  </w:style>
  <w:style w:type="paragraph" w:customStyle="1" w:styleId="11">
    <w:name w:val="批注框文本 Char Char"/>
    <w:basedOn w:val="1"/>
    <w:link w:val="15"/>
    <w:rPr>
      <w:rFonts w:ascii="Times New Roman" w:hAnsi="Times New Roman" w:eastAsia="宋体" w:cs="Times New Roman"/>
      <w:sz w:val="18"/>
      <w:szCs w:val="18"/>
    </w:rPr>
  </w:style>
  <w:style w:type="paragraph" w:customStyle="1" w:styleId="12">
    <w:name w:val="Table Paragraph"/>
    <w:basedOn w:val="1"/>
    <w:pPr>
      <w:jc w:val="left"/>
    </w:pPr>
    <w:rPr>
      <w:rFonts w:ascii="Calibri" w:hAnsi="Calibri"/>
      <w:kern w:val="0"/>
      <w:sz w:val="22"/>
      <w:szCs w:val="22"/>
      <w:lang w:eastAsia="en-US"/>
    </w:rPr>
  </w:style>
  <w:style w:type="paragraph" w:customStyle="1" w:styleId="13">
    <w:name w:val="列出段落4"/>
    <w:basedOn w:val="1"/>
    <w:pPr>
      <w:ind w:firstLine="420" w:firstLineChars="200"/>
    </w:pPr>
    <w:rPr>
      <w:rFonts w:ascii="Calibri" w:hAnsi="Calibri" w:cs="Calibri"/>
    </w:rPr>
  </w:style>
  <w:style w:type="paragraph" w:customStyle="1" w:styleId="14">
    <w:name w:val="Normal (Web)"/>
    <w:basedOn w:val="1"/>
    <w:pPr>
      <w:widowControl/>
      <w:spacing w:before="100" w:beforeAutospacing="1" w:after="100" w:afterAutospacing="1"/>
      <w:jc w:val="left"/>
    </w:pPr>
    <w:rPr>
      <w:rFonts w:ascii="宋体" w:hAnsi="宋体" w:cs="宋体"/>
      <w:kern w:val="0"/>
      <w:sz w:val="24"/>
      <w:szCs w:val="24"/>
    </w:rPr>
  </w:style>
  <w:style w:type="character" w:customStyle="1" w:styleId="15">
    <w:name w:val="批注框文本 Char Char Char Char"/>
    <w:link w:val="11"/>
    <w:semiHidden/>
    <w:rPr>
      <w:rFonts w:ascii="Times New Roman" w:hAnsi="Times New Roman" w:eastAsia="宋体" w:cs="Times New Roman"/>
      <w:sz w:val="18"/>
      <w:szCs w:val="18"/>
    </w:rPr>
  </w:style>
  <w:style w:type="character" w:customStyle="1" w:styleId="16">
    <w:name w:val="页码1"/>
    <w:basedOn w:val="1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481</Words>
  <Characters>2743</Characters>
  <Lines>22</Lines>
  <Paragraphs>6</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2020-02-29T17:51:00Z</dcterms:created>
  <dc:creator>l</dc:creator>
  <dcterms:modified xsi:type="dcterms:W3CDTF">2023-04-26T17:22:48Z</dcterms:modified>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D30C5A1BF1F04D7E8942BE362D4222FD</vt:lpwstr>
  </property>
</Properties>
</file>