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jc w:val="both"/>
        <w:rPr>
          <w:rFonts w:hint="default" w:ascii="宋体" w:hAnsi="宋体" w:eastAsia="宋体" w:cs="宋体"/>
          <w:b/>
          <w:bCs/>
          <w:color w:val="191919"/>
          <w:sz w:val="32"/>
          <w:szCs w:val="32"/>
          <w:lang w:val="en-US" w:eastAsia="zh-CN"/>
        </w:rPr>
      </w:pPr>
      <w:r>
        <w:rPr>
          <w:rFonts w:hint="eastAsia" w:ascii="宋体" w:hAnsi="宋体" w:eastAsia="宋体" w:cs="宋体"/>
          <w:b/>
          <w:bCs/>
          <w:color w:val="191919"/>
          <w:sz w:val="32"/>
          <w:szCs w:val="32"/>
          <w:lang w:eastAsia="zh-CN"/>
        </w:rPr>
        <w:t>附件</w:t>
      </w:r>
      <w:r>
        <w:rPr>
          <w:rFonts w:hint="eastAsia" w:ascii="宋体" w:hAnsi="宋体" w:eastAsia="宋体" w:cs="宋体"/>
          <w:b/>
          <w:bCs/>
          <w:color w:val="191919"/>
          <w:sz w:val="32"/>
          <w:szCs w:val="32"/>
          <w:lang w:val="en-US" w:eastAsia="zh-CN"/>
        </w:rPr>
        <w:t>1</w:t>
      </w:r>
    </w:p>
    <w:p>
      <w:pPr>
        <w:pStyle w:val="6"/>
        <w:shd w:val="clear" w:color="auto" w:fill="FFFFFF"/>
        <w:spacing w:before="0" w:beforeAutospacing="0" w:after="0" w:afterAutospacing="0" w:line="600" w:lineRule="exact"/>
        <w:jc w:val="center"/>
        <w:rPr>
          <w:rFonts w:hint="eastAsia" w:ascii="仿宋_GB2312" w:hAnsi="仿宋_GB2312" w:eastAsia="仿宋_GB2312" w:cs="仿宋_GB2312"/>
          <w:b/>
          <w:bCs/>
          <w:color w:val="000000" w:themeColor="text1"/>
          <w:sz w:val="44"/>
          <w:szCs w:val="44"/>
          <w14:textFill>
            <w14:solidFill>
              <w14:schemeClr w14:val="tx1"/>
            </w14:solidFill>
          </w14:textFill>
        </w:rPr>
      </w:pPr>
      <w:r>
        <w:rPr>
          <w:rFonts w:hint="eastAsia" w:ascii="仿宋_GB2312" w:hAnsi="仿宋_GB2312" w:eastAsia="仿宋_GB2312" w:cs="仿宋_GB2312"/>
          <w:b/>
          <w:bCs/>
          <w:color w:val="000000" w:themeColor="text1"/>
          <w:sz w:val="44"/>
          <w:szCs w:val="44"/>
          <w14:textFill>
            <w14:solidFill>
              <w14:schemeClr w14:val="tx1"/>
            </w14:solidFill>
          </w14:textFill>
        </w:rPr>
        <w:t>不合格项目说明</w:t>
      </w:r>
    </w:p>
    <w:p>
      <w:pPr>
        <w:pStyle w:val="6"/>
        <w:shd w:val="clear" w:color="auto" w:fill="FFFFFF"/>
        <w:spacing w:before="0" w:beforeAutospacing="0" w:after="0" w:afterAutospacing="0" w:line="600" w:lineRule="exact"/>
        <w:jc w:val="center"/>
        <w:rPr>
          <w:rFonts w:hint="eastAsia" w:ascii="仿宋_GB2312" w:hAnsi="仿宋_GB2312" w:eastAsia="仿宋_GB2312" w:cs="仿宋_GB2312"/>
          <w:b/>
          <w:bCs/>
          <w:color w:val="000000" w:themeColor="text1"/>
          <w:sz w:val="44"/>
          <w:szCs w:val="44"/>
          <w14:textFill>
            <w14:solidFill>
              <w14:schemeClr w14:val="tx1"/>
            </w14:solidFill>
          </w14:textFill>
        </w:rPr>
      </w:pPr>
    </w:p>
    <w:p>
      <w:pPr>
        <w:pStyle w:val="2"/>
        <w:ind w:left="0" w:leftChars="0" w:firstLine="642" w:firstLineChars="200"/>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eastAsia="zh-CN"/>
        </w:rPr>
        <w:t>一</w:t>
      </w: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b/>
          <w:bCs/>
          <w:sz w:val="32"/>
          <w:szCs w:val="32"/>
          <w:lang w:eastAsia="zh-CN"/>
        </w:rPr>
        <w:t>脱氢乙酸及其钠盐(以脱氢乙酸计)</w:t>
      </w:r>
    </w:p>
    <w:p>
      <w:pPr>
        <w:keepNext w:val="0"/>
        <w:keepLines w:val="0"/>
        <w:widowControl/>
        <w:suppressLineNumbers w:val="0"/>
        <w:ind w:firstLine="640" w:firstLineChars="200"/>
        <w:jc w:val="lef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color w:val="000000"/>
          <w:kern w:val="0"/>
          <w:sz w:val="32"/>
          <w:szCs w:val="32"/>
          <w:lang w:val="en-US" w:eastAsia="zh-CN" w:bidi="ar"/>
        </w:rPr>
        <w:t>脱氢乙酸及其钠盐作为一种广谱食品防腐剂，对霉菌和酵母菌的抑制能力强，为苯甲酸钠的 2~10 倍，在高剂量使用时能抑制细菌。脱氢乙酸毒性较低，按标准规定的范围和使用量使用是安全的。脱氢乙酸及其钠盐能被人体完全吸收，并能抑制人体内多种氧化酶，长期过量摄入脱氢乙酸及其钠盐会危害人体健康。脱氢乙酸超标的原因可能是个别生产经营企业为防止食品腐败变质，超量使用了该添加剂，或者其使用的复配添加剂中该添加剂含量较高；也可能是在添加过程中未计量或计量不准</w:t>
      </w:r>
      <w:r>
        <w:rPr>
          <w:rFonts w:hint="eastAsia" w:ascii="方正仿宋_GBK" w:hAnsi="方正仿宋_GBK" w:eastAsia="方正仿宋_GBK" w:cs="方正仿宋_GBK"/>
          <w:sz w:val="32"/>
          <w:szCs w:val="32"/>
          <w:lang w:eastAsia="zh-CN"/>
        </w:rPr>
        <w:t>。</w:t>
      </w:r>
    </w:p>
    <w:p>
      <w:pPr>
        <w:keepNext w:val="0"/>
        <w:keepLines w:val="0"/>
        <w:widowControl/>
        <w:suppressLineNumbers w:val="0"/>
        <w:ind w:firstLine="642" w:firstLineChars="200"/>
        <w:jc w:val="left"/>
        <w:rPr>
          <w:rFonts w:hint="eastAsia" w:ascii="方正仿宋_GBK" w:hAnsi="方正仿宋_GBK" w:eastAsia="方正仿宋_GBK" w:cs="方正仿宋_GBK"/>
          <w:b/>
          <w:bCs/>
          <w:color w:val="000000"/>
          <w:kern w:val="0"/>
          <w:sz w:val="32"/>
          <w:szCs w:val="32"/>
          <w:lang w:val="en-US" w:eastAsia="zh-CN" w:bidi="ar"/>
        </w:rPr>
      </w:pPr>
      <w:r>
        <w:rPr>
          <w:rFonts w:hint="eastAsia" w:ascii="方正仿宋_GBK" w:hAnsi="方正仿宋_GBK" w:eastAsia="方正仿宋_GBK" w:cs="方正仿宋_GBK"/>
          <w:b/>
          <w:bCs/>
          <w:sz w:val="32"/>
          <w:szCs w:val="32"/>
          <w:lang w:eastAsia="zh-CN"/>
        </w:rPr>
        <w:t>二、</w:t>
      </w:r>
      <w:r>
        <w:rPr>
          <w:rFonts w:hint="eastAsia" w:ascii="方正仿宋_GBK" w:hAnsi="方正仿宋_GBK" w:eastAsia="方正仿宋_GBK" w:cs="方正仿宋_GBK"/>
          <w:b/>
          <w:bCs/>
          <w:color w:val="000000"/>
          <w:kern w:val="0"/>
          <w:sz w:val="32"/>
          <w:szCs w:val="32"/>
          <w:lang w:val="en-US" w:eastAsia="zh-CN" w:bidi="ar"/>
        </w:rPr>
        <w:t>糖精钠(以糖精计)</w:t>
      </w:r>
    </w:p>
    <w:p>
      <w:pPr>
        <w:keepNext w:val="0"/>
        <w:keepLines w:val="0"/>
        <w:widowControl/>
        <w:suppressLineNumbers w:val="0"/>
        <w:ind w:firstLine="640" w:firstLineChars="200"/>
        <w:jc w:val="left"/>
        <w:rPr>
          <w:rFonts w:hint="eastAsia" w:ascii="方正仿宋_GBK" w:hAnsi="方正仿宋_GBK" w:eastAsia="方正仿宋_GBK" w:cs="方正仿宋_GBK"/>
          <w:color w:val="000000"/>
          <w:sz w:val="32"/>
          <w:szCs w:val="32"/>
          <w:lang w:val="zh-CN" w:eastAsia="zh-CN"/>
        </w:rPr>
      </w:pPr>
      <w:r>
        <w:rPr>
          <w:rFonts w:hint="eastAsia" w:ascii="方正仿宋_GBK" w:hAnsi="方正仿宋_GBK" w:eastAsia="方正仿宋_GBK" w:cs="方正仿宋_GBK"/>
          <w:color w:val="000000"/>
          <w:kern w:val="0"/>
          <w:sz w:val="32"/>
          <w:szCs w:val="32"/>
          <w:lang w:val="en-US" w:eastAsia="zh-CN" w:bidi="ar"/>
        </w:rPr>
        <w:t>糖精钠，无色结晶或稍带白色的结晶性粉末，无臭或微有香气，甜度为蔗糖的 200~700 倍。糖精钠是普遍使用的人工合成甜味剂。糖精钠在人体内不被吸收，不产生热量，大部分经肾排出而不损害肾功能，不改变体内酶系统的活性。但食用较多的糖精钠，会影响肠胃消化酶的正常分泌，降低小肠的吸收能力，使食欲减退；使用量过大时有金属苦味。联合国粮农组织（FAO）和世界卫生组织食品添加剂联合专家委员会（JECFA）建议其日容许摄入量（ADI）为 0~5mg/kg bw。造成食品中糖精钠不合格的主要原因有：生产经营企业为增加产品甜味，超限量、超范围使用或者未准确计量。</w:t>
      </w:r>
    </w:p>
    <w:p>
      <w:pPr>
        <w:keepNext w:val="0"/>
        <w:keepLines w:val="0"/>
        <w:widowControl/>
        <w:suppressLineNumbers w:val="0"/>
        <w:ind w:firstLine="642" w:firstLineChars="200"/>
        <w:jc w:val="left"/>
        <w:rPr>
          <w:rFonts w:hint="eastAsia" w:ascii="仿宋_GB2312" w:hAnsi="仿宋_GB2312" w:eastAsia="仿宋_GB2312" w:cs="仿宋_GB2312"/>
          <w:b/>
          <w:bCs/>
          <w:sz w:val="32"/>
          <w:szCs w:val="32"/>
        </w:rPr>
      </w:pPr>
      <w:r>
        <w:rPr>
          <w:rFonts w:hint="eastAsia" w:ascii="方正仿宋_GBK" w:hAnsi="方正仿宋_GBK" w:eastAsia="方正仿宋_GBK" w:cs="方正仿宋_GBK"/>
          <w:b/>
          <w:bCs w:val="0"/>
          <w:kern w:val="2"/>
          <w:sz w:val="32"/>
          <w:szCs w:val="32"/>
          <w:lang w:val="en-US" w:eastAsia="zh-CN" w:bidi="ar-SA"/>
        </w:rPr>
        <w:t>三、</w:t>
      </w:r>
      <w:r>
        <w:rPr>
          <w:rFonts w:hint="eastAsia" w:ascii="仿宋_GB2312" w:hAnsi="仿宋_GB2312" w:eastAsia="仿宋_GB2312" w:cs="仿宋_GB2312"/>
          <w:b/>
          <w:bCs/>
          <w:sz w:val="32"/>
          <w:szCs w:val="32"/>
        </w:rPr>
        <w:t>二氧化硫残留量</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氧化硫是食品加工中常用的漂白剂和防腐剂，遇水以后形成亚硫酸。二氧化硫被氧化时可使食品的着色物质还原褪色，亚硫酸对食品的褐变有抑制作用，对细菌、真菌、酵母菌也有抑制作用，因此既是漂白剂又是防腐剂。二氧化硫进入人体内后最终转化为硫酸盐并随尿液排出体外。少量二氧化硫进入人体不会对身体带来健康危害，但若过量食用会引起如恶心、呕吐等胃肠道反应。二氧化硫不符合标准的原因可能有，个别生产经营企业使用劣质原料以降低成本，其后为了提高产品色泽超量使用二氧化硫；也有可能是使用时不计量或计量不准确；还有可是由于使用硫磺熏蒸漂白这种传统工艺或直接使用亚硫酸盐浸泡保鲜所造成。</w:t>
      </w:r>
    </w:p>
    <w:p>
      <w:pPr>
        <w:numPr>
          <w:ilvl w:val="0"/>
          <w:numId w:val="0"/>
        </w:numPr>
        <w:ind w:leftChars="0" w:firstLine="642"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bCs/>
          <w:kern w:val="2"/>
          <w:sz w:val="32"/>
          <w:szCs w:val="32"/>
          <w:lang w:val="en-US" w:eastAsia="zh-CN" w:bidi="ar-SA"/>
        </w:rPr>
        <w:t>四、噻虫胺</w:t>
      </w:r>
    </w:p>
    <w:p>
      <w:pPr>
        <w:numPr>
          <w:ilvl w:val="0"/>
          <w:numId w:val="0"/>
        </w:numPr>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color w:val="000000"/>
          <w:kern w:val="0"/>
          <w:sz w:val="32"/>
          <w:szCs w:val="32"/>
          <w:lang w:val="en-US" w:eastAsia="zh-CN" w:bidi="ar"/>
        </w:rPr>
        <w:t>噻虫胺，烟碱类杀虫剂，具有触杀、胃毒作用，具有根内吸活性和层间传导性。土壤处理、叶面喷施和种子处理，防治水稻、玉米、油菜、果树和蔬菜、柑橘的刺吸式和咀嚼式害虫，如飞虱、椿象、蚜虫和烟粉虱。食用食品一般不会导致噻虫胺的急性中毒，但长期食用噻虫胺超标的食品，对人体健康也有一定影响。联合国粮农组织和世界卫生组织农药残留联席会议（JMPR）2010 年制定了其日容许摄入量（ADI）为 0.1mg/kg bw，我国《食品安全国家标准食品中农药最大残留限量》（GB 2763-2021）中 ADI 值亦为 0.1mg/kg bw。</w:t>
      </w:r>
    </w:p>
    <w:p>
      <w:pPr>
        <w:pStyle w:val="9"/>
        <w:widowControl/>
        <w:numPr>
          <w:ilvl w:val="0"/>
          <w:numId w:val="0"/>
        </w:numPr>
        <w:ind w:leftChars="0" w:firstLine="642" w:firstLineChars="200"/>
        <w:jc w:val="left"/>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color w:val="000000"/>
          <w:kern w:val="0"/>
          <w:sz w:val="32"/>
          <w:szCs w:val="32"/>
          <w:lang w:val="en-US" w:eastAsia="zh-CN" w:bidi="ar"/>
        </w:rPr>
        <w:t>五、</w:t>
      </w:r>
      <w:r>
        <w:rPr>
          <w:rFonts w:hint="eastAsia" w:ascii="方正仿宋_GBK" w:hAnsi="方正仿宋_GBK" w:eastAsia="方正仿宋_GBK" w:cs="方正仿宋_GBK"/>
          <w:b/>
          <w:bCs/>
          <w:sz w:val="32"/>
          <w:szCs w:val="32"/>
        </w:rPr>
        <w:t>倍硫磷</w:t>
      </w:r>
    </w:p>
    <w:p>
      <w:pPr>
        <w:pStyle w:val="9"/>
        <w:widowControl/>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倍硫磷（fenthion），具有触杀、胃毒和熏蒸作用的有机磷农药。用于大豆、棉花、果树（包括柑橘）、蔬菜、水稻、茶树、甘蔗、葡萄、橄榄、甜菜、烟草、观赏植物等作物 防治鳞翅目幼虫，蚜虫、叶蝉、飞虱、蓟马、果实蝇、潜叶蝇及一些介壳虫。对叶螨类有 一定药效。还可用于公共场所和家畜圈舍防治苍蝇，蚊子，蟑螂，跳蚤，蚂蚁，蜱，虱等 卫生害虫和动物体外寄生虫。食用食品一般不会导致倍硫磷的急性中毒，但长期食用倍硫磷超标的食品，对人体健康也有一定影响。 联合国粮农组织和世界卫生组织农药残留联席会议（JMPR）于1995年制定了其日容许摄入量（ADI）为 0.007mg/kg bw，我国《食品安全国家标准食品中农药最大残留限量》（GB 2763-2021）中ADI值亦为0.007mg/kg bw。</w:t>
      </w:r>
    </w:p>
    <w:p>
      <w:pPr>
        <w:widowControl/>
        <w:ind w:firstLine="642" w:firstLineChars="200"/>
        <w:jc w:val="lef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六、</w:t>
      </w:r>
      <w:r>
        <w:rPr>
          <w:rFonts w:hint="eastAsia" w:ascii="方正仿宋_GBK" w:hAnsi="方正仿宋_GBK" w:eastAsia="方正仿宋_GBK" w:cs="方正仿宋_GBK"/>
          <w:b/>
          <w:bCs/>
          <w:sz w:val="32"/>
          <w:szCs w:val="32"/>
        </w:rPr>
        <w:t>灭蝇胺</w:t>
      </w:r>
    </w:p>
    <w:p>
      <w:pPr>
        <w:widowControl/>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灭蝇胺（cyromazine），具有触杀功能的昆虫生长调节剂，干扰蜕皮和蛹化。用于植物时，具有内吸作用，在叶面上，表现出很强的输导效应；用于土壤中，能通过根吸收并 向顶移动。通过饲养家禽或处理繁殖场所，防治鸡粪中的双翅目幼虫。也用于防治动物身上的苍蝇。叶面喷雾防治蔬菜（例如芹菜、番茄、生菜）、瓜类植物、马铃薯及观赏植物 的潜叶虫。也用于喷淋或滴灌和防治蘑菇中的菇蝇（眼蕈蚊、蚤蝇）。食用食品一般不会导致灭蝇胺的急性中毒，但长期食用灭蝇胺超标的食品，对人体健康也有一定影响。联合国粮农组织和世界卫生组织农药残留联席会议（JMPR）2006 年制定了其日容许摄入量（ADI）为0.06mg/kg bw，我国《食品安全国家标准食品中农药最大残留限量》（GB 2763-2021）中ADI值亦为 0.06mg/kg bw。</w:t>
      </w:r>
    </w:p>
    <w:p>
      <w:pPr>
        <w:widowControl/>
        <w:ind w:firstLine="642" w:firstLineChars="200"/>
        <w:jc w:val="lef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七</w:t>
      </w:r>
      <w:r>
        <w:rPr>
          <w:rFonts w:hint="eastAsia" w:ascii="方正仿宋_GBK" w:hAnsi="方正仿宋_GBK" w:eastAsia="方正仿宋_GBK" w:cs="方正仿宋_GBK"/>
          <w:b/>
          <w:bCs/>
          <w:sz w:val="32"/>
          <w:szCs w:val="32"/>
        </w:rPr>
        <w:t>、氯吡脲</w:t>
      </w:r>
    </w:p>
    <w:p>
      <w:pPr>
        <w:widowControl/>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氯吡脲（forchlorfenuron），通过叶、茎、子叶和发芽的种子吸收。它可促进细胞分裂、分化和发育；诱导萌芽、控制顶端优势；打破侧芽休眠、促进发芽；延迟老化过程、保持 切除叶子的叶绿素；调节营养物质的输送；促进果实的形成等。增大猕猴桃、葡萄和桃子的果实，促进南瓜、黄瓜等瓜类坐果，促进苹果分枝，增加马铃薯、水稻和小麦的产量。氯吡苯脲是一种具有细胞分裂素活性的苯脲类植物生长调节剂，经口毒性低，不易引起急性毒，未见中毒报道。美国环境保护局（EPA）2008 年制定了其日容许摄入量（ADI）为 0.07mg/kg bw，我国《食品安全国家标准食品中农药最大残留限量》（GB 2763-2021）中ADI值亦为0.07mg/kg bw。</w:t>
      </w:r>
    </w:p>
    <w:p>
      <w:pPr>
        <w:widowControl/>
        <w:ind w:firstLine="642" w:firstLineChars="200"/>
        <w:jc w:val="lef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八</w:t>
      </w:r>
      <w:r>
        <w:rPr>
          <w:rFonts w:hint="eastAsia" w:ascii="方正仿宋_GBK" w:hAnsi="方正仿宋_GBK" w:eastAsia="方正仿宋_GBK" w:cs="方正仿宋_GBK"/>
          <w:b/>
          <w:bCs/>
          <w:sz w:val="32"/>
          <w:szCs w:val="32"/>
        </w:rPr>
        <w:t>、恩诺沙星</w:t>
      </w:r>
    </w:p>
    <w:p>
      <w:pPr>
        <w:widowControl/>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恩诺沙星（enrofloxacin）属第三代喹诺酮类药。是一类人工合成的广谱抗菌药，用于治疗动物的皮肤感染、呼吸道感染等，是动物专属用药。大鼠急性经口毒性为实际无毒级，无遗传毒性、无致畸性和致癌性，主要引起耳廓软骨的变性性改变和睾丸毒性（精子形态学改变、生精小管萎缩等），并可造成雄性大鼠不育。长期使用或者过度使用可能导致在人体中蓄积，进而对人体机能产生危害，还可能使人体产生耐药性菌株。联合国粮农组织（FAO）和世界卫生组织食品添加剂联合专家委员会（JECFA）给出了恩诺沙星的日容许摄入量（ADI）的建议值为 0~2µg/kg bw（1998）。</w:t>
      </w:r>
    </w:p>
    <w:p>
      <w:pPr>
        <w:widowControl/>
        <w:ind w:firstLine="642" w:firstLineChars="200"/>
        <w:jc w:val="lef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九</w:t>
      </w:r>
      <w:r>
        <w:rPr>
          <w:rFonts w:hint="eastAsia" w:ascii="方正仿宋_GBK" w:hAnsi="方正仿宋_GBK" w:eastAsia="方正仿宋_GBK" w:cs="方正仿宋_GBK"/>
          <w:b/>
          <w:bCs/>
          <w:sz w:val="32"/>
          <w:szCs w:val="32"/>
        </w:rPr>
        <w:t>、甲氧苄啶</w:t>
      </w:r>
    </w:p>
    <w:p>
      <w:pPr>
        <w:widowControl/>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甲氧苄啶（trimethoprim）是合成的抗菌药和磺胺增效药。具有抗菌谱广、性质稳定、</w:t>
      </w:r>
      <w:bookmarkStart w:id="0" w:name="_GoBack"/>
      <w:bookmarkEnd w:id="0"/>
      <w:r>
        <w:rPr>
          <w:rFonts w:hint="eastAsia" w:ascii="方正仿宋_GBK" w:hAnsi="方正仿宋_GBK" w:eastAsia="方正仿宋_GBK" w:cs="方正仿宋_GBK"/>
          <w:sz w:val="32"/>
          <w:szCs w:val="32"/>
        </w:rPr>
        <w:t xml:space="preserve">体内分布广泛等优点。链球菌属含肺炎链球菌等革兰氏阳性菌以及大肠杆菌、沙门菌属、奇异变形杆菌、肺炎杆菌、痢疾杆菌、伤寒杆菌、百日咳杆菌等革兰氏阴性菌对甲氧苄啶敏感；此外，甲氧苄啶对疟原虫及某些真菌，如奴卡菌、组浆菌，酵母菌也有一定作用。动物产品的甲氧苄啶残留，一般不会导致对人体的急性毒性作用；长期大量摄入甲氧苄啶残留超标的食品，可能在人体内蓄积，导致胃肠道反应、皮肤过敏症状等。联合国粮农组织（FAO）和世界卫生组织食品添加剂联合专家委员会（JECFA）给出了甲氧苄啶的日容许摄入量（ADI）的建议值为 0~4.2μg/kg bw。 </w:t>
      </w:r>
    </w:p>
    <w:p>
      <w:pPr>
        <w:widowControl/>
        <w:ind w:firstLine="642" w:firstLineChars="200"/>
        <w:jc w:val="lef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十</w:t>
      </w:r>
      <w:r>
        <w:rPr>
          <w:rFonts w:hint="eastAsia" w:ascii="方正仿宋_GBK" w:hAnsi="方正仿宋_GBK" w:eastAsia="方正仿宋_GBK" w:cs="方正仿宋_GBK"/>
          <w:b/>
          <w:bCs/>
          <w:sz w:val="32"/>
          <w:szCs w:val="32"/>
        </w:rPr>
        <w:t>、百克敏</w:t>
      </w:r>
    </w:p>
    <w:p>
      <w:pPr>
        <w:widowControl/>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吡唑醚菌酯（pyraclostrobin），别名百克敏，是具有保护、治疗和传导作用的杀菌剂。会引起像推迟衰老、叶片变绿、对生物和非生物胁迫耐受性更好等生理效应，能更有效地利用水和氮。用于防治主要的植物病害，如谷物的小麦壳针孢、柄锈菌、小麦德斯霉菌、肝圆核腔菌、黑麦喙孢菌和麦颖枯病，花生的球腔菌，大豆的线虫病、思茅松毛虫病和大豆锈菌，葡萄的霜霉病和白粉菌，马铃薯和番茄的疫霉病和早疫病，黄瓜的霜霉病和白粉病，香蕉的黑条叶斑病菌，柑橘的痂囊腔菌和球座菌，草坪的纹枯病和腐霉菌。食用食品一般不会导致吡唑醚菌酯的急性中毒，但长期食用吡唑醚菌酯超标的食品，对人体健康也有一定影响。联合国粮农组织和世界卫生组织农药残留联席会议（JMPR）于2003年制定了其日容许摄入量（ADI）为0.03mg/kg bw，我国《食品安全国家标准食品中农药最大残留限量》（GB 2763-2021）中 ADI值亦为0.03mg/kg bw。 </w:t>
      </w:r>
    </w:p>
    <w:p>
      <w:pPr>
        <w:autoSpaceDE w:val="0"/>
        <w:autoSpaceDN w:val="0"/>
        <w:adjustRightInd w:val="0"/>
        <w:ind w:firstLine="640" w:firstLineChars="200"/>
        <w:jc w:val="left"/>
        <w:rPr>
          <w:rFonts w:ascii="仿宋_GB2312" w:hAnsi="仿宋_GB2312" w:eastAsia="仿宋_GB2312" w:cs="仿宋_GB2312"/>
          <w:color w:val="00000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CESI仿宋-GB13000">
    <w:panose1 w:val="02000500000000000000"/>
    <w:charset w:val="86"/>
    <w:family w:val="auto"/>
    <w:pitch w:val="default"/>
    <w:sig w:usb0="800002BF" w:usb1="18CF7CF8" w:usb2="00000016" w:usb3="00000000" w:csb0="0004000F"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1MThhNjBhM2VkOTkyNDlkYWFkNTQ1ZGYyYjEyZDIifQ=="/>
  </w:docVars>
  <w:rsids>
    <w:rsidRoot w:val="1084564C"/>
    <w:rsid w:val="021D13F9"/>
    <w:rsid w:val="036A2EBE"/>
    <w:rsid w:val="083A40D3"/>
    <w:rsid w:val="1084564C"/>
    <w:rsid w:val="14D64C58"/>
    <w:rsid w:val="17A728DB"/>
    <w:rsid w:val="209F6845"/>
    <w:rsid w:val="21D948E0"/>
    <w:rsid w:val="29BD4CE7"/>
    <w:rsid w:val="34797724"/>
    <w:rsid w:val="36987B67"/>
    <w:rsid w:val="3DFFB7BA"/>
    <w:rsid w:val="3F5D194E"/>
    <w:rsid w:val="46F030A7"/>
    <w:rsid w:val="4C650094"/>
    <w:rsid w:val="4E7BD28D"/>
    <w:rsid w:val="51A46F68"/>
    <w:rsid w:val="5604327B"/>
    <w:rsid w:val="5777D67A"/>
    <w:rsid w:val="5FFDF974"/>
    <w:rsid w:val="6B9D2F4E"/>
    <w:rsid w:val="74BB5C2A"/>
    <w:rsid w:val="77DA1086"/>
    <w:rsid w:val="77FF97C7"/>
    <w:rsid w:val="782937FE"/>
    <w:rsid w:val="78F22D1D"/>
    <w:rsid w:val="7A7F7435"/>
    <w:rsid w:val="7CF5201D"/>
    <w:rsid w:val="7DBD77D6"/>
    <w:rsid w:val="7DDBA6C8"/>
    <w:rsid w:val="7EEE3FDA"/>
    <w:rsid w:val="9FE79753"/>
    <w:rsid w:val="AFFB13CD"/>
    <w:rsid w:val="BDFF8034"/>
    <w:rsid w:val="BF3FC613"/>
    <w:rsid w:val="BFB73D89"/>
    <w:rsid w:val="BFB921B7"/>
    <w:rsid w:val="BFCBD3F3"/>
    <w:rsid w:val="BFFFB84C"/>
    <w:rsid w:val="D6FF33F5"/>
    <w:rsid w:val="D7FC3E1C"/>
    <w:rsid w:val="EFBDC615"/>
    <w:rsid w:val="EFBFE0CE"/>
    <w:rsid w:val="EFFF2536"/>
    <w:rsid w:val="F96B7BF5"/>
    <w:rsid w:val="FA1F6358"/>
    <w:rsid w:val="FBFD4D63"/>
    <w:rsid w:val="FEFAEF4A"/>
    <w:rsid w:val="FFEB2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unhideWhenUsed/>
    <w:qFormat/>
    <w:uiPriority w:val="0"/>
    <w:pPr>
      <w:spacing w:after="120"/>
      <w:ind w:left="420" w:leftChars="200"/>
    </w:pPr>
  </w:style>
  <w:style w:type="paragraph" w:styleId="4">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1167</Words>
  <Characters>1321</Characters>
  <Lines>0</Lines>
  <Paragraphs>0</Paragraphs>
  <TotalTime>308</TotalTime>
  <ScaleCrop>false</ScaleCrop>
  <LinksUpToDate>false</LinksUpToDate>
  <CharactersWithSpaces>1350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2022-07-16T14:21:00Z</dcterms:created>
  <dc:creator>WPS_1650536469</dc:creator>
  <cp:lastModifiedBy>Huzhou</cp:lastModifiedBy>
  <cp:lastPrinted>2023-05-10T22:22:00Z</cp:lastPrinted>
  <dcterms:modified xsi:type="dcterms:W3CDTF">2023-05-11T16:12:27Z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33505EF71B254FA0880482654DD44AC4_13</vt:lpwstr>
  </property>
</Properties>
</file>