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F6F" w:rsidRDefault="006074B3" w:rsidP="00B16C4D">
      <w:pPr>
        <w:keepNext/>
        <w:keepLines/>
        <w:autoSpaceDE w:val="0"/>
        <w:autoSpaceDN w:val="0"/>
        <w:adjustRightInd w:val="0"/>
        <w:spacing w:beforeLines="50" w:before="156" w:line="560" w:lineRule="exact"/>
        <w:jc w:val="right"/>
        <w:rPr>
          <w:rFonts w:ascii="仿宋_GB2312"/>
          <w:spacing w:val="-30"/>
          <w:sz w:val="32"/>
          <w:szCs w:val="32"/>
        </w:rPr>
      </w:pPr>
      <w:r>
        <w:rPr>
          <w:rFonts w:ascii="仿宋_GB2312" w:hint="eastAsia"/>
          <w:spacing w:val="-30"/>
          <w:sz w:val="32"/>
          <w:szCs w:val="32"/>
        </w:rPr>
        <w:t>EAJD00-2023-0005</w:t>
      </w:r>
    </w:p>
    <w:p w:rsidR="00E50F6F" w:rsidRPr="000E6FDD" w:rsidRDefault="00B16C4D" w:rsidP="00E50F6F">
      <w:pPr>
        <w:keepNext/>
        <w:keepLines/>
        <w:autoSpaceDE w:val="0"/>
        <w:autoSpaceDN w:val="0"/>
        <w:adjustRightInd w:val="0"/>
        <w:spacing w:before="360" w:line="1140" w:lineRule="exact"/>
        <w:jc w:val="center"/>
        <w:rPr>
          <w:rFonts w:ascii="方正小标宋简体" w:eastAsia="方正小标宋简体" w:hAnsi="华文中宋"/>
          <w:color w:val="FF0000"/>
          <w:w w:val="90"/>
          <w:sz w:val="84"/>
          <w:szCs w:val="84"/>
        </w:rPr>
      </w:pPr>
      <w:r w:rsidRPr="003E17C1">
        <w:rPr>
          <w:rFonts w:ascii="方正小标宋简体" w:eastAsia="方正小标宋简体" w:hAnsi="华文中宋" w:hint="eastAsia"/>
          <w:color w:val="FF0000"/>
          <w:spacing w:val="28"/>
          <w:w w:val="95"/>
          <w:sz w:val="84"/>
          <w:szCs w:val="84"/>
        </w:rPr>
        <w:t>安吉县人民政府文</w:t>
      </w:r>
      <w:r w:rsidRPr="003E17C1">
        <w:rPr>
          <w:rFonts w:ascii="方正小标宋简体" w:eastAsia="方正小标宋简体" w:hAnsi="华文中宋" w:hint="eastAsia"/>
          <w:color w:val="FF0000"/>
          <w:w w:val="95"/>
          <w:sz w:val="84"/>
          <w:szCs w:val="84"/>
        </w:rPr>
        <w:t>件</w:t>
      </w:r>
    </w:p>
    <w:p w:rsidR="00E50F6F" w:rsidRDefault="00E50F6F" w:rsidP="00E50F6F">
      <w:pPr>
        <w:keepNext/>
        <w:keepLines/>
        <w:autoSpaceDE w:val="0"/>
        <w:autoSpaceDN w:val="0"/>
        <w:adjustRightInd w:val="0"/>
        <w:spacing w:line="1200" w:lineRule="exact"/>
        <w:rPr>
          <w:rFonts w:ascii="金山简标宋" w:eastAsia="金山简标宋"/>
          <w:spacing w:val="32"/>
          <w:w w:val="90"/>
          <w:sz w:val="100"/>
        </w:rPr>
      </w:pPr>
    </w:p>
    <w:p w:rsidR="00E50F6F" w:rsidRDefault="00E50F6F" w:rsidP="00E50F6F">
      <w:pPr>
        <w:autoSpaceDE w:val="0"/>
        <w:autoSpaceDN w:val="0"/>
        <w:adjustRightInd w:val="0"/>
        <w:spacing w:line="240" w:lineRule="atLeast"/>
        <w:jc w:val="center"/>
        <w:rPr>
          <w:rFonts w:ascii="仿宋_GB2312" w:eastAsia="仿宋_GB2312"/>
          <w:spacing w:val="8"/>
          <w:sz w:val="32"/>
          <w:szCs w:val="32"/>
        </w:rPr>
      </w:pPr>
      <w:r>
        <w:rPr>
          <w:rFonts w:ascii="仿宋_GB2312" w:eastAsia="仿宋_GB2312" w:hint="eastAsia"/>
          <w:spacing w:val="8"/>
          <w:sz w:val="32"/>
          <w:szCs w:val="32"/>
        </w:rPr>
        <w:t>安政发〔2023〕</w:t>
      </w:r>
      <w:r w:rsidR="006074B3">
        <w:rPr>
          <w:rFonts w:ascii="仿宋_GB2312" w:eastAsia="仿宋_GB2312" w:hint="eastAsia"/>
          <w:spacing w:val="8"/>
          <w:sz w:val="32"/>
          <w:szCs w:val="32"/>
        </w:rPr>
        <w:t>9</w:t>
      </w:r>
      <w:r>
        <w:rPr>
          <w:rFonts w:ascii="仿宋_GB2312" w:eastAsia="仿宋_GB2312" w:hint="eastAsia"/>
          <w:spacing w:val="8"/>
          <w:sz w:val="32"/>
          <w:szCs w:val="32"/>
        </w:rPr>
        <w:t>号</w:t>
      </w:r>
      <w:bookmarkStart w:id="0" w:name="_GoBack"/>
      <w:bookmarkEnd w:id="0"/>
    </w:p>
    <w:p w:rsidR="00E50F6F" w:rsidRDefault="00B16C4D" w:rsidP="00B16C4D">
      <w:pPr>
        <w:autoSpaceDE w:val="0"/>
        <w:autoSpaceDN w:val="0"/>
        <w:adjustRightInd w:val="0"/>
        <w:spacing w:line="800" w:lineRule="exact"/>
        <w:jc w:val="center"/>
        <w:rPr>
          <w:rFonts w:ascii="金山简标宋" w:eastAsia="金山简标宋"/>
          <w:b/>
          <w:u w:val="single"/>
        </w:rPr>
      </w:pPr>
      <w:r>
        <w:rPr>
          <w:rFonts w:ascii="金山简标宋" w:eastAsia="金山简标宋"/>
          <w:b/>
          <w:noProof/>
          <w:u w:val="single"/>
        </w:rPr>
        <mc:AlternateContent>
          <mc:Choice Requires="wps">
            <w:drawing>
              <wp:anchor distT="4294967294" distB="4294967294" distL="114300" distR="114300" simplePos="0" relativeHeight="251663360" behindDoc="0" locked="0" layoutInCell="1" allowOverlap="1" wp14:anchorId="21C956A3" wp14:editId="440D6C67">
                <wp:simplePos x="0" y="0"/>
                <wp:positionH relativeFrom="column">
                  <wp:posOffset>-85725</wp:posOffset>
                </wp:positionH>
                <wp:positionV relativeFrom="paragraph">
                  <wp:posOffset>93345</wp:posOffset>
                </wp:positionV>
                <wp:extent cx="5715000" cy="0"/>
                <wp:effectExtent l="0" t="19050" r="0" b="1905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5pt,7.35pt" to="443.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" strokecolor="red" strokeweight="2.25pt"/>
            </w:pict>
          </mc:Fallback>
        </mc:AlternateContent>
      </w:r>
    </w:p>
    <w:p w:rsidR="006074B3" w:rsidRDefault="006074B3" w:rsidP="006074B3">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安吉县人民政府关于开展林业标准地建设</w:t>
      </w:r>
    </w:p>
    <w:p w:rsidR="006074B3" w:rsidRDefault="006074B3" w:rsidP="006074B3">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助</w:t>
      </w:r>
      <w:proofErr w:type="gramStart"/>
      <w:r>
        <w:rPr>
          <w:rFonts w:ascii="Times New Roman" w:eastAsia="方正小标宋简体" w:hAnsi="Times New Roman" w:hint="eastAsia"/>
          <w:sz w:val="44"/>
          <w:szCs w:val="44"/>
        </w:rPr>
        <w:t>推共同</w:t>
      </w:r>
      <w:proofErr w:type="gramEnd"/>
      <w:r>
        <w:rPr>
          <w:rFonts w:ascii="Times New Roman" w:eastAsia="方正小标宋简体" w:hAnsi="Times New Roman" w:hint="eastAsia"/>
          <w:sz w:val="44"/>
          <w:szCs w:val="44"/>
        </w:rPr>
        <w:t>富裕的实施意见（试行）</w:t>
      </w:r>
    </w:p>
    <w:p w:rsidR="006074B3" w:rsidRDefault="006074B3" w:rsidP="00B16C4D">
      <w:pPr>
        <w:spacing w:line="560" w:lineRule="exact"/>
        <w:ind w:firstLineChars="200" w:firstLine="720"/>
        <w:rPr>
          <w:rFonts w:ascii="Times New Roman" w:eastAsia="仿宋_GB2312" w:hAnsi="Times New Roman"/>
          <w:color w:val="000000"/>
          <w:sz w:val="36"/>
          <w:szCs w:val="28"/>
        </w:rPr>
      </w:pPr>
    </w:p>
    <w:p w:rsidR="006074B3" w:rsidRDefault="006074B3" w:rsidP="006074B3">
      <w:pPr>
        <w:overflowPunct w:val="0"/>
        <w:spacing w:line="560" w:lineRule="exact"/>
        <w:rPr>
          <w:rFonts w:ascii="Times New Roman" w:eastAsia="仿宋_GB2312" w:hAnsi="Times New Roman"/>
          <w:sz w:val="32"/>
          <w:szCs w:val="32"/>
        </w:rPr>
      </w:pPr>
      <w:r>
        <w:rPr>
          <w:rFonts w:ascii="Times New Roman" w:eastAsia="仿宋_GB2312" w:hAnsi="Times New Roman" w:hint="eastAsia"/>
          <w:sz w:val="32"/>
          <w:szCs w:val="32"/>
        </w:rPr>
        <w:t>各乡镇人民政府（街道办），县政府各部位，县直各单位：</w:t>
      </w:r>
    </w:p>
    <w:p w:rsidR="006074B3" w:rsidRPr="006074B3" w:rsidRDefault="006074B3" w:rsidP="00F74663">
      <w:pPr>
        <w:overflowPunct w:val="0"/>
        <w:spacing w:line="520" w:lineRule="exact"/>
        <w:ind w:firstLineChars="200" w:firstLine="640"/>
        <w:rPr>
          <w:rFonts w:ascii="Times New Roman" w:eastAsia="仿宋_GB2312" w:hAnsi="Times New Roman"/>
          <w:sz w:val="32"/>
          <w:szCs w:val="32"/>
        </w:rPr>
      </w:pPr>
      <w:r w:rsidRPr="006074B3">
        <w:rPr>
          <w:rFonts w:ascii="Times New Roman" w:eastAsia="仿宋_GB2312" w:hAnsi="Times New Roman"/>
          <w:sz w:val="32"/>
          <w:szCs w:val="32"/>
        </w:rPr>
        <w:t>为进一步贯彻落实国家、省市县乡村振兴战略的决策部署，满足林业项目建设用地需求，推动一二三产业融合发展，加强营商环境建设，促进林业产业兴旺，根据</w:t>
      </w:r>
      <w:r w:rsidRPr="006074B3">
        <w:rPr>
          <w:rFonts w:ascii="Times New Roman" w:eastAsia="仿宋_GB2312" w:hAnsi="Times New Roman" w:hint="eastAsia"/>
          <w:sz w:val="32"/>
          <w:szCs w:val="32"/>
        </w:rPr>
        <w:t>《中华人民共和国森林法》</w:t>
      </w:r>
      <w:r>
        <w:rPr>
          <w:rFonts w:ascii="Times New Roman" w:eastAsia="仿宋_GB2312" w:hAnsi="Times New Roman" w:hint="eastAsia"/>
          <w:sz w:val="32"/>
          <w:szCs w:val="32"/>
        </w:rPr>
        <w:t>、</w:t>
      </w:r>
      <w:r w:rsidRPr="006074B3">
        <w:rPr>
          <w:rFonts w:ascii="Times New Roman" w:eastAsia="仿宋_GB2312" w:hAnsi="Times New Roman"/>
          <w:sz w:val="32"/>
          <w:szCs w:val="32"/>
        </w:rPr>
        <w:t>《中华人民共和国土地管理法》</w:t>
      </w:r>
      <w:r>
        <w:rPr>
          <w:rFonts w:ascii="Times New Roman" w:eastAsia="仿宋_GB2312" w:hAnsi="Times New Roman" w:hint="eastAsia"/>
          <w:sz w:val="32"/>
          <w:szCs w:val="32"/>
        </w:rPr>
        <w:t>、</w:t>
      </w:r>
      <w:r w:rsidRPr="006074B3">
        <w:rPr>
          <w:rFonts w:ascii="Times New Roman" w:eastAsia="仿宋_GB2312" w:hAnsi="Times New Roman"/>
          <w:sz w:val="32"/>
          <w:szCs w:val="32"/>
        </w:rPr>
        <w:t>《自然资源部关于浙江省安吉县深入</w:t>
      </w:r>
      <w:proofErr w:type="gramStart"/>
      <w:r w:rsidRPr="006074B3">
        <w:rPr>
          <w:rFonts w:ascii="Times New Roman" w:eastAsia="仿宋_GB2312" w:hAnsi="Times New Roman"/>
          <w:sz w:val="32"/>
          <w:szCs w:val="32"/>
        </w:rPr>
        <w:t>践行</w:t>
      </w:r>
      <w:proofErr w:type="gramEnd"/>
      <w:r w:rsidRPr="006074B3">
        <w:rPr>
          <w:rFonts w:ascii="Times New Roman" w:eastAsia="仿宋_GB2312" w:hAnsi="Times New Roman"/>
          <w:sz w:val="32"/>
          <w:szCs w:val="32"/>
        </w:rPr>
        <w:t>“</w:t>
      </w:r>
      <w:r w:rsidRPr="006074B3">
        <w:rPr>
          <w:rFonts w:ascii="Times New Roman" w:eastAsia="仿宋_GB2312" w:hAnsi="Times New Roman"/>
          <w:sz w:val="32"/>
          <w:szCs w:val="32"/>
        </w:rPr>
        <w:t>两山</w:t>
      </w:r>
      <w:r w:rsidRPr="006074B3">
        <w:rPr>
          <w:rFonts w:ascii="Times New Roman" w:eastAsia="仿宋_GB2312" w:hAnsi="Times New Roman"/>
          <w:sz w:val="32"/>
          <w:szCs w:val="32"/>
        </w:rPr>
        <w:t>”</w:t>
      </w:r>
      <w:r w:rsidRPr="006074B3">
        <w:rPr>
          <w:rFonts w:ascii="Times New Roman" w:eastAsia="仿宋_GB2312" w:hAnsi="Times New Roman"/>
          <w:sz w:val="32"/>
          <w:szCs w:val="32"/>
        </w:rPr>
        <w:t>理念推进自然资源综合改革试点的批复》（</w:t>
      </w:r>
      <w:proofErr w:type="gramStart"/>
      <w:r w:rsidRPr="006074B3">
        <w:rPr>
          <w:rFonts w:ascii="Times New Roman" w:eastAsia="仿宋_GB2312" w:hAnsi="Times New Roman"/>
          <w:sz w:val="32"/>
          <w:szCs w:val="32"/>
        </w:rPr>
        <w:t>自然资函〔</w:t>
      </w:r>
      <w:r w:rsidRPr="006074B3">
        <w:rPr>
          <w:rFonts w:ascii="Times New Roman" w:eastAsia="仿宋_GB2312" w:hAnsi="Times New Roman"/>
          <w:sz w:val="32"/>
          <w:szCs w:val="32"/>
        </w:rPr>
        <w:t>2020</w:t>
      </w:r>
      <w:r w:rsidRPr="006074B3">
        <w:rPr>
          <w:rFonts w:ascii="Times New Roman" w:eastAsia="仿宋_GB2312" w:hAnsi="Times New Roman"/>
          <w:sz w:val="32"/>
          <w:szCs w:val="32"/>
        </w:rPr>
        <w:t>〕</w:t>
      </w:r>
      <w:proofErr w:type="gramEnd"/>
      <w:r w:rsidRPr="006074B3">
        <w:rPr>
          <w:rFonts w:ascii="Times New Roman" w:eastAsia="仿宋_GB2312" w:hAnsi="Times New Roman"/>
          <w:sz w:val="32"/>
          <w:szCs w:val="32"/>
        </w:rPr>
        <w:t>1048</w:t>
      </w:r>
      <w:r w:rsidRPr="006074B3">
        <w:rPr>
          <w:rFonts w:ascii="Times New Roman" w:eastAsia="仿宋_GB2312" w:hAnsi="Times New Roman"/>
          <w:sz w:val="32"/>
          <w:szCs w:val="32"/>
        </w:rPr>
        <w:t>号）</w:t>
      </w:r>
      <w:r>
        <w:rPr>
          <w:rFonts w:ascii="Times New Roman" w:eastAsia="仿宋_GB2312" w:hAnsi="Times New Roman" w:hint="eastAsia"/>
          <w:sz w:val="32"/>
          <w:szCs w:val="32"/>
        </w:rPr>
        <w:t>、</w:t>
      </w:r>
      <w:r w:rsidRPr="006074B3">
        <w:rPr>
          <w:rFonts w:ascii="Times New Roman" w:eastAsia="仿宋_GB2312" w:hAnsi="Times New Roman"/>
          <w:sz w:val="32"/>
          <w:szCs w:val="32"/>
        </w:rPr>
        <w:t>《浙江省人民政府办公厅关于推进农业标准地改革的指导意见》</w:t>
      </w:r>
      <w:r w:rsidRPr="006074B3">
        <w:rPr>
          <w:rFonts w:ascii="Times New Roman" w:eastAsia="仿宋_GB2312" w:hAnsi="Times New Roman" w:hint="eastAsia"/>
          <w:sz w:val="32"/>
          <w:szCs w:val="32"/>
        </w:rPr>
        <w:t>（</w:t>
      </w:r>
      <w:r w:rsidRPr="006074B3">
        <w:rPr>
          <w:rFonts w:ascii="Times New Roman" w:eastAsia="仿宋_GB2312" w:hAnsi="Times New Roman"/>
          <w:sz w:val="32"/>
          <w:szCs w:val="32"/>
        </w:rPr>
        <w:t>浙政办发〔</w:t>
      </w:r>
      <w:r w:rsidRPr="006074B3">
        <w:rPr>
          <w:rFonts w:ascii="Times New Roman" w:eastAsia="仿宋_GB2312" w:hAnsi="Times New Roman"/>
          <w:sz w:val="32"/>
          <w:szCs w:val="32"/>
        </w:rPr>
        <w:t>2022</w:t>
      </w:r>
      <w:r w:rsidRPr="006074B3">
        <w:rPr>
          <w:rFonts w:ascii="Times New Roman" w:eastAsia="仿宋_GB2312" w:hAnsi="Times New Roman"/>
          <w:sz w:val="32"/>
          <w:szCs w:val="32"/>
        </w:rPr>
        <w:t>〕</w:t>
      </w:r>
      <w:r w:rsidRPr="006074B3">
        <w:rPr>
          <w:rFonts w:ascii="Times New Roman" w:eastAsia="仿宋_GB2312" w:hAnsi="Times New Roman"/>
          <w:sz w:val="32"/>
          <w:szCs w:val="32"/>
        </w:rPr>
        <w:t>41</w:t>
      </w:r>
      <w:r w:rsidRPr="006074B3">
        <w:rPr>
          <w:rFonts w:ascii="Times New Roman" w:eastAsia="仿宋_GB2312" w:hAnsi="Times New Roman"/>
          <w:sz w:val="32"/>
          <w:szCs w:val="32"/>
        </w:rPr>
        <w:t>号</w:t>
      </w:r>
      <w:r w:rsidRPr="006074B3">
        <w:rPr>
          <w:rFonts w:ascii="Times New Roman" w:eastAsia="仿宋_GB2312" w:hAnsi="Times New Roman" w:hint="eastAsia"/>
          <w:sz w:val="32"/>
          <w:szCs w:val="32"/>
        </w:rPr>
        <w:t>）</w:t>
      </w:r>
      <w:r>
        <w:rPr>
          <w:rFonts w:ascii="Times New Roman" w:eastAsia="仿宋_GB2312" w:hAnsi="Times New Roman" w:hint="eastAsia"/>
          <w:sz w:val="32"/>
          <w:szCs w:val="32"/>
        </w:rPr>
        <w:t>、</w:t>
      </w:r>
      <w:r w:rsidRPr="006074B3">
        <w:rPr>
          <w:rFonts w:ascii="Times New Roman" w:eastAsia="仿宋_GB2312" w:hAnsi="Times New Roman"/>
          <w:sz w:val="32"/>
          <w:szCs w:val="32"/>
        </w:rPr>
        <w:t>《浙江省自然资源厅</w:t>
      </w:r>
      <w:r w:rsidRPr="006074B3">
        <w:rPr>
          <w:rFonts w:ascii="Times New Roman" w:eastAsia="仿宋_GB2312" w:hAnsi="Times New Roman"/>
          <w:sz w:val="32"/>
          <w:szCs w:val="32"/>
        </w:rPr>
        <w:t xml:space="preserve"> </w:t>
      </w:r>
      <w:r w:rsidRPr="006074B3">
        <w:rPr>
          <w:rFonts w:ascii="Times New Roman" w:eastAsia="仿宋_GB2312" w:hAnsi="Times New Roman"/>
          <w:sz w:val="32"/>
          <w:szCs w:val="32"/>
        </w:rPr>
        <w:t>浙江省发展改革委</w:t>
      </w:r>
      <w:r w:rsidRPr="006074B3">
        <w:rPr>
          <w:rFonts w:ascii="Times New Roman" w:eastAsia="仿宋_GB2312" w:hAnsi="Times New Roman"/>
          <w:sz w:val="32"/>
          <w:szCs w:val="32"/>
        </w:rPr>
        <w:t xml:space="preserve"> </w:t>
      </w:r>
      <w:r w:rsidRPr="006074B3">
        <w:rPr>
          <w:rFonts w:ascii="Times New Roman" w:eastAsia="仿宋_GB2312" w:hAnsi="Times New Roman"/>
          <w:sz w:val="32"/>
          <w:szCs w:val="32"/>
        </w:rPr>
        <w:t>浙江省农业农村厅关于保障农村一二三产业融合发展用地促进乡村振兴的指导意见》</w:t>
      </w:r>
      <w:r w:rsidRPr="006074B3">
        <w:rPr>
          <w:rFonts w:ascii="Times New Roman" w:eastAsia="仿宋_GB2312" w:hAnsi="Times New Roman" w:hint="eastAsia"/>
          <w:sz w:val="32"/>
          <w:szCs w:val="32"/>
        </w:rPr>
        <w:t>（</w:t>
      </w:r>
      <w:proofErr w:type="gramStart"/>
      <w:r w:rsidRPr="006074B3">
        <w:rPr>
          <w:rFonts w:ascii="Times New Roman" w:eastAsia="仿宋_GB2312" w:hAnsi="Times New Roman" w:hint="eastAsia"/>
          <w:sz w:val="32"/>
          <w:szCs w:val="32"/>
        </w:rPr>
        <w:t>浙自然资规</w:t>
      </w:r>
      <w:proofErr w:type="gramEnd"/>
      <w:r w:rsidRPr="006074B3">
        <w:rPr>
          <w:rFonts w:ascii="Times New Roman" w:eastAsia="仿宋_GB2312" w:hAnsi="Times New Roman" w:hint="eastAsia"/>
          <w:sz w:val="32"/>
          <w:szCs w:val="32"/>
        </w:rPr>
        <w:t>〔</w:t>
      </w:r>
      <w:r w:rsidRPr="006074B3">
        <w:rPr>
          <w:rFonts w:ascii="Times New Roman" w:eastAsia="仿宋_GB2312" w:hAnsi="Times New Roman" w:hint="eastAsia"/>
          <w:sz w:val="32"/>
          <w:szCs w:val="32"/>
        </w:rPr>
        <w:t>2022</w:t>
      </w:r>
      <w:r w:rsidRPr="006074B3">
        <w:rPr>
          <w:rFonts w:ascii="Times New Roman" w:eastAsia="仿宋_GB2312" w:hAnsi="Times New Roman" w:hint="eastAsia"/>
          <w:sz w:val="32"/>
          <w:szCs w:val="32"/>
        </w:rPr>
        <w:t>〕</w:t>
      </w:r>
      <w:r w:rsidRPr="006074B3">
        <w:rPr>
          <w:rFonts w:ascii="Times New Roman" w:eastAsia="仿宋_GB2312" w:hAnsi="Times New Roman" w:hint="eastAsia"/>
          <w:sz w:val="32"/>
          <w:szCs w:val="32"/>
        </w:rPr>
        <w:t>11</w:t>
      </w:r>
      <w:r w:rsidRPr="006074B3">
        <w:rPr>
          <w:rFonts w:ascii="Times New Roman" w:eastAsia="仿宋_GB2312" w:hAnsi="Times New Roman" w:hint="eastAsia"/>
          <w:sz w:val="32"/>
          <w:szCs w:val="32"/>
        </w:rPr>
        <w:t>号）</w:t>
      </w:r>
      <w:r>
        <w:rPr>
          <w:rFonts w:ascii="Times New Roman" w:eastAsia="仿宋_GB2312" w:hAnsi="Times New Roman" w:hint="eastAsia"/>
          <w:sz w:val="32"/>
          <w:szCs w:val="32"/>
        </w:rPr>
        <w:t>、</w:t>
      </w:r>
      <w:r w:rsidRPr="006074B3">
        <w:rPr>
          <w:rFonts w:ascii="Times New Roman" w:eastAsia="仿宋_GB2312" w:hAnsi="Times New Roman" w:hint="eastAsia"/>
          <w:sz w:val="32"/>
          <w:szCs w:val="32"/>
        </w:rPr>
        <w:t>《浙江省林业局关于同意将安吉县列为全省林业“标准地”试点的函》（</w:t>
      </w:r>
      <w:proofErr w:type="gramStart"/>
      <w:r w:rsidRPr="006074B3">
        <w:rPr>
          <w:rFonts w:ascii="Times New Roman" w:eastAsia="仿宋_GB2312" w:hAnsi="Times New Roman" w:hint="eastAsia"/>
          <w:sz w:val="32"/>
          <w:szCs w:val="32"/>
        </w:rPr>
        <w:t>浙林字</w:t>
      </w:r>
      <w:proofErr w:type="gramEnd"/>
      <w:r w:rsidRPr="006074B3">
        <w:rPr>
          <w:rFonts w:ascii="Times New Roman" w:eastAsia="仿宋_GB2312" w:hAnsi="Times New Roman" w:hint="eastAsia"/>
          <w:sz w:val="32"/>
          <w:szCs w:val="32"/>
        </w:rPr>
        <w:t>函〔</w:t>
      </w:r>
      <w:r w:rsidRPr="006074B3">
        <w:rPr>
          <w:rFonts w:ascii="Times New Roman" w:eastAsia="仿宋_GB2312" w:hAnsi="Times New Roman" w:hint="eastAsia"/>
          <w:sz w:val="32"/>
          <w:szCs w:val="32"/>
        </w:rPr>
        <w:t>2023</w:t>
      </w:r>
      <w:r w:rsidRPr="006074B3">
        <w:rPr>
          <w:rFonts w:ascii="Times New Roman" w:eastAsia="仿宋_GB2312" w:hAnsi="Times New Roman" w:hint="eastAsia"/>
          <w:sz w:val="32"/>
          <w:szCs w:val="32"/>
        </w:rPr>
        <w:t>〕</w:t>
      </w:r>
      <w:r w:rsidRPr="006074B3">
        <w:rPr>
          <w:rFonts w:ascii="Times New Roman" w:eastAsia="仿宋_GB2312" w:hAnsi="Times New Roman" w:hint="eastAsia"/>
          <w:sz w:val="32"/>
          <w:szCs w:val="32"/>
        </w:rPr>
        <w:t>109</w:t>
      </w:r>
      <w:r w:rsidRPr="006074B3">
        <w:rPr>
          <w:rFonts w:ascii="Times New Roman" w:eastAsia="仿宋_GB2312" w:hAnsi="Times New Roman" w:hint="eastAsia"/>
          <w:sz w:val="32"/>
          <w:szCs w:val="32"/>
        </w:rPr>
        <w:t>号）</w:t>
      </w:r>
      <w:r>
        <w:rPr>
          <w:rFonts w:ascii="Times New Roman" w:eastAsia="仿宋_GB2312" w:hAnsi="Times New Roman" w:hint="eastAsia"/>
          <w:sz w:val="32"/>
          <w:szCs w:val="32"/>
        </w:rPr>
        <w:t>、</w:t>
      </w:r>
      <w:r w:rsidRPr="006074B3">
        <w:rPr>
          <w:rFonts w:ascii="Times New Roman" w:eastAsia="仿宋_GB2312" w:hAnsi="Times New Roman"/>
          <w:sz w:val="32"/>
          <w:szCs w:val="32"/>
        </w:rPr>
        <w:t>《安吉县人民政府关于加快推动安吉县竹产业振兴发</w:t>
      </w:r>
      <w:r w:rsidRPr="006074B3">
        <w:rPr>
          <w:rFonts w:ascii="Times New Roman" w:eastAsia="仿宋_GB2312" w:hAnsi="Times New Roman"/>
          <w:sz w:val="32"/>
          <w:szCs w:val="32"/>
        </w:rPr>
        <w:lastRenderedPageBreak/>
        <w:t>展的实施意见》</w:t>
      </w:r>
      <w:r w:rsidRPr="006074B3">
        <w:rPr>
          <w:rFonts w:ascii="Times New Roman" w:eastAsia="仿宋_GB2312" w:hAnsi="Times New Roman" w:hint="eastAsia"/>
          <w:sz w:val="32"/>
          <w:szCs w:val="32"/>
        </w:rPr>
        <w:t>（安政发〔</w:t>
      </w:r>
      <w:r w:rsidRPr="006074B3">
        <w:rPr>
          <w:rFonts w:ascii="Times New Roman" w:eastAsia="仿宋_GB2312" w:hAnsi="Times New Roman" w:hint="eastAsia"/>
          <w:sz w:val="32"/>
          <w:szCs w:val="32"/>
        </w:rPr>
        <w:t>2022</w:t>
      </w:r>
      <w:r w:rsidRPr="006074B3">
        <w:rPr>
          <w:rFonts w:ascii="Times New Roman" w:eastAsia="仿宋_GB2312" w:hAnsi="Times New Roman" w:hint="eastAsia"/>
          <w:sz w:val="32"/>
          <w:szCs w:val="32"/>
        </w:rPr>
        <w:t>〕</w:t>
      </w:r>
      <w:r w:rsidRPr="006074B3">
        <w:rPr>
          <w:rFonts w:ascii="Times New Roman" w:eastAsia="仿宋_GB2312" w:hAnsi="Times New Roman" w:hint="eastAsia"/>
          <w:sz w:val="32"/>
          <w:szCs w:val="32"/>
        </w:rPr>
        <w:t>17</w:t>
      </w:r>
      <w:r w:rsidRPr="006074B3">
        <w:rPr>
          <w:rFonts w:ascii="Times New Roman" w:eastAsia="仿宋_GB2312" w:hAnsi="Times New Roman" w:hint="eastAsia"/>
          <w:sz w:val="32"/>
          <w:szCs w:val="32"/>
        </w:rPr>
        <w:t>号）</w:t>
      </w:r>
      <w:r w:rsidRPr="006074B3">
        <w:rPr>
          <w:rFonts w:ascii="Times New Roman" w:eastAsia="仿宋_GB2312" w:hAnsi="Times New Roman"/>
          <w:sz w:val="32"/>
          <w:szCs w:val="32"/>
        </w:rPr>
        <w:t>等文件精神，现就开展林业标准地建设助</w:t>
      </w:r>
      <w:proofErr w:type="gramStart"/>
      <w:r w:rsidRPr="006074B3">
        <w:rPr>
          <w:rFonts w:ascii="Times New Roman" w:eastAsia="仿宋_GB2312" w:hAnsi="Times New Roman"/>
          <w:sz w:val="32"/>
          <w:szCs w:val="32"/>
        </w:rPr>
        <w:t>推共同</w:t>
      </w:r>
      <w:proofErr w:type="gramEnd"/>
      <w:r w:rsidRPr="006074B3">
        <w:rPr>
          <w:rFonts w:ascii="Times New Roman" w:eastAsia="仿宋_GB2312" w:hAnsi="Times New Roman"/>
          <w:sz w:val="32"/>
          <w:szCs w:val="32"/>
        </w:rPr>
        <w:t>富裕制定以下实施意见。</w:t>
      </w:r>
    </w:p>
    <w:p w:rsidR="006074B3" w:rsidRPr="006074B3" w:rsidRDefault="006074B3" w:rsidP="00F74663">
      <w:pPr>
        <w:pStyle w:val="1"/>
        <w:keepNext w:val="0"/>
        <w:keepLines w:val="0"/>
        <w:widowControl w:val="0"/>
        <w:numPr>
          <w:ilvl w:val="0"/>
          <w:numId w:val="0"/>
        </w:numPr>
        <w:overflowPunct w:val="0"/>
        <w:spacing w:beforeLines="0" w:afterLines="0" w:line="520" w:lineRule="exact"/>
        <w:ind w:right="210" w:firstLineChars="196" w:firstLine="627"/>
        <w:rPr>
          <w:b w:val="0"/>
          <w:szCs w:val="32"/>
        </w:rPr>
      </w:pPr>
      <w:r w:rsidRPr="006074B3">
        <w:rPr>
          <w:b w:val="0"/>
          <w:szCs w:val="32"/>
        </w:rPr>
        <w:t>一、准确界定内涵范围</w:t>
      </w:r>
    </w:p>
    <w:p w:rsidR="006074B3" w:rsidRPr="006074B3" w:rsidRDefault="006074B3" w:rsidP="00F74663">
      <w:pPr>
        <w:overflowPunct w:val="0"/>
        <w:spacing w:line="520" w:lineRule="exact"/>
        <w:ind w:firstLineChars="200" w:firstLine="640"/>
        <w:rPr>
          <w:rFonts w:ascii="Times New Roman" w:eastAsia="仿宋_GB2312" w:hAnsi="Times New Roman"/>
          <w:sz w:val="32"/>
          <w:szCs w:val="32"/>
        </w:rPr>
      </w:pPr>
      <w:r w:rsidRPr="006074B3">
        <w:rPr>
          <w:rFonts w:ascii="Times New Roman" w:eastAsia="仿宋_GB2312" w:hAnsi="Times New Roman"/>
          <w:sz w:val="32"/>
          <w:szCs w:val="32"/>
        </w:rPr>
        <w:t>林业标准地是指依托林业资源，在林地统一规模化、标准化经营基础上，支持林业一二三产融合发展用地，包括经营性林地、直接为林业生产经营服务的工程设施用地（以下简称</w:t>
      </w:r>
      <w:r w:rsidRPr="006074B3">
        <w:rPr>
          <w:rFonts w:ascii="Times New Roman" w:eastAsia="仿宋_GB2312" w:hAnsi="Times New Roman"/>
          <w:sz w:val="32"/>
          <w:szCs w:val="32"/>
        </w:rPr>
        <w:t>“</w:t>
      </w:r>
      <w:r w:rsidRPr="006074B3">
        <w:rPr>
          <w:rFonts w:ascii="Times New Roman" w:eastAsia="仿宋_GB2312" w:hAnsi="Times New Roman"/>
          <w:sz w:val="32"/>
          <w:szCs w:val="32"/>
        </w:rPr>
        <w:t>林业直服设施用地</w:t>
      </w:r>
      <w:r w:rsidRPr="006074B3">
        <w:rPr>
          <w:rFonts w:ascii="Times New Roman" w:eastAsia="仿宋_GB2312" w:hAnsi="Times New Roman"/>
          <w:sz w:val="32"/>
          <w:szCs w:val="32"/>
        </w:rPr>
        <w:t>”</w:t>
      </w:r>
      <w:r w:rsidRPr="006074B3">
        <w:rPr>
          <w:rFonts w:ascii="Times New Roman" w:eastAsia="仿宋_GB2312" w:hAnsi="Times New Roman"/>
          <w:sz w:val="32"/>
          <w:szCs w:val="32"/>
        </w:rPr>
        <w:t>）和必要的建设用地。不得用于商品住宅、别墅、公寓等房地产开发以及高档酒店开发，不得擅自改变用途或分割转让转租。</w:t>
      </w:r>
    </w:p>
    <w:p w:rsidR="006074B3" w:rsidRPr="006074B3" w:rsidRDefault="006074B3" w:rsidP="00F74663">
      <w:pPr>
        <w:pStyle w:val="1"/>
        <w:keepNext w:val="0"/>
        <w:keepLines w:val="0"/>
        <w:widowControl w:val="0"/>
        <w:numPr>
          <w:ilvl w:val="0"/>
          <w:numId w:val="0"/>
        </w:numPr>
        <w:overflowPunct w:val="0"/>
        <w:spacing w:beforeLines="0" w:afterLines="0" w:line="520" w:lineRule="exact"/>
        <w:ind w:right="210" w:firstLineChars="196" w:firstLine="627"/>
        <w:rPr>
          <w:b w:val="0"/>
          <w:szCs w:val="32"/>
        </w:rPr>
      </w:pPr>
      <w:r w:rsidRPr="006074B3">
        <w:rPr>
          <w:b w:val="0"/>
          <w:szCs w:val="32"/>
        </w:rPr>
        <w:t>二、从严把握准入条件</w:t>
      </w:r>
    </w:p>
    <w:p w:rsidR="006074B3" w:rsidRPr="006074B3" w:rsidRDefault="006074B3" w:rsidP="00F74663">
      <w:pPr>
        <w:overflowPunct w:val="0"/>
        <w:spacing w:line="520" w:lineRule="exact"/>
        <w:ind w:firstLineChars="200" w:firstLine="640"/>
        <w:rPr>
          <w:rFonts w:ascii="Times New Roman" w:eastAsia="仿宋_GB2312" w:hAnsi="Times New Roman"/>
          <w:sz w:val="32"/>
          <w:szCs w:val="32"/>
        </w:rPr>
      </w:pPr>
      <w:r w:rsidRPr="006074B3">
        <w:rPr>
          <w:rFonts w:ascii="Times New Roman" w:eastAsia="仿宋_GB2312" w:hAnsi="Times New Roman"/>
          <w:sz w:val="32"/>
          <w:szCs w:val="32"/>
        </w:rPr>
        <w:t>项目实施主体要求符合准入条件，鼓励村集体经济组织、股份制合作社、县属国有公司参与，持续</w:t>
      </w:r>
      <w:proofErr w:type="gramStart"/>
      <w:r w:rsidRPr="006074B3">
        <w:rPr>
          <w:rFonts w:ascii="Times New Roman" w:eastAsia="仿宋_GB2312" w:hAnsi="Times New Roman"/>
          <w:sz w:val="32"/>
          <w:szCs w:val="32"/>
        </w:rPr>
        <w:t>提升村</w:t>
      </w:r>
      <w:proofErr w:type="gramEnd"/>
      <w:r w:rsidRPr="006074B3">
        <w:rPr>
          <w:rFonts w:ascii="Times New Roman" w:eastAsia="仿宋_GB2312" w:hAnsi="Times New Roman"/>
          <w:sz w:val="32"/>
          <w:szCs w:val="32"/>
        </w:rPr>
        <w:t>集体经营性收入，带动村集体和农民增收。根据产业链延伸情况，设置基础指标、经济指标、绿色指标、共富指标、创新指标、反向指标等控制性主要指标（详见附件），并根据林业生产经营实际需求设置不同类别的林业标准地，实现林业资源优化配置，提高林业生产率和土地亩均产出率。</w:t>
      </w:r>
    </w:p>
    <w:p w:rsidR="006074B3" w:rsidRPr="006074B3" w:rsidRDefault="006074B3" w:rsidP="00F74663">
      <w:pPr>
        <w:pStyle w:val="1"/>
        <w:keepNext w:val="0"/>
        <w:keepLines w:val="0"/>
        <w:widowControl w:val="0"/>
        <w:numPr>
          <w:ilvl w:val="0"/>
          <w:numId w:val="0"/>
        </w:numPr>
        <w:overflowPunct w:val="0"/>
        <w:spacing w:beforeLines="0" w:afterLines="0" w:line="520" w:lineRule="exact"/>
        <w:ind w:right="210" w:firstLineChars="196" w:firstLine="627"/>
        <w:rPr>
          <w:b w:val="0"/>
          <w:szCs w:val="32"/>
        </w:rPr>
      </w:pPr>
      <w:r w:rsidRPr="006074B3">
        <w:rPr>
          <w:b w:val="0"/>
          <w:szCs w:val="32"/>
        </w:rPr>
        <w:t>三、合理限定用地规模</w:t>
      </w:r>
    </w:p>
    <w:p w:rsidR="006074B3" w:rsidRPr="006074B3" w:rsidRDefault="006074B3" w:rsidP="00F74663">
      <w:pPr>
        <w:overflowPunct w:val="0"/>
        <w:spacing w:line="540" w:lineRule="exact"/>
        <w:ind w:firstLineChars="200" w:firstLine="640"/>
        <w:rPr>
          <w:rFonts w:ascii="Times New Roman" w:eastAsia="仿宋_GB2312" w:hAnsi="Times New Roman"/>
          <w:sz w:val="32"/>
          <w:szCs w:val="32"/>
        </w:rPr>
      </w:pPr>
      <w:r w:rsidRPr="006074B3">
        <w:rPr>
          <w:rFonts w:ascii="Times New Roman" w:eastAsia="仿宋_GB2312" w:hAnsi="Times New Roman"/>
          <w:sz w:val="32"/>
          <w:szCs w:val="32"/>
        </w:rPr>
        <w:t>坚持</w:t>
      </w:r>
      <w:r w:rsidRPr="006074B3">
        <w:rPr>
          <w:rFonts w:ascii="Times New Roman" w:eastAsia="仿宋_GB2312" w:hAnsi="Times New Roman"/>
          <w:sz w:val="32"/>
          <w:szCs w:val="32"/>
        </w:rPr>
        <w:t>“</w:t>
      </w:r>
      <w:r w:rsidRPr="006074B3">
        <w:rPr>
          <w:rFonts w:ascii="Times New Roman" w:eastAsia="仿宋_GB2312" w:hAnsi="Times New Roman"/>
          <w:sz w:val="32"/>
          <w:szCs w:val="32"/>
        </w:rPr>
        <w:t>依法自愿有偿</w:t>
      </w:r>
      <w:r w:rsidRPr="006074B3">
        <w:rPr>
          <w:rFonts w:ascii="Times New Roman" w:eastAsia="仿宋_GB2312" w:hAnsi="Times New Roman"/>
          <w:sz w:val="32"/>
          <w:szCs w:val="32"/>
        </w:rPr>
        <w:t>”</w:t>
      </w:r>
      <w:r w:rsidRPr="006074B3">
        <w:rPr>
          <w:rFonts w:ascii="Times New Roman" w:eastAsia="仿宋_GB2312" w:hAnsi="Times New Roman"/>
          <w:sz w:val="32"/>
          <w:szCs w:val="32"/>
        </w:rPr>
        <w:t>原则，深化集体林地</w:t>
      </w:r>
      <w:r w:rsidRPr="006074B3">
        <w:rPr>
          <w:rFonts w:ascii="Times New Roman" w:eastAsia="仿宋_GB2312" w:hAnsi="Times New Roman"/>
          <w:sz w:val="32"/>
          <w:szCs w:val="32"/>
        </w:rPr>
        <w:t>“</w:t>
      </w:r>
      <w:r w:rsidRPr="006074B3">
        <w:rPr>
          <w:rFonts w:ascii="Times New Roman" w:eastAsia="仿宋_GB2312" w:hAnsi="Times New Roman"/>
          <w:sz w:val="32"/>
          <w:szCs w:val="32"/>
        </w:rPr>
        <w:t>三权分置</w:t>
      </w:r>
      <w:r w:rsidRPr="006074B3">
        <w:rPr>
          <w:rFonts w:ascii="Times New Roman" w:eastAsia="仿宋_GB2312" w:hAnsi="Times New Roman"/>
          <w:sz w:val="32"/>
          <w:szCs w:val="32"/>
        </w:rPr>
        <w:t>”</w:t>
      </w:r>
      <w:r w:rsidRPr="006074B3">
        <w:rPr>
          <w:rFonts w:ascii="Times New Roman" w:eastAsia="仿宋_GB2312" w:hAnsi="Times New Roman"/>
          <w:sz w:val="32"/>
          <w:szCs w:val="32"/>
        </w:rPr>
        <w:t>改革，引导林地经营权集中连片流转，实现规模化经营，林业标准地项目需要流转经营性林地面积</w:t>
      </w:r>
      <w:r w:rsidRPr="006074B3">
        <w:rPr>
          <w:rFonts w:ascii="Times New Roman" w:eastAsia="仿宋_GB2312" w:hAnsi="Times New Roman"/>
          <w:sz w:val="32"/>
          <w:szCs w:val="32"/>
        </w:rPr>
        <w:t>1000</w:t>
      </w:r>
      <w:r w:rsidRPr="006074B3">
        <w:rPr>
          <w:rFonts w:ascii="Times New Roman" w:eastAsia="仿宋_GB2312" w:hAnsi="Times New Roman"/>
          <w:sz w:val="32"/>
          <w:szCs w:val="32"/>
        </w:rPr>
        <w:t>亩以上，且流转期限</w:t>
      </w:r>
      <w:r w:rsidRPr="006074B3">
        <w:rPr>
          <w:rFonts w:ascii="Times New Roman" w:eastAsia="仿宋_GB2312" w:hAnsi="Times New Roman"/>
          <w:sz w:val="32"/>
          <w:szCs w:val="32"/>
        </w:rPr>
        <w:t>10</w:t>
      </w:r>
      <w:r w:rsidRPr="006074B3">
        <w:rPr>
          <w:rFonts w:ascii="Times New Roman" w:eastAsia="仿宋_GB2312" w:hAnsi="Times New Roman"/>
          <w:sz w:val="32"/>
          <w:szCs w:val="32"/>
        </w:rPr>
        <w:t>年以上。在规模化、标准化经营林地的基础上，使用《</w:t>
      </w:r>
      <w:r w:rsidRPr="006074B3">
        <w:rPr>
          <w:rFonts w:ascii="Times New Roman" w:eastAsia="仿宋_GB2312" w:hAnsi="Times New Roman" w:hint="eastAsia"/>
          <w:sz w:val="32"/>
          <w:szCs w:val="32"/>
        </w:rPr>
        <w:t>中华人民共和国</w:t>
      </w:r>
      <w:r w:rsidRPr="006074B3">
        <w:rPr>
          <w:rFonts w:ascii="Times New Roman" w:eastAsia="仿宋_GB2312" w:hAnsi="Times New Roman"/>
          <w:sz w:val="32"/>
          <w:szCs w:val="32"/>
        </w:rPr>
        <w:t>森林法》第五十二条列明的七类林业</w:t>
      </w:r>
      <w:proofErr w:type="gramStart"/>
      <w:r w:rsidRPr="006074B3">
        <w:rPr>
          <w:rFonts w:ascii="Times New Roman" w:eastAsia="仿宋_GB2312" w:hAnsi="Times New Roman"/>
          <w:sz w:val="32"/>
          <w:szCs w:val="32"/>
        </w:rPr>
        <w:t>直服设施</w:t>
      </w:r>
      <w:proofErr w:type="gramEnd"/>
      <w:r w:rsidRPr="006074B3">
        <w:rPr>
          <w:rFonts w:ascii="Times New Roman" w:eastAsia="仿宋_GB2312" w:hAnsi="Times New Roman"/>
          <w:sz w:val="32"/>
          <w:szCs w:val="32"/>
        </w:rPr>
        <w:t>用地的，其用地规模按国家和省规定的占用林地规模执行，技术标准由县级林业主管部门会同有关部门共同研究制定并经省林业局审</w:t>
      </w:r>
      <w:r w:rsidRPr="006074B3">
        <w:rPr>
          <w:rFonts w:ascii="Times New Roman" w:eastAsia="仿宋_GB2312" w:hAnsi="Times New Roman"/>
          <w:sz w:val="32"/>
          <w:szCs w:val="32"/>
        </w:rPr>
        <w:lastRenderedPageBreak/>
        <w:t>查同意，优先享受</w:t>
      </w:r>
      <w:proofErr w:type="gramStart"/>
      <w:r w:rsidRPr="006074B3">
        <w:rPr>
          <w:rFonts w:ascii="Times New Roman" w:eastAsia="仿宋_GB2312" w:hAnsi="Times New Roman"/>
          <w:sz w:val="32"/>
          <w:szCs w:val="32"/>
        </w:rPr>
        <w:t>各类涉林</w:t>
      </w:r>
      <w:proofErr w:type="gramEnd"/>
      <w:r w:rsidRPr="006074B3">
        <w:rPr>
          <w:rFonts w:ascii="Times New Roman" w:eastAsia="仿宋_GB2312" w:hAnsi="Times New Roman"/>
          <w:sz w:val="32"/>
          <w:szCs w:val="32"/>
        </w:rPr>
        <w:t>扶持政策。使用建设用地的，应依法办理建设项目农用地转用审批手续，涉及占用林地的，还应依法办理建设项目使用林地审核手续；单个项目用地总体不超过</w:t>
      </w:r>
      <w:r w:rsidRPr="006074B3">
        <w:rPr>
          <w:rFonts w:ascii="Times New Roman" w:eastAsia="仿宋_GB2312" w:hAnsi="Times New Roman"/>
          <w:sz w:val="32"/>
          <w:szCs w:val="32"/>
        </w:rPr>
        <w:t>5</w:t>
      </w:r>
      <w:r w:rsidRPr="006074B3">
        <w:rPr>
          <w:rFonts w:ascii="Times New Roman" w:eastAsia="仿宋_GB2312" w:hAnsi="Times New Roman"/>
          <w:sz w:val="32"/>
          <w:szCs w:val="32"/>
        </w:rPr>
        <w:t>亩，允许按不同功能分区的需求分地块布局，但不得超过</w:t>
      </w:r>
      <w:r w:rsidRPr="006074B3">
        <w:rPr>
          <w:rFonts w:ascii="Times New Roman" w:eastAsia="仿宋_GB2312" w:hAnsi="Times New Roman"/>
          <w:sz w:val="32"/>
          <w:szCs w:val="32"/>
        </w:rPr>
        <w:t>3</w:t>
      </w:r>
      <w:r w:rsidRPr="006074B3">
        <w:rPr>
          <w:rFonts w:ascii="Times New Roman" w:eastAsia="仿宋_GB2312" w:hAnsi="Times New Roman"/>
          <w:sz w:val="32"/>
          <w:szCs w:val="32"/>
        </w:rPr>
        <w:t>个地块。对于科技含量高、带动力强且投资超过</w:t>
      </w:r>
      <w:r w:rsidRPr="006074B3">
        <w:rPr>
          <w:rFonts w:ascii="Times New Roman" w:eastAsia="仿宋_GB2312" w:hAnsi="Times New Roman"/>
          <w:sz w:val="32"/>
          <w:szCs w:val="32"/>
        </w:rPr>
        <w:t>5000</w:t>
      </w:r>
      <w:r w:rsidRPr="006074B3">
        <w:rPr>
          <w:rFonts w:ascii="Times New Roman" w:eastAsia="仿宋_GB2312" w:hAnsi="Times New Roman"/>
          <w:sz w:val="32"/>
          <w:szCs w:val="32"/>
        </w:rPr>
        <w:t>万元的项目，可按照</w:t>
      </w:r>
      <w:r w:rsidRPr="006074B3">
        <w:rPr>
          <w:rFonts w:ascii="Times New Roman" w:eastAsia="仿宋_GB2312" w:hAnsi="Times New Roman"/>
          <w:sz w:val="32"/>
          <w:szCs w:val="32"/>
        </w:rPr>
        <w:t>“</w:t>
      </w:r>
      <w:r w:rsidRPr="006074B3">
        <w:rPr>
          <w:rFonts w:ascii="Times New Roman" w:eastAsia="仿宋_GB2312" w:hAnsi="Times New Roman"/>
          <w:sz w:val="32"/>
          <w:szCs w:val="32"/>
        </w:rPr>
        <w:t>一事一议</w:t>
      </w:r>
      <w:r w:rsidRPr="006074B3">
        <w:rPr>
          <w:rFonts w:ascii="Times New Roman" w:eastAsia="仿宋_GB2312" w:hAnsi="Times New Roman"/>
          <w:sz w:val="32"/>
          <w:szCs w:val="32"/>
        </w:rPr>
        <w:t>”</w:t>
      </w:r>
      <w:r w:rsidRPr="006074B3">
        <w:rPr>
          <w:rFonts w:ascii="Times New Roman" w:eastAsia="仿宋_GB2312" w:hAnsi="Times New Roman"/>
          <w:sz w:val="32"/>
          <w:szCs w:val="32"/>
        </w:rPr>
        <w:t>确定用地额度。根据林业产业发展要求，全县每年安排</w:t>
      </w:r>
      <w:r w:rsidRPr="006074B3">
        <w:rPr>
          <w:rFonts w:ascii="Times New Roman" w:eastAsia="仿宋_GB2312" w:hAnsi="Times New Roman"/>
          <w:sz w:val="32"/>
          <w:szCs w:val="32"/>
        </w:rPr>
        <w:t>30</w:t>
      </w:r>
      <w:r w:rsidRPr="006074B3">
        <w:rPr>
          <w:rFonts w:ascii="Times New Roman" w:eastAsia="仿宋_GB2312" w:hAnsi="Times New Roman"/>
          <w:sz w:val="32"/>
          <w:szCs w:val="32"/>
        </w:rPr>
        <w:t>亩左右的建设用地指标用于保障林业标准地项目，视发展和使用绩效，可逐年增加。</w:t>
      </w:r>
    </w:p>
    <w:p w:rsidR="006074B3" w:rsidRPr="006074B3" w:rsidRDefault="006074B3" w:rsidP="00F74663">
      <w:pPr>
        <w:pStyle w:val="1"/>
        <w:keepNext w:val="0"/>
        <w:keepLines w:val="0"/>
        <w:widowControl w:val="0"/>
        <w:numPr>
          <w:ilvl w:val="0"/>
          <w:numId w:val="0"/>
        </w:numPr>
        <w:overflowPunct w:val="0"/>
        <w:spacing w:beforeLines="0" w:afterLines="0" w:line="520" w:lineRule="exact"/>
        <w:ind w:right="210" w:firstLineChars="200" w:firstLine="640"/>
        <w:rPr>
          <w:b w:val="0"/>
          <w:szCs w:val="32"/>
        </w:rPr>
      </w:pPr>
      <w:r w:rsidRPr="006074B3">
        <w:rPr>
          <w:b w:val="0"/>
          <w:szCs w:val="32"/>
        </w:rPr>
        <w:t>四、严格落实使用程序</w:t>
      </w:r>
    </w:p>
    <w:p w:rsidR="006074B3" w:rsidRPr="006074B3" w:rsidRDefault="006074B3" w:rsidP="00F74663">
      <w:pPr>
        <w:overflowPunct w:val="0"/>
        <w:spacing w:line="540" w:lineRule="exact"/>
        <w:ind w:firstLineChars="200" w:firstLine="640"/>
        <w:rPr>
          <w:rFonts w:ascii="Times New Roman" w:eastAsia="仿宋_GB2312" w:hAnsi="Times New Roman"/>
          <w:sz w:val="32"/>
          <w:szCs w:val="32"/>
        </w:rPr>
      </w:pPr>
      <w:r w:rsidRPr="006074B3">
        <w:rPr>
          <w:rFonts w:ascii="Times New Roman" w:eastAsia="楷体_GB2312" w:hAnsi="Times New Roman"/>
          <w:bCs/>
          <w:sz w:val="32"/>
          <w:szCs w:val="32"/>
        </w:rPr>
        <w:t>（一）科学建立重点项目库。</w:t>
      </w:r>
      <w:r w:rsidRPr="006074B3">
        <w:rPr>
          <w:rFonts w:ascii="Times New Roman" w:eastAsia="仿宋_GB2312" w:hAnsi="Times New Roman"/>
          <w:sz w:val="32"/>
          <w:szCs w:val="32"/>
        </w:rPr>
        <w:t>根据林业标准地产业定位和控制性指标，吸引社会工商资本参与林业生产经营。对达到控制性指标的项目，由所在村集体经济组织申报，经属地乡镇（街道）初审同意后报林业主管部门，组织有关部门联合评审（竞争性准入），按照</w:t>
      </w:r>
      <w:r w:rsidRPr="006074B3">
        <w:rPr>
          <w:rFonts w:ascii="Times New Roman" w:eastAsia="仿宋_GB2312" w:hAnsi="Times New Roman"/>
          <w:sz w:val="32"/>
          <w:szCs w:val="32"/>
        </w:rPr>
        <w:t>“</w:t>
      </w:r>
      <w:r w:rsidRPr="006074B3">
        <w:rPr>
          <w:rFonts w:ascii="Times New Roman" w:eastAsia="仿宋_GB2312" w:hAnsi="Times New Roman"/>
          <w:sz w:val="32"/>
          <w:szCs w:val="32"/>
        </w:rPr>
        <w:t>项目跟着规划走</w:t>
      </w:r>
      <w:r w:rsidRPr="006074B3">
        <w:rPr>
          <w:rFonts w:ascii="Times New Roman" w:eastAsia="仿宋_GB2312" w:hAnsi="Times New Roman"/>
          <w:sz w:val="32"/>
          <w:szCs w:val="32"/>
        </w:rPr>
        <w:t>”</w:t>
      </w:r>
      <w:r w:rsidRPr="006074B3">
        <w:rPr>
          <w:rFonts w:ascii="Times New Roman" w:eastAsia="仿宋_GB2312" w:hAnsi="Times New Roman"/>
          <w:sz w:val="32"/>
          <w:szCs w:val="32"/>
        </w:rPr>
        <w:t>的原则，确定林业标准地重点项目及布局，建立重点项目库。达到县</w:t>
      </w:r>
      <w:r w:rsidRPr="006074B3">
        <w:rPr>
          <w:rFonts w:ascii="Times New Roman" w:eastAsia="仿宋_GB2312" w:hAnsi="Times New Roman"/>
          <w:sz w:val="32"/>
          <w:szCs w:val="32"/>
        </w:rPr>
        <w:t>“</w:t>
      </w:r>
      <w:r w:rsidRPr="006074B3">
        <w:rPr>
          <w:rFonts w:ascii="Times New Roman" w:eastAsia="仿宋_GB2312" w:hAnsi="Times New Roman"/>
          <w:sz w:val="32"/>
          <w:szCs w:val="32"/>
        </w:rPr>
        <w:t>谋划招引中心例会</w:t>
      </w:r>
      <w:r w:rsidRPr="006074B3">
        <w:rPr>
          <w:rFonts w:ascii="Times New Roman" w:eastAsia="仿宋_GB2312" w:hAnsi="Times New Roman"/>
          <w:sz w:val="32"/>
          <w:szCs w:val="32"/>
        </w:rPr>
        <w:t>”</w:t>
      </w:r>
      <w:r w:rsidRPr="006074B3">
        <w:rPr>
          <w:rFonts w:ascii="Times New Roman" w:eastAsia="仿宋_GB2312" w:hAnsi="Times New Roman"/>
          <w:sz w:val="32"/>
          <w:szCs w:val="32"/>
        </w:rPr>
        <w:t>评审标准的项目还需提交会议评估。对入库项目，按照</w:t>
      </w:r>
      <w:r w:rsidRPr="006074B3">
        <w:rPr>
          <w:rFonts w:ascii="Times New Roman" w:eastAsia="仿宋_GB2312" w:hAnsi="Times New Roman"/>
          <w:sz w:val="32"/>
          <w:szCs w:val="32"/>
        </w:rPr>
        <w:t>“</w:t>
      </w:r>
      <w:r w:rsidRPr="006074B3">
        <w:rPr>
          <w:rFonts w:ascii="Times New Roman" w:eastAsia="仿宋_GB2312" w:hAnsi="Times New Roman"/>
          <w:sz w:val="32"/>
          <w:szCs w:val="32"/>
        </w:rPr>
        <w:t>要素跟着项目走</w:t>
      </w:r>
      <w:r w:rsidRPr="006074B3">
        <w:rPr>
          <w:rFonts w:ascii="Times New Roman" w:eastAsia="仿宋_GB2312" w:hAnsi="Times New Roman"/>
          <w:sz w:val="32"/>
          <w:szCs w:val="32"/>
        </w:rPr>
        <w:t>”</w:t>
      </w:r>
      <w:r w:rsidRPr="006074B3">
        <w:rPr>
          <w:rFonts w:ascii="Times New Roman" w:eastAsia="仿宋_GB2312" w:hAnsi="Times New Roman"/>
          <w:sz w:val="32"/>
          <w:szCs w:val="32"/>
        </w:rPr>
        <w:t>的要求，通过统筹林业</w:t>
      </w:r>
      <w:proofErr w:type="gramStart"/>
      <w:r w:rsidRPr="006074B3">
        <w:rPr>
          <w:rFonts w:ascii="Times New Roman" w:eastAsia="仿宋_GB2312" w:hAnsi="Times New Roman"/>
          <w:sz w:val="32"/>
          <w:szCs w:val="32"/>
        </w:rPr>
        <w:t>直服设施</w:t>
      </w:r>
      <w:proofErr w:type="gramEnd"/>
      <w:r w:rsidRPr="006074B3">
        <w:rPr>
          <w:rFonts w:ascii="Times New Roman" w:eastAsia="仿宋_GB2312" w:hAnsi="Times New Roman"/>
          <w:sz w:val="32"/>
          <w:szCs w:val="32"/>
        </w:rPr>
        <w:t>用地、存量建设用地、增减挂钩指标、新增计划指标落实用地保障。</w:t>
      </w:r>
    </w:p>
    <w:p w:rsidR="006074B3" w:rsidRPr="006074B3" w:rsidRDefault="006074B3" w:rsidP="00F74663">
      <w:pPr>
        <w:overflowPunct w:val="0"/>
        <w:spacing w:line="540" w:lineRule="exact"/>
        <w:ind w:firstLineChars="200" w:firstLine="640"/>
        <w:rPr>
          <w:rFonts w:ascii="Times New Roman" w:eastAsia="仿宋_GB2312" w:hAnsi="Times New Roman"/>
          <w:sz w:val="32"/>
          <w:szCs w:val="32"/>
        </w:rPr>
      </w:pPr>
      <w:r w:rsidRPr="006074B3">
        <w:rPr>
          <w:rFonts w:ascii="Times New Roman" w:eastAsia="楷体_GB2312" w:hAnsi="Times New Roman"/>
          <w:bCs/>
          <w:sz w:val="32"/>
          <w:szCs w:val="32"/>
        </w:rPr>
        <w:t>（二）优化林业产业用地布局。</w:t>
      </w:r>
      <w:r w:rsidRPr="006074B3">
        <w:rPr>
          <w:rFonts w:ascii="Times New Roman" w:eastAsia="仿宋_GB2312" w:hAnsi="Times New Roman"/>
          <w:sz w:val="32"/>
          <w:szCs w:val="32"/>
        </w:rPr>
        <w:t>在林地规模化经营和标准化建设的基础上，可在不占用永久基本农田、高标准农田、粮食功能区、耕地、生态保护红线和坡度</w:t>
      </w:r>
      <w:r w:rsidRPr="006074B3">
        <w:rPr>
          <w:rFonts w:ascii="Times New Roman" w:eastAsia="仿宋_GB2312" w:hAnsi="Times New Roman"/>
          <w:sz w:val="32"/>
          <w:szCs w:val="32"/>
        </w:rPr>
        <w:t>25</w:t>
      </w:r>
      <w:r w:rsidRPr="006074B3">
        <w:rPr>
          <w:rFonts w:ascii="Times New Roman" w:eastAsia="仿宋_GB2312" w:hAnsi="Times New Roman"/>
          <w:sz w:val="32"/>
          <w:szCs w:val="32"/>
        </w:rPr>
        <w:t>度以上环境敏感区域、不突破国土空间规划建设用地指标等约束条件、不破坏生态环境和乡村风貌的前提下，配套一定比例的林业</w:t>
      </w:r>
      <w:proofErr w:type="gramStart"/>
      <w:r w:rsidRPr="006074B3">
        <w:rPr>
          <w:rFonts w:ascii="Times New Roman" w:eastAsia="仿宋_GB2312" w:hAnsi="Times New Roman"/>
          <w:sz w:val="32"/>
          <w:szCs w:val="32"/>
        </w:rPr>
        <w:t>直服设施</w:t>
      </w:r>
      <w:proofErr w:type="gramEnd"/>
      <w:r w:rsidRPr="006074B3">
        <w:rPr>
          <w:rFonts w:ascii="Times New Roman" w:eastAsia="仿宋_GB2312" w:hAnsi="Times New Roman"/>
          <w:sz w:val="32"/>
          <w:szCs w:val="32"/>
        </w:rPr>
        <w:t>用地或建设用地。</w:t>
      </w:r>
    </w:p>
    <w:p w:rsidR="006074B3" w:rsidRPr="006074B3" w:rsidRDefault="006074B3" w:rsidP="00F74663">
      <w:pPr>
        <w:overflowPunct w:val="0"/>
        <w:spacing w:line="540" w:lineRule="exact"/>
        <w:ind w:firstLineChars="200" w:firstLine="640"/>
        <w:rPr>
          <w:rFonts w:ascii="Times New Roman" w:eastAsia="仿宋_GB2312" w:hAnsi="Times New Roman"/>
          <w:sz w:val="32"/>
          <w:szCs w:val="32"/>
        </w:rPr>
      </w:pPr>
      <w:r w:rsidRPr="006074B3">
        <w:rPr>
          <w:rFonts w:ascii="Times New Roman" w:eastAsia="楷体_GB2312" w:hAnsi="Times New Roman"/>
          <w:bCs/>
          <w:sz w:val="32"/>
          <w:szCs w:val="32"/>
        </w:rPr>
        <w:lastRenderedPageBreak/>
        <w:t>（三）优化用地审批和规划许可。</w:t>
      </w:r>
      <w:r w:rsidRPr="006074B3">
        <w:rPr>
          <w:rFonts w:ascii="Times New Roman" w:eastAsia="仿宋_GB2312" w:hAnsi="Times New Roman"/>
          <w:sz w:val="32"/>
          <w:szCs w:val="32"/>
        </w:rPr>
        <w:t>在暂时详细规划未</w:t>
      </w:r>
      <w:proofErr w:type="gramStart"/>
      <w:r w:rsidRPr="006074B3">
        <w:rPr>
          <w:rFonts w:ascii="Times New Roman" w:eastAsia="仿宋_GB2312" w:hAnsi="Times New Roman"/>
          <w:sz w:val="32"/>
          <w:szCs w:val="32"/>
        </w:rPr>
        <w:t>履盖</w:t>
      </w:r>
      <w:proofErr w:type="gramEnd"/>
      <w:r w:rsidRPr="006074B3">
        <w:rPr>
          <w:rFonts w:ascii="Times New Roman" w:eastAsia="仿宋_GB2312" w:hAnsi="Times New Roman"/>
          <w:sz w:val="32"/>
          <w:szCs w:val="32"/>
        </w:rPr>
        <w:t>区域选址的林业标准地项目，应符合我县国土空间总体规划及属地乡镇级国土空间总体规划，采用</w:t>
      </w:r>
      <w:r w:rsidRPr="006074B3">
        <w:rPr>
          <w:rFonts w:ascii="Times New Roman" w:eastAsia="仿宋_GB2312" w:hAnsi="Times New Roman"/>
          <w:sz w:val="32"/>
          <w:szCs w:val="32"/>
        </w:rPr>
        <w:t>“</w:t>
      </w:r>
      <w:r w:rsidRPr="006074B3">
        <w:rPr>
          <w:rFonts w:ascii="Times New Roman" w:eastAsia="仿宋_GB2312" w:hAnsi="Times New Roman"/>
          <w:sz w:val="32"/>
          <w:szCs w:val="32"/>
        </w:rPr>
        <w:t>分区准入</w:t>
      </w:r>
      <w:r w:rsidRPr="006074B3">
        <w:rPr>
          <w:rFonts w:ascii="Times New Roman" w:eastAsia="仿宋_GB2312" w:hAnsi="Times New Roman"/>
          <w:sz w:val="32"/>
          <w:szCs w:val="32"/>
        </w:rPr>
        <w:t>+</w:t>
      </w:r>
      <w:r w:rsidRPr="006074B3">
        <w:rPr>
          <w:rFonts w:ascii="Times New Roman" w:eastAsia="仿宋_GB2312" w:hAnsi="Times New Roman"/>
          <w:sz w:val="32"/>
          <w:szCs w:val="32"/>
        </w:rPr>
        <w:t>约束性指标</w:t>
      </w:r>
      <w:r w:rsidRPr="006074B3">
        <w:rPr>
          <w:rFonts w:ascii="Times New Roman" w:eastAsia="仿宋_GB2312" w:hAnsi="Times New Roman"/>
          <w:sz w:val="32"/>
          <w:szCs w:val="32"/>
        </w:rPr>
        <w:t>”</w:t>
      </w:r>
      <w:r w:rsidRPr="006074B3">
        <w:rPr>
          <w:rFonts w:ascii="Times New Roman" w:eastAsia="仿宋_GB2312" w:hAnsi="Times New Roman"/>
          <w:sz w:val="32"/>
          <w:szCs w:val="32"/>
        </w:rPr>
        <w:t>的方式进行用地审批，且在后续的详规编制中应进行落实。针对林业产业生产的特殊性，合理确定地块的开发建设管理要求，包括用地性质、容积率、建筑密度、建筑高度、配套设施等规划条件，且项目建筑形态及风格应与周边自然生态环境、建筑风貌相协调。</w:t>
      </w:r>
    </w:p>
    <w:p w:rsidR="006074B3" w:rsidRPr="006074B3" w:rsidRDefault="006074B3" w:rsidP="00F74663">
      <w:pPr>
        <w:overflowPunct w:val="0"/>
        <w:spacing w:line="520" w:lineRule="exact"/>
        <w:ind w:firstLineChars="200" w:firstLine="640"/>
        <w:rPr>
          <w:rFonts w:ascii="Times New Roman" w:eastAsia="仿宋_GB2312" w:hAnsi="Times New Roman"/>
          <w:sz w:val="32"/>
          <w:szCs w:val="32"/>
        </w:rPr>
      </w:pPr>
      <w:r w:rsidRPr="006074B3">
        <w:rPr>
          <w:rFonts w:ascii="Times New Roman" w:eastAsia="楷体_GB2312" w:hAnsi="Times New Roman"/>
          <w:bCs/>
          <w:sz w:val="32"/>
          <w:szCs w:val="32"/>
        </w:rPr>
        <w:t>（四）规范用地使用途径。</w:t>
      </w:r>
      <w:r w:rsidRPr="006074B3">
        <w:rPr>
          <w:rFonts w:ascii="Times New Roman" w:eastAsia="仿宋_GB2312" w:hAnsi="Times New Roman"/>
          <w:sz w:val="32"/>
          <w:szCs w:val="32"/>
        </w:rPr>
        <w:t>使用经营性林地的，要依法取得林地经营合同，实施规模化经营和标准化建设。使用林业</w:t>
      </w:r>
      <w:proofErr w:type="gramStart"/>
      <w:r w:rsidRPr="006074B3">
        <w:rPr>
          <w:rFonts w:ascii="Times New Roman" w:eastAsia="仿宋_GB2312" w:hAnsi="Times New Roman"/>
          <w:sz w:val="32"/>
          <w:szCs w:val="32"/>
        </w:rPr>
        <w:t>直服设施</w:t>
      </w:r>
      <w:proofErr w:type="gramEnd"/>
      <w:r w:rsidRPr="006074B3">
        <w:rPr>
          <w:rFonts w:ascii="Times New Roman" w:eastAsia="仿宋_GB2312" w:hAnsi="Times New Roman"/>
          <w:sz w:val="32"/>
          <w:szCs w:val="32"/>
        </w:rPr>
        <w:t>用地的，依据《</w:t>
      </w:r>
      <w:r w:rsidRPr="006074B3">
        <w:rPr>
          <w:rFonts w:ascii="Times New Roman" w:eastAsia="仿宋_GB2312" w:hAnsi="Times New Roman" w:hint="eastAsia"/>
          <w:sz w:val="32"/>
          <w:szCs w:val="32"/>
        </w:rPr>
        <w:t>中华人民共和国</w:t>
      </w:r>
      <w:r w:rsidRPr="006074B3">
        <w:rPr>
          <w:rFonts w:ascii="Times New Roman" w:eastAsia="仿宋_GB2312" w:hAnsi="Times New Roman"/>
          <w:sz w:val="32"/>
          <w:szCs w:val="32"/>
        </w:rPr>
        <w:t>森林法》第五十二条规定，依法办理林业</w:t>
      </w:r>
      <w:proofErr w:type="gramStart"/>
      <w:r w:rsidRPr="006074B3">
        <w:rPr>
          <w:rFonts w:ascii="Times New Roman" w:eastAsia="仿宋_GB2312" w:hAnsi="Times New Roman"/>
          <w:sz w:val="32"/>
          <w:szCs w:val="32"/>
        </w:rPr>
        <w:t>直服设施</w:t>
      </w:r>
      <w:proofErr w:type="gramEnd"/>
      <w:r w:rsidRPr="006074B3">
        <w:rPr>
          <w:rFonts w:ascii="Times New Roman" w:eastAsia="仿宋_GB2312" w:hAnsi="Times New Roman"/>
          <w:sz w:val="32"/>
          <w:szCs w:val="32"/>
        </w:rPr>
        <w:t>用地审批程序后取得。使用集体建设用地的，依据集体经营性建设用地入市相关法律法规进行公开出让后取得；出让年期与林地</w:t>
      </w:r>
      <w:proofErr w:type="gramStart"/>
      <w:r w:rsidRPr="006074B3">
        <w:rPr>
          <w:rFonts w:ascii="Times New Roman" w:eastAsia="仿宋_GB2312" w:hAnsi="Times New Roman"/>
          <w:sz w:val="32"/>
          <w:szCs w:val="32"/>
        </w:rPr>
        <w:t>流转年期一致</w:t>
      </w:r>
      <w:proofErr w:type="gramEnd"/>
      <w:r w:rsidRPr="006074B3">
        <w:rPr>
          <w:rFonts w:ascii="Times New Roman" w:eastAsia="仿宋_GB2312" w:hAnsi="Times New Roman"/>
          <w:sz w:val="32"/>
          <w:szCs w:val="32"/>
        </w:rPr>
        <w:t>且不超过同类型集体经营性建设用地入市最高年限；出让起始价不低于集体经营性建设用地出让评估价的</w:t>
      </w:r>
      <w:r w:rsidRPr="006074B3">
        <w:rPr>
          <w:rFonts w:ascii="Times New Roman" w:eastAsia="仿宋_GB2312" w:hAnsi="Times New Roman"/>
          <w:sz w:val="32"/>
          <w:szCs w:val="32"/>
        </w:rPr>
        <w:t>70%</w:t>
      </w:r>
      <w:r w:rsidRPr="006074B3">
        <w:rPr>
          <w:rFonts w:ascii="Times New Roman" w:eastAsia="仿宋_GB2312" w:hAnsi="Times New Roman"/>
          <w:sz w:val="32"/>
          <w:szCs w:val="32"/>
        </w:rPr>
        <w:t>，且不得低于集体建设用地基准地价，经村集体经济组织民主决策后确定；交易双方依法签订《集体经营性建设用地使用权出让合同》《集体经营性建设用地使用权出让监管协议》并按合同约定按时交纳全部出让价款；鼓励村集体经济组织以集体土地使用权入股、联营等方式参与项目运营，可根据《</w:t>
      </w:r>
      <w:r w:rsidRPr="006074B3">
        <w:rPr>
          <w:rFonts w:ascii="Times New Roman" w:eastAsia="仿宋_GB2312" w:hAnsi="Times New Roman" w:hint="eastAsia"/>
          <w:sz w:val="32"/>
          <w:szCs w:val="32"/>
        </w:rPr>
        <w:t>中华人民共和国</w:t>
      </w:r>
      <w:r w:rsidRPr="006074B3">
        <w:rPr>
          <w:rFonts w:ascii="Times New Roman" w:eastAsia="仿宋_GB2312" w:hAnsi="Times New Roman"/>
          <w:sz w:val="32"/>
          <w:szCs w:val="32"/>
        </w:rPr>
        <w:t>土地管理法》第六十条规定使用国土空间规划确定的建设用地，用于壮大村集体经济。使用国有建设用地的，严格按照国有土地使用权公开出让相关管理规定取得；交易双方依法签订《国有建设用地使用权出让合同》并按合同约定按时交纳全部出让价款。</w:t>
      </w:r>
    </w:p>
    <w:p w:rsidR="006074B3" w:rsidRPr="006074B3" w:rsidRDefault="006074B3" w:rsidP="00F74663">
      <w:pPr>
        <w:overflowPunct w:val="0"/>
        <w:spacing w:line="540" w:lineRule="exact"/>
        <w:ind w:firstLineChars="200" w:firstLine="640"/>
        <w:rPr>
          <w:rFonts w:ascii="Times New Roman" w:eastAsia="仿宋_GB2312" w:hAnsi="Times New Roman"/>
          <w:sz w:val="32"/>
          <w:szCs w:val="32"/>
        </w:rPr>
      </w:pPr>
      <w:r w:rsidRPr="006074B3">
        <w:rPr>
          <w:rFonts w:ascii="Times New Roman" w:eastAsia="楷体_GB2312" w:hAnsi="Times New Roman"/>
          <w:bCs/>
          <w:sz w:val="32"/>
          <w:szCs w:val="32"/>
        </w:rPr>
        <w:lastRenderedPageBreak/>
        <w:t>（五）强化项目用地退出机制。</w:t>
      </w:r>
      <w:r w:rsidRPr="006074B3">
        <w:rPr>
          <w:rFonts w:ascii="Times New Roman" w:eastAsia="仿宋_GB2312" w:hAnsi="Times New Roman"/>
          <w:sz w:val="32"/>
          <w:szCs w:val="32"/>
        </w:rPr>
        <w:t>实施林业标准地项目用地考核监管制度，林业标准地使用方应与乡镇人民政府（街道办事处）、村集体经济组织签订林业标准地项目投资建设合同，明确用地退出等相关违约责任。林业标准地项目因政府原因无法实施、项目主体未按规划确定的用途使用或擅自分割转让转租的，项目使用经营性林地的，林业主管部门指导农村集体经济组织依法收回林地经营权；项目使用林业</w:t>
      </w:r>
      <w:proofErr w:type="gramStart"/>
      <w:r w:rsidRPr="006074B3">
        <w:rPr>
          <w:rFonts w:ascii="Times New Roman" w:eastAsia="仿宋_GB2312" w:hAnsi="Times New Roman"/>
          <w:sz w:val="32"/>
          <w:szCs w:val="32"/>
        </w:rPr>
        <w:t>直服设施</w:t>
      </w:r>
      <w:proofErr w:type="gramEnd"/>
      <w:r w:rsidRPr="006074B3">
        <w:rPr>
          <w:rFonts w:ascii="Times New Roman" w:eastAsia="仿宋_GB2312" w:hAnsi="Times New Roman"/>
          <w:sz w:val="32"/>
          <w:szCs w:val="32"/>
        </w:rPr>
        <w:t>用地，林业主管部门依法撤销相关审批；项目使用集体建设用地的，自然资源主管部门指导农村集体经济组织依法收回集体土地使用权；项目使用国有建设用地的，自然资源主管部门应按照相关法律法规收回土地使用权。</w:t>
      </w:r>
    </w:p>
    <w:p w:rsidR="006074B3" w:rsidRPr="006074B3" w:rsidRDefault="006074B3" w:rsidP="00F74663">
      <w:pPr>
        <w:pStyle w:val="1"/>
        <w:keepNext w:val="0"/>
        <w:keepLines w:val="0"/>
        <w:widowControl w:val="0"/>
        <w:numPr>
          <w:ilvl w:val="0"/>
          <w:numId w:val="0"/>
        </w:numPr>
        <w:overflowPunct w:val="0"/>
        <w:spacing w:beforeLines="0" w:afterLines="0" w:line="540" w:lineRule="exact"/>
        <w:ind w:right="210" w:firstLineChars="196" w:firstLine="627"/>
        <w:rPr>
          <w:b w:val="0"/>
          <w:szCs w:val="32"/>
        </w:rPr>
      </w:pPr>
      <w:r w:rsidRPr="006074B3">
        <w:rPr>
          <w:b w:val="0"/>
          <w:szCs w:val="32"/>
        </w:rPr>
        <w:t>五、切实强化监督管理</w:t>
      </w:r>
    </w:p>
    <w:p w:rsidR="006074B3" w:rsidRPr="006074B3" w:rsidRDefault="006074B3" w:rsidP="00F74663">
      <w:pPr>
        <w:overflowPunct w:val="0"/>
        <w:spacing w:line="540" w:lineRule="exact"/>
        <w:ind w:firstLineChars="200" w:firstLine="640"/>
        <w:rPr>
          <w:rFonts w:ascii="Times New Roman" w:eastAsia="仿宋_GB2312" w:hAnsi="Times New Roman"/>
          <w:sz w:val="32"/>
          <w:szCs w:val="32"/>
        </w:rPr>
      </w:pPr>
      <w:r w:rsidRPr="006074B3">
        <w:rPr>
          <w:rFonts w:ascii="Times New Roman" w:eastAsia="楷体_GB2312" w:hAnsi="Times New Roman"/>
          <w:bCs/>
          <w:sz w:val="32"/>
          <w:szCs w:val="32"/>
        </w:rPr>
        <w:t>（一）强化指导。</w:t>
      </w:r>
      <w:r w:rsidRPr="006074B3">
        <w:rPr>
          <w:rFonts w:ascii="Times New Roman" w:eastAsia="仿宋_GB2312" w:hAnsi="Times New Roman"/>
          <w:sz w:val="32"/>
          <w:szCs w:val="32"/>
        </w:rPr>
        <w:t>各有关单位要加强对林业标准地的指导。属地乡镇（街道）指导项目申报等工作；林业主管部门指导项目评估准入、林业</w:t>
      </w:r>
      <w:proofErr w:type="gramStart"/>
      <w:r w:rsidRPr="006074B3">
        <w:rPr>
          <w:rFonts w:ascii="Times New Roman" w:eastAsia="仿宋_GB2312" w:hAnsi="Times New Roman"/>
          <w:sz w:val="32"/>
          <w:szCs w:val="32"/>
        </w:rPr>
        <w:t>直服设施</w:t>
      </w:r>
      <w:proofErr w:type="gramEnd"/>
      <w:r w:rsidRPr="006074B3">
        <w:rPr>
          <w:rFonts w:ascii="Times New Roman" w:eastAsia="仿宋_GB2312" w:hAnsi="Times New Roman"/>
          <w:sz w:val="32"/>
          <w:szCs w:val="32"/>
        </w:rPr>
        <w:t>用地审批等工作，负责</w:t>
      </w:r>
      <w:proofErr w:type="gramStart"/>
      <w:r w:rsidRPr="006074B3">
        <w:rPr>
          <w:rFonts w:ascii="Times New Roman" w:eastAsia="仿宋_GB2312" w:hAnsi="Times New Roman"/>
          <w:sz w:val="32"/>
          <w:szCs w:val="32"/>
        </w:rPr>
        <w:t>全额保障</w:t>
      </w:r>
      <w:proofErr w:type="gramEnd"/>
      <w:r w:rsidRPr="006074B3">
        <w:rPr>
          <w:rFonts w:ascii="Times New Roman" w:eastAsia="仿宋_GB2312" w:hAnsi="Times New Roman"/>
          <w:sz w:val="32"/>
          <w:szCs w:val="32"/>
        </w:rPr>
        <w:t>林地定额；发展改革主管部门指导做好相关项目备案等工作；财政主管部门指导做好集体经营性建设用地入市调节金的征收等工作；自然资源和规划主管部门做好用地预审、规划许可、农转报批、用地出让等工作；建设主管部门指导优化施工许可办理程序及</w:t>
      </w:r>
      <w:proofErr w:type="gramStart"/>
      <w:r w:rsidRPr="006074B3">
        <w:rPr>
          <w:rFonts w:ascii="Times New Roman" w:eastAsia="仿宋_GB2312" w:hAnsi="Times New Roman"/>
          <w:sz w:val="32"/>
          <w:szCs w:val="32"/>
        </w:rPr>
        <w:t>项目消防</w:t>
      </w:r>
      <w:proofErr w:type="gramEnd"/>
      <w:r w:rsidRPr="006074B3">
        <w:rPr>
          <w:rFonts w:ascii="Times New Roman" w:eastAsia="仿宋_GB2312" w:hAnsi="Times New Roman"/>
          <w:sz w:val="32"/>
          <w:szCs w:val="32"/>
        </w:rPr>
        <w:t>审批等工作；生态环境主管部门做好</w:t>
      </w:r>
      <w:proofErr w:type="gramStart"/>
      <w:r w:rsidRPr="006074B3">
        <w:rPr>
          <w:rFonts w:ascii="Times New Roman" w:eastAsia="仿宋_GB2312" w:hAnsi="Times New Roman"/>
          <w:sz w:val="32"/>
          <w:szCs w:val="32"/>
        </w:rPr>
        <w:t>项目环</w:t>
      </w:r>
      <w:proofErr w:type="gramEnd"/>
      <w:r w:rsidRPr="006074B3">
        <w:rPr>
          <w:rFonts w:ascii="Times New Roman" w:eastAsia="仿宋_GB2312" w:hAnsi="Times New Roman"/>
          <w:sz w:val="32"/>
          <w:szCs w:val="32"/>
        </w:rPr>
        <w:t>评及生态环境保护监督等工作；水利主管部门指导做好项目涉及水域占用、自备取水、水土保持</w:t>
      </w:r>
      <w:r w:rsidRPr="009605DC">
        <w:rPr>
          <w:rFonts w:ascii="Times New Roman" w:eastAsia="仿宋_GB2312" w:hAnsi="Times New Roman"/>
          <w:sz w:val="32"/>
          <w:szCs w:val="32"/>
        </w:rPr>
        <w:t>等</w:t>
      </w:r>
      <w:r w:rsidRPr="006074B3">
        <w:rPr>
          <w:rFonts w:ascii="Times New Roman" w:eastAsia="仿宋_GB2312" w:hAnsi="Times New Roman"/>
          <w:sz w:val="32"/>
          <w:szCs w:val="32"/>
        </w:rPr>
        <w:t>审核审批工作；金融主管部门及时出台扶持林业标准地建设用地使用权和地面建筑物抵押融资政策，支持林业经营项目长远发展。</w:t>
      </w:r>
    </w:p>
    <w:p w:rsidR="006074B3" w:rsidRPr="006074B3" w:rsidRDefault="006074B3" w:rsidP="00F74663">
      <w:pPr>
        <w:overflowPunct w:val="0"/>
        <w:spacing w:line="540" w:lineRule="exact"/>
        <w:ind w:firstLineChars="200" w:firstLine="640"/>
        <w:rPr>
          <w:rFonts w:ascii="Times New Roman" w:eastAsia="仿宋_GB2312" w:hAnsi="Times New Roman"/>
          <w:sz w:val="32"/>
          <w:szCs w:val="32"/>
        </w:rPr>
      </w:pPr>
      <w:r w:rsidRPr="006074B3">
        <w:rPr>
          <w:rFonts w:ascii="Times New Roman" w:eastAsia="楷体_GB2312" w:hAnsi="Times New Roman"/>
          <w:bCs/>
          <w:sz w:val="32"/>
          <w:szCs w:val="32"/>
        </w:rPr>
        <w:lastRenderedPageBreak/>
        <w:t>（二）强化督查。</w:t>
      </w:r>
      <w:r w:rsidRPr="006074B3">
        <w:rPr>
          <w:rFonts w:ascii="Times New Roman" w:eastAsia="仿宋_GB2312" w:hAnsi="Times New Roman"/>
          <w:sz w:val="32"/>
          <w:szCs w:val="32"/>
        </w:rPr>
        <w:t>自然资源、林业主管部门加强林业标准地项目用地全过程的监管，建立监管协调机制，加强沟通协调、落实监管责任。同时加强属地管理，属地乡镇（街道）对林业标准地的供地、建设、使用等环节以及相关林业生产行为实行全过程监管，定期组织项目规范化管理专项检查，严厉查处违法违规行为。所有林业标准地不得擅自改变用途，不允许分割转让转租。对变相从事房地产开发或私自转卖、转租的依法依规严肃查处，并依法收回土地使用权。</w:t>
      </w:r>
    </w:p>
    <w:p w:rsidR="006074B3" w:rsidRPr="006074B3" w:rsidRDefault="006074B3" w:rsidP="00F74663">
      <w:pPr>
        <w:overflowPunct w:val="0"/>
        <w:spacing w:line="540" w:lineRule="exact"/>
        <w:ind w:firstLineChars="200" w:firstLine="640"/>
        <w:rPr>
          <w:rFonts w:ascii="Times New Roman" w:eastAsia="仿宋_GB2312" w:hAnsi="Times New Roman"/>
          <w:sz w:val="32"/>
          <w:szCs w:val="32"/>
        </w:rPr>
      </w:pPr>
      <w:r w:rsidRPr="006074B3">
        <w:rPr>
          <w:rFonts w:ascii="Times New Roman" w:eastAsia="楷体_GB2312" w:hAnsi="Times New Roman"/>
          <w:bCs/>
          <w:sz w:val="32"/>
          <w:szCs w:val="32"/>
        </w:rPr>
        <w:t>（三）强化监管。</w:t>
      </w:r>
      <w:r w:rsidRPr="006074B3">
        <w:rPr>
          <w:rFonts w:ascii="Times New Roman" w:eastAsia="仿宋_GB2312" w:hAnsi="Times New Roman"/>
          <w:sz w:val="32"/>
          <w:szCs w:val="32"/>
        </w:rPr>
        <w:t>林业标准地项目竣工运营后，由林业主管部门牵头组织对项目承诺标准进行复核。对未按投资协议建设或未实现亩均投资强度、产出等主要指标的项目，责令限期整改，整改后仍不能达到约定条件的，按合同约定追究相关违约责任或依法收回土地使用权，并取消各项优惠政策。对如期履约、亩均产出高、示范效应好的投资主体，优先享受</w:t>
      </w:r>
      <w:proofErr w:type="gramStart"/>
      <w:r w:rsidRPr="006074B3">
        <w:rPr>
          <w:rFonts w:ascii="Times New Roman" w:eastAsia="仿宋_GB2312" w:hAnsi="Times New Roman"/>
          <w:sz w:val="32"/>
          <w:szCs w:val="32"/>
        </w:rPr>
        <w:t>各类涉林</w:t>
      </w:r>
      <w:proofErr w:type="gramEnd"/>
      <w:r w:rsidRPr="006074B3">
        <w:rPr>
          <w:rFonts w:ascii="Times New Roman" w:eastAsia="仿宋_GB2312" w:hAnsi="Times New Roman"/>
          <w:sz w:val="32"/>
          <w:szCs w:val="32"/>
        </w:rPr>
        <w:t>扶持政策。林业标准地到期需要续期的，应提前</w:t>
      </w:r>
      <w:r w:rsidRPr="006074B3">
        <w:rPr>
          <w:rFonts w:ascii="Times New Roman" w:eastAsia="仿宋_GB2312" w:hAnsi="Times New Roman"/>
          <w:sz w:val="32"/>
          <w:szCs w:val="32"/>
        </w:rPr>
        <w:t>6</w:t>
      </w:r>
      <w:r w:rsidRPr="006074B3">
        <w:rPr>
          <w:rFonts w:ascii="Times New Roman" w:eastAsia="仿宋_GB2312" w:hAnsi="Times New Roman"/>
          <w:sz w:val="32"/>
          <w:szCs w:val="32"/>
        </w:rPr>
        <w:t>个月办理延期申请，原林业标准地使用方在同等条件下有优先使用权；到期后需收回土地使用权的，出让方可以收回土地使用权。</w:t>
      </w:r>
    </w:p>
    <w:p w:rsidR="006074B3" w:rsidRPr="006074B3" w:rsidRDefault="006074B3" w:rsidP="00F74663">
      <w:pPr>
        <w:overflowPunct w:val="0"/>
        <w:spacing w:line="540" w:lineRule="exact"/>
        <w:ind w:firstLineChars="200" w:firstLine="640"/>
        <w:rPr>
          <w:rFonts w:ascii="Times New Roman" w:eastAsia="仿宋_GB2312" w:hAnsi="Times New Roman"/>
          <w:sz w:val="32"/>
          <w:szCs w:val="32"/>
        </w:rPr>
      </w:pPr>
      <w:proofErr w:type="gramStart"/>
      <w:r w:rsidRPr="006074B3">
        <w:rPr>
          <w:rFonts w:ascii="Times New Roman" w:eastAsia="仿宋_GB2312" w:hAnsi="Times New Roman" w:hint="eastAsia"/>
          <w:sz w:val="32"/>
          <w:szCs w:val="32"/>
        </w:rPr>
        <w:t>本意见自</w:t>
      </w:r>
      <w:r w:rsidRPr="006074B3">
        <w:rPr>
          <w:rFonts w:ascii="Times New Roman" w:eastAsia="仿宋_GB2312" w:hAnsi="Times New Roman" w:hint="eastAsia"/>
          <w:sz w:val="32"/>
          <w:szCs w:val="32"/>
        </w:rPr>
        <w:t>2023</w:t>
      </w:r>
      <w:r w:rsidRPr="006074B3">
        <w:rPr>
          <w:rFonts w:ascii="Times New Roman" w:eastAsia="仿宋_GB2312" w:hAnsi="Times New Roman" w:hint="eastAsia"/>
          <w:sz w:val="32"/>
          <w:szCs w:val="32"/>
        </w:rPr>
        <w:t>年</w:t>
      </w:r>
      <w:r>
        <w:rPr>
          <w:rFonts w:ascii="Times New Roman" w:eastAsia="仿宋_GB2312" w:hAnsi="Times New Roman" w:hint="eastAsia"/>
          <w:sz w:val="32"/>
          <w:szCs w:val="32"/>
        </w:rPr>
        <w:t>6</w:t>
      </w:r>
      <w:r w:rsidRPr="006074B3">
        <w:rPr>
          <w:rFonts w:ascii="Times New Roman" w:eastAsia="仿宋_GB2312" w:hAnsi="Times New Roman" w:hint="eastAsia"/>
          <w:sz w:val="32"/>
          <w:szCs w:val="32"/>
        </w:rPr>
        <w:t>月</w:t>
      </w:r>
      <w:r w:rsidR="00BE72ED">
        <w:rPr>
          <w:rFonts w:ascii="Times New Roman" w:eastAsia="仿宋_GB2312" w:hAnsi="Times New Roman" w:hint="eastAsia"/>
          <w:sz w:val="32"/>
          <w:szCs w:val="32"/>
        </w:rPr>
        <w:t>6</w:t>
      </w:r>
      <w:r w:rsidRPr="006074B3">
        <w:rPr>
          <w:rFonts w:ascii="Times New Roman" w:eastAsia="仿宋_GB2312" w:hAnsi="Times New Roman" w:hint="eastAsia"/>
          <w:sz w:val="32"/>
          <w:szCs w:val="32"/>
        </w:rPr>
        <w:t>日起</w:t>
      </w:r>
      <w:proofErr w:type="gramEnd"/>
      <w:r w:rsidRPr="006074B3">
        <w:rPr>
          <w:rFonts w:ascii="Times New Roman" w:eastAsia="仿宋_GB2312" w:hAnsi="Times New Roman" w:hint="eastAsia"/>
          <w:sz w:val="32"/>
          <w:szCs w:val="32"/>
        </w:rPr>
        <w:t>施行。</w:t>
      </w:r>
      <w:r w:rsidRPr="006074B3">
        <w:rPr>
          <w:rFonts w:ascii="Times New Roman" w:eastAsia="仿宋_GB2312" w:hAnsi="Times New Roman"/>
          <w:sz w:val="32"/>
          <w:szCs w:val="32"/>
        </w:rPr>
        <w:t>法律、法规、规章及上级文件另有规定的，从其规定。</w:t>
      </w:r>
    </w:p>
    <w:p w:rsidR="006074B3" w:rsidRPr="006074B3" w:rsidRDefault="006074B3" w:rsidP="00F74663">
      <w:pPr>
        <w:overflowPunct w:val="0"/>
        <w:spacing w:line="400" w:lineRule="exact"/>
        <w:ind w:firstLineChars="200" w:firstLine="640"/>
        <w:rPr>
          <w:rFonts w:ascii="Times New Roman" w:eastAsia="仿宋_GB2312" w:hAnsi="Times New Roman"/>
          <w:sz w:val="32"/>
          <w:szCs w:val="32"/>
        </w:rPr>
      </w:pPr>
    </w:p>
    <w:p w:rsidR="00F74663" w:rsidRDefault="006074B3" w:rsidP="00F74663">
      <w:pPr>
        <w:overflowPunct w:val="0"/>
        <w:spacing w:line="540" w:lineRule="exact"/>
        <w:ind w:firstLineChars="200" w:firstLine="640"/>
        <w:rPr>
          <w:rFonts w:ascii="Times New Roman" w:eastAsia="仿宋_GB2312" w:hAnsi="Times New Roman" w:hint="eastAsia"/>
          <w:sz w:val="32"/>
          <w:szCs w:val="32"/>
        </w:rPr>
      </w:pPr>
      <w:r w:rsidRPr="006074B3">
        <w:rPr>
          <w:rFonts w:ascii="Times New Roman" w:eastAsia="仿宋_GB2312" w:hAnsi="Times New Roman"/>
          <w:sz w:val="32"/>
          <w:szCs w:val="32"/>
        </w:rPr>
        <w:t>附件：林业标准地控制性主要指标体系</w:t>
      </w:r>
    </w:p>
    <w:p w:rsidR="00F74663" w:rsidRPr="00F74663" w:rsidRDefault="00F74663" w:rsidP="00F74663">
      <w:pPr>
        <w:pStyle w:val="10"/>
        <w:rPr>
          <w:rFonts w:ascii="仿宋_GB2312" w:eastAsia="仿宋_GB2312" w:hint="eastAsia"/>
          <w:sz w:val="32"/>
          <w:szCs w:val="32"/>
        </w:rPr>
      </w:pPr>
    </w:p>
    <w:p w:rsidR="00F74663" w:rsidRPr="00F74663" w:rsidRDefault="00F74663" w:rsidP="00F74663">
      <w:pPr>
        <w:spacing w:line="560" w:lineRule="exact"/>
        <w:rPr>
          <w:rFonts w:ascii="仿宋_GB2312" w:eastAsia="仿宋_GB2312" w:hint="eastAsia"/>
          <w:sz w:val="32"/>
          <w:szCs w:val="32"/>
        </w:rPr>
      </w:pPr>
      <w:r w:rsidRPr="00F74663">
        <w:rPr>
          <w:rFonts w:ascii="仿宋_GB2312" w:eastAsia="仿宋_GB2312" w:hint="eastAsia"/>
          <w:sz w:val="32"/>
          <w:szCs w:val="32"/>
        </w:rPr>
        <w:t xml:space="preserve">                      </w:t>
      </w:r>
      <w:r>
        <w:rPr>
          <w:rFonts w:ascii="仿宋_GB2312" w:eastAsia="仿宋_GB2312" w:hint="eastAsia"/>
          <w:sz w:val="32"/>
          <w:szCs w:val="32"/>
        </w:rPr>
        <w:t xml:space="preserve">   </w:t>
      </w:r>
      <w:r w:rsidRPr="00F74663">
        <w:rPr>
          <w:rFonts w:ascii="仿宋_GB2312" w:eastAsia="仿宋_GB2312" w:hint="eastAsia"/>
          <w:sz w:val="32"/>
          <w:szCs w:val="32"/>
        </w:rPr>
        <w:t xml:space="preserve">         </w:t>
      </w:r>
      <w:r>
        <w:rPr>
          <w:rFonts w:ascii="仿宋_GB2312" w:eastAsia="仿宋_GB2312" w:hint="eastAsia"/>
          <w:sz w:val="32"/>
          <w:szCs w:val="32"/>
        </w:rPr>
        <w:t xml:space="preserve"> </w:t>
      </w:r>
      <w:r w:rsidRPr="00F74663">
        <w:rPr>
          <w:rFonts w:ascii="仿宋_GB2312" w:eastAsia="仿宋_GB2312" w:hint="eastAsia"/>
          <w:sz w:val="32"/>
          <w:szCs w:val="32"/>
        </w:rPr>
        <w:t xml:space="preserve"> 安吉县人民政府</w:t>
      </w:r>
    </w:p>
    <w:p w:rsidR="00F74663" w:rsidRPr="00F74663" w:rsidRDefault="00F74663" w:rsidP="00F74663">
      <w:pPr>
        <w:pStyle w:val="10"/>
        <w:spacing w:line="560" w:lineRule="exact"/>
        <w:rPr>
          <w:rFonts w:ascii="仿宋_GB2312" w:eastAsia="仿宋_GB2312" w:hint="eastAsia"/>
          <w:sz w:val="32"/>
          <w:szCs w:val="32"/>
        </w:rPr>
      </w:pPr>
      <w:r>
        <w:rPr>
          <w:rFonts w:ascii="仿宋_GB2312" w:eastAsia="仿宋_GB2312" w:hint="eastAsia"/>
          <w:sz w:val="32"/>
          <w:szCs w:val="32"/>
        </w:rPr>
        <w:t xml:space="preserve">                                    2023年5月6日</w:t>
      </w:r>
    </w:p>
    <w:p w:rsidR="00F74663" w:rsidRPr="00F74663" w:rsidRDefault="00F74663" w:rsidP="00F74663">
      <w:pPr>
        <w:rPr>
          <w:rFonts w:ascii="仿宋_GB2312" w:eastAsia="仿宋_GB2312" w:hint="eastAsia"/>
          <w:sz w:val="32"/>
          <w:szCs w:val="32"/>
        </w:rPr>
        <w:sectPr w:rsidR="00F74663" w:rsidRPr="00F74663">
          <w:footerReference w:type="default" r:id="rId10"/>
          <w:pgSz w:w="11906" w:h="16838"/>
          <w:pgMar w:top="1701" w:right="1531" w:bottom="1701" w:left="1701" w:header="851" w:footer="992" w:gutter="0"/>
          <w:cols w:space="720"/>
          <w:docGrid w:type="lines" w:linePitch="312"/>
        </w:sectPr>
      </w:pPr>
    </w:p>
    <w:p w:rsidR="006074B3" w:rsidRDefault="006074B3" w:rsidP="006074B3">
      <w:pPr>
        <w:spacing w:line="560" w:lineRule="exact"/>
        <w:rPr>
          <w:rFonts w:ascii="Times New Roman" w:eastAsia="黑体" w:hAnsi="Times New Roman"/>
          <w:sz w:val="32"/>
          <w:szCs w:val="32"/>
        </w:rPr>
      </w:pPr>
      <w:r>
        <w:rPr>
          <w:rFonts w:ascii="Times New Roman" w:eastAsia="黑体" w:hAnsi="黑体"/>
          <w:sz w:val="32"/>
          <w:szCs w:val="32"/>
        </w:rPr>
        <w:lastRenderedPageBreak/>
        <w:t>附件</w:t>
      </w:r>
    </w:p>
    <w:p w:rsidR="006074B3" w:rsidRPr="005C3556" w:rsidRDefault="006074B3" w:rsidP="006074B3">
      <w:pPr>
        <w:spacing w:line="560" w:lineRule="exact"/>
        <w:jc w:val="center"/>
        <w:rPr>
          <w:rFonts w:ascii="Times New Roman" w:hAnsi="Times New Roman"/>
        </w:rPr>
      </w:pPr>
      <w:r w:rsidRPr="005C3556">
        <w:rPr>
          <w:rFonts w:ascii="Times New Roman" w:eastAsia="方正小标宋简体" w:hAnsi="Times New Roman"/>
          <w:kern w:val="0"/>
          <w:sz w:val="44"/>
          <w:szCs w:val="44"/>
        </w:rPr>
        <w:t>林业标准地控制性主要指标体系</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5"/>
        <w:gridCol w:w="1575"/>
        <w:gridCol w:w="2736"/>
        <w:gridCol w:w="3169"/>
      </w:tblGrid>
      <w:tr w:rsidR="006074B3" w:rsidTr="006074B3">
        <w:trPr>
          <w:trHeight w:val="85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074B3" w:rsidRPr="006074B3" w:rsidRDefault="006074B3" w:rsidP="00902D58">
            <w:pPr>
              <w:framePr w:hSpace="180" w:wrap="around" w:vAnchor="text" w:hAnchor="page" w:xAlign="center" w:y="509"/>
              <w:adjustRightInd w:val="0"/>
              <w:snapToGrid w:val="0"/>
              <w:jc w:val="center"/>
              <w:rPr>
                <w:rFonts w:ascii="黑体" w:eastAsia="黑体" w:hAnsi="黑体"/>
                <w:kern w:val="0"/>
                <w:szCs w:val="21"/>
              </w:rPr>
            </w:pPr>
            <w:r w:rsidRPr="006074B3">
              <w:rPr>
                <w:rFonts w:ascii="黑体" w:eastAsia="黑体" w:hAnsi="黑体"/>
                <w:kern w:val="0"/>
                <w:szCs w:val="21"/>
              </w:rPr>
              <w:t>类别</w:t>
            </w:r>
          </w:p>
        </w:tc>
        <w:tc>
          <w:tcPr>
            <w:tcW w:w="1275" w:type="dxa"/>
            <w:tcBorders>
              <w:top w:val="single" w:sz="4" w:space="0" w:color="auto"/>
              <w:left w:val="nil"/>
              <w:bottom w:val="single" w:sz="4" w:space="0" w:color="auto"/>
              <w:right w:val="single" w:sz="4" w:space="0" w:color="auto"/>
            </w:tcBorders>
            <w:shd w:val="clear" w:color="auto" w:fill="auto"/>
            <w:vAlign w:val="center"/>
          </w:tcPr>
          <w:p w:rsidR="006074B3" w:rsidRPr="006074B3" w:rsidRDefault="006074B3" w:rsidP="00902D58">
            <w:pPr>
              <w:framePr w:hSpace="180" w:wrap="around" w:vAnchor="text" w:hAnchor="page" w:xAlign="center" w:y="509"/>
              <w:adjustRightInd w:val="0"/>
              <w:snapToGrid w:val="0"/>
              <w:jc w:val="center"/>
              <w:rPr>
                <w:rFonts w:ascii="黑体" w:eastAsia="黑体" w:hAnsi="黑体"/>
                <w:kern w:val="0"/>
                <w:szCs w:val="21"/>
              </w:rPr>
            </w:pPr>
            <w:r w:rsidRPr="006074B3">
              <w:rPr>
                <w:rFonts w:ascii="黑体" w:eastAsia="黑体" w:hAnsi="黑体"/>
                <w:kern w:val="0"/>
                <w:szCs w:val="21"/>
              </w:rPr>
              <w:t>细分指标</w:t>
            </w:r>
          </w:p>
        </w:tc>
        <w:tc>
          <w:tcPr>
            <w:tcW w:w="7480" w:type="dxa"/>
            <w:gridSpan w:val="3"/>
            <w:tcBorders>
              <w:top w:val="single" w:sz="4" w:space="0" w:color="auto"/>
              <w:left w:val="nil"/>
              <w:bottom w:val="single" w:sz="4" w:space="0" w:color="auto"/>
              <w:right w:val="single" w:sz="4" w:space="0" w:color="auto"/>
            </w:tcBorders>
            <w:shd w:val="clear" w:color="auto" w:fill="auto"/>
            <w:vAlign w:val="center"/>
          </w:tcPr>
          <w:p w:rsidR="006074B3" w:rsidRPr="006074B3" w:rsidRDefault="006074B3" w:rsidP="00902D58">
            <w:pPr>
              <w:framePr w:hSpace="180" w:wrap="around" w:vAnchor="text" w:hAnchor="page" w:xAlign="center" w:y="509"/>
              <w:adjustRightInd w:val="0"/>
              <w:snapToGrid w:val="0"/>
              <w:jc w:val="center"/>
              <w:rPr>
                <w:rFonts w:ascii="黑体" w:eastAsia="黑体" w:hAnsi="黑体"/>
                <w:szCs w:val="21"/>
              </w:rPr>
            </w:pPr>
            <w:r w:rsidRPr="006074B3">
              <w:rPr>
                <w:rFonts w:ascii="黑体" w:eastAsia="黑体" w:hAnsi="黑体"/>
                <w:kern w:val="0"/>
                <w:szCs w:val="21"/>
              </w:rPr>
              <w:t>指</w:t>
            </w:r>
            <w:r w:rsidRPr="006074B3">
              <w:rPr>
                <w:rFonts w:ascii="黑体" w:eastAsia="黑体" w:hAnsi="黑体" w:hint="eastAsia"/>
                <w:kern w:val="0"/>
                <w:szCs w:val="21"/>
              </w:rPr>
              <w:t xml:space="preserve">  </w:t>
            </w:r>
            <w:r w:rsidRPr="006074B3">
              <w:rPr>
                <w:rFonts w:ascii="黑体" w:eastAsia="黑体" w:hAnsi="黑体"/>
                <w:kern w:val="0"/>
                <w:szCs w:val="21"/>
              </w:rPr>
              <w:t>标</w:t>
            </w:r>
            <w:r w:rsidRPr="006074B3">
              <w:rPr>
                <w:rFonts w:ascii="黑体" w:eastAsia="黑体" w:hAnsi="黑体" w:hint="eastAsia"/>
                <w:kern w:val="0"/>
                <w:szCs w:val="21"/>
              </w:rPr>
              <w:t xml:space="preserve">  </w:t>
            </w:r>
            <w:r w:rsidRPr="006074B3">
              <w:rPr>
                <w:rFonts w:ascii="黑体" w:eastAsia="黑体" w:hAnsi="黑体"/>
                <w:kern w:val="0"/>
                <w:szCs w:val="21"/>
              </w:rPr>
              <w:t>内</w:t>
            </w:r>
            <w:r w:rsidRPr="006074B3">
              <w:rPr>
                <w:rFonts w:ascii="黑体" w:eastAsia="黑体" w:hAnsi="黑体" w:hint="eastAsia"/>
                <w:kern w:val="0"/>
                <w:szCs w:val="21"/>
              </w:rPr>
              <w:t xml:space="preserve">  </w:t>
            </w:r>
            <w:r w:rsidRPr="006074B3">
              <w:rPr>
                <w:rFonts w:ascii="黑体" w:eastAsia="黑体" w:hAnsi="黑体"/>
                <w:kern w:val="0"/>
                <w:szCs w:val="21"/>
              </w:rPr>
              <w:t>容</w:t>
            </w:r>
          </w:p>
        </w:tc>
      </w:tr>
      <w:tr w:rsidR="006074B3" w:rsidTr="006074B3">
        <w:trPr>
          <w:trHeight w:val="850"/>
          <w:jc w:val="center"/>
        </w:trPr>
        <w:tc>
          <w:tcPr>
            <w:tcW w:w="709" w:type="dxa"/>
            <w:vMerge w:val="restart"/>
            <w:tcBorders>
              <w:left w:val="single" w:sz="4" w:space="0" w:color="auto"/>
              <w:right w:val="single" w:sz="4" w:space="0" w:color="auto"/>
            </w:tcBorders>
            <w:shd w:val="clear" w:color="auto" w:fill="auto"/>
            <w:vAlign w:val="center"/>
          </w:tcPr>
          <w:p w:rsidR="006074B3" w:rsidRPr="006074B3" w:rsidRDefault="006074B3" w:rsidP="00902D58">
            <w:pPr>
              <w:framePr w:hSpace="180" w:wrap="around" w:vAnchor="text" w:hAnchor="page" w:xAlign="center" w:y="509"/>
              <w:adjustRightInd w:val="0"/>
              <w:snapToGrid w:val="0"/>
              <w:jc w:val="center"/>
              <w:rPr>
                <w:rFonts w:ascii="黑体" w:eastAsia="黑体" w:hAnsi="黑体"/>
                <w:kern w:val="0"/>
                <w:szCs w:val="21"/>
              </w:rPr>
            </w:pPr>
            <w:r w:rsidRPr="006074B3">
              <w:rPr>
                <w:rFonts w:ascii="黑体" w:eastAsia="黑体" w:hAnsi="黑体"/>
                <w:kern w:val="0"/>
                <w:szCs w:val="21"/>
              </w:rPr>
              <w:t>基础指标</w:t>
            </w:r>
          </w:p>
        </w:tc>
        <w:tc>
          <w:tcPr>
            <w:tcW w:w="1275" w:type="dxa"/>
            <w:tcBorders>
              <w:top w:val="single" w:sz="4" w:space="0" w:color="auto"/>
              <w:left w:val="nil"/>
              <w:bottom w:val="single" w:sz="4" w:space="0" w:color="auto"/>
              <w:right w:val="single" w:sz="4" w:space="0" w:color="auto"/>
            </w:tcBorders>
            <w:shd w:val="clear" w:color="auto" w:fill="auto"/>
            <w:vAlign w:val="center"/>
          </w:tcPr>
          <w:p w:rsidR="006074B3" w:rsidRDefault="006074B3" w:rsidP="00902D58">
            <w:pPr>
              <w:framePr w:hSpace="180" w:wrap="around" w:vAnchor="text" w:hAnchor="page" w:xAlign="center" w:y="509"/>
              <w:adjustRightInd w:val="0"/>
              <w:snapToGrid w:val="0"/>
              <w:jc w:val="center"/>
              <w:rPr>
                <w:rFonts w:ascii="Times New Roman" w:eastAsiaTheme="minorEastAsia" w:hAnsiTheme="minorEastAsia"/>
                <w:kern w:val="0"/>
                <w:szCs w:val="21"/>
              </w:rPr>
            </w:pPr>
            <w:r w:rsidRPr="006074B3">
              <w:rPr>
                <w:rFonts w:ascii="Times New Roman" w:eastAsiaTheme="minorEastAsia" w:hAnsiTheme="minorEastAsia"/>
                <w:kern w:val="0"/>
                <w:szCs w:val="21"/>
              </w:rPr>
              <w:t>规模经营</w:t>
            </w:r>
          </w:p>
          <w:p w:rsidR="006074B3" w:rsidRPr="006074B3" w:rsidRDefault="006074B3" w:rsidP="00902D58">
            <w:pPr>
              <w:framePr w:hSpace="180" w:wrap="around" w:vAnchor="text" w:hAnchor="page" w:xAlign="center" w:y="509"/>
              <w:adjustRightInd w:val="0"/>
              <w:snapToGrid w:val="0"/>
              <w:jc w:val="center"/>
              <w:rPr>
                <w:rFonts w:ascii="Times New Roman" w:eastAsiaTheme="minorEastAsia" w:hAnsi="Times New Roman"/>
                <w:kern w:val="0"/>
                <w:szCs w:val="21"/>
              </w:rPr>
            </w:pPr>
            <w:r w:rsidRPr="006074B3">
              <w:rPr>
                <w:rFonts w:ascii="Times New Roman" w:eastAsiaTheme="minorEastAsia" w:hAnsiTheme="minorEastAsia"/>
                <w:kern w:val="0"/>
                <w:szCs w:val="21"/>
              </w:rPr>
              <w:t>程度</w:t>
            </w:r>
          </w:p>
        </w:tc>
        <w:tc>
          <w:tcPr>
            <w:tcW w:w="7480" w:type="dxa"/>
            <w:gridSpan w:val="3"/>
            <w:tcBorders>
              <w:top w:val="single" w:sz="4" w:space="0" w:color="auto"/>
              <w:left w:val="nil"/>
              <w:bottom w:val="single" w:sz="4" w:space="0" w:color="auto"/>
              <w:right w:val="single" w:sz="4" w:space="0" w:color="auto"/>
            </w:tcBorders>
            <w:shd w:val="clear" w:color="auto" w:fill="auto"/>
            <w:vAlign w:val="center"/>
          </w:tcPr>
          <w:p w:rsidR="006074B3" w:rsidRPr="006074B3" w:rsidRDefault="006074B3" w:rsidP="006074B3">
            <w:pPr>
              <w:framePr w:hSpace="180" w:wrap="around" w:vAnchor="text" w:hAnchor="page" w:xAlign="center" w:y="509"/>
              <w:adjustRightInd w:val="0"/>
              <w:snapToGrid w:val="0"/>
              <w:rPr>
                <w:rFonts w:ascii="Times New Roman" w:eastAsiaTheme="minorEastAsia" w:hAnsi="Times New Roman"/>
                <w:kern w:val="0"/>
                <w:szCs w:val="21"/>
              </w:rPr>
            </w:pPr>
            <w:r w:rsidRPr="006074B3">
              <w:rPr>
                <w:rFonts w:ascii="Times New Roman" w:eastAsiaTheme="minorEastAsia" w:hAnsiTheme="minorEastAsia"/>
                <w:kern w:val="0"/>
                <w:szCs w:val="21"/>
              </w:rPr>
              <w:t>苗木、毛竹（竹笋）、油茶、香榧、山核桃、林下经济（中草药、食用菌等）等林地经营</w:t>
            </w:r>
            <w:r w:rsidRPr="006074B3">
              <w:rPr>
                <w:rFonts w:ascii="Times New Roman" w:eastAsiaTheme="minorEastAsia" w:hAnsi="Times New Roman"/>
                <w:kern w:val="0"/>
                <w:szCs w:val="21"/>
              </w:rPr>
              <w:t>1000</w:t>
            </w:r>
            <w:r w:rsidRPr="006074B3">
              <w:rPr>
                <w:rFonts w:ascii="Times New Roman" w:eastAsiaTheme="minorEastAsia" w:hAnsiTheme="minorEastAsia"/>
                <w:kern w:val="0"/>
                <w:szCs w:val="21"/>
              </w:rPr>
              <w:t>亩以上，且流转期限</w:t>
            </w:r>
            <w:r w:rsidRPr="006074B3">
              <w:rPr>
                <w:rFonts w:ascii="Times New Roman" w:eastAsiaTheme="minorEastAsia" w:hAnsi="Times New Roman"/>
                <w:kern w:val="0"/>
                <w:szCs w:val="21"/>
              </w:rPr>
              <w:t>10</w:t>
            </w:r>
            <w:r w:rsidRPr="006074B3">
              <w:rPr>
                <w:rFonts w:ascii="Times New Roman" w:eastAsiaTheme="minorEastAsia" w:hAnsiTheme="minorEastAsia"/>
                <w:kern w:val="0"/>
                <w:szCs w:val="21"/>
              </w:rPr>
              <w:t>年以上</w:t>
            </w:r>
          </w:p>
        </w:tc>
      </w:tr>
      <w:tr w:rsidR="006074B3" w:rsidTr="006074B3">
        <w:trPr>
          <w:trHeight w:val="2660"/>
          <w:jc w:val="center"/>
        </w:trPr>
        <w:tc>
          <w:tcPr>
            <w:tcW w:w="709" w:type="dxa"/>
            <w:vMerge/>
            <w:tcBorders>
              <w:left w:val="single" w:sz="4" w:space="0" w:color="auto"/>
              <w:right w:val="single" w:sz="4" w:space="0" w:color="auto"/>
            </w:tcBorders>
            <w:shd w:val="clear" w:color="auto" w:fill="auto"/>
            <w:vAlign w:val="center"/>
          </w:tcPr>
          <w:p w:rsidR="006074B3" w:rsidRPr="006074B3" w:rsidRDefault="006074B3" w:rsidP="00902D58">
            <w:pPr>
              <w:framePr w:hSpace="180" w:wrap="around" w:vAnchor="text" w:hAnchor="page" w:xAlign="center" w:y="509"/>
              <w:adjustRightInd w:val="0"/>
              <w:snapToGrid w:val="0"/>
              <w:jc w:val="center"/>
              <w:rPr>
                <w:rFonts w:ascii="黑体" w:eastAsia="黑体" w:hAnsi="黑体"/>
                <w:kern w:val="0"/>
                <w:szCs w:val="21"/>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074B3" w:rsidRDefault="006074B3" w:rsidP="00902D58">
            <w:pPr>
              <w:framePr w:hSpace="180" w:wrap="around" w:vAnchor="text" w:hAnchor="page" w:xAlign="center" w:y="509"/>
              <w:adjustRightInd w:val="0"/>
              <w:snapToGrid w:val="0"/>
              <w:jc w:val="center"/>
              <w:rPr>
                <w:rFonts w:ascii="Times New Roman" w:eastAsiaTheme="minorEastAsia" w:hAnsiTheme="minorEastAsia"/>
                <w:kern w:val="0"/>
                <w:szCs w:val="21"/>
              </w:rPr>
            </w:pPr>
            <w:r w:rsidRPr="006074B3">
              <w:rPr>
                <w:rFonts w:ascii="Times New Roman" w:eastAsiaTheme="minorEastAsia" w:hAnsiTheme="minorEastAsia"/>
                <w:kern w:val="0"/>
                <w:szCs w:val="21"/>
              </w:rPr>
              <w:t>项目用途</w:t>
            </w:r>
          </w:p>
          <w:p w:rsidR="006074B3" w:rsidRPr="006074B3" w:rsidRDefault="006074B3" w:rsidP="00902D58">
            <w:pPr>
              <w:framePr w:hSpace="180" w:wrap="around" w:vAnchor="text" w:hAnchor="page" w:xAlign="center" w:y="509"/>
              <w:adjustRightInd w:val="0"/>
              <w:snapToGrid w:val="0"/>
              <w:jc w:val="center"/>
              <w:rPr>
                <w:rFonts w:ascii="Times New Roman" w:eastAsiaTheme="minorEastAsia" w:hAnsi="Times New Roman"/>
                <w:kern w:val="0"/>
                <w:szCs w:val="21"/>
              </w:rPr>
            </w:pPr>
            <w:r w:rsidRPr="006074B3">
              <w:rPr>
                <w:rFonts w:ascii="Times New Roman" w:eastAsiaTheme="minorEastAsia" w:hAnsiTheme="minorEastAsia"/>
                <w:kern w:val="0"/>
                <w:szCs w:val="21"/>
              </w:rPr>
              <w:t>及要求</w:t>
            </w:r>
          </w:p>
        </w:tc>
        <w:tc>
          <w:tcPr>
            <w:tcW w:w="1575" w:type="dxa"/>
            <w:tcBorders>
              <w:top w:val="single" w:sz="4" w:space="0" w:color="auto"/>
              <w:left w:val="nil"/>
              <w:bottom w:val="single" w:sz="4" w:space="0" w:color="auto"/>
              <w:right w:val="single" w:sz="4" w:space="0" w:color="auto"/>
            </w:tcBorders>
            <w:shd w:val="clear" w:color="auto" w:fill="auto"/>
            <w:vAlign w:val="center"/>
          </w:tcPr>
          <w:p w:rsidR="006074B3" w:rsidRPr="006074B3" w:rsidRDefault="006074B3" w:rsidP="006074B3">
            <w:pPr>
              <w:framePr w:hSpace="180" w:wrap="around" w:vAnchor="text" w:hAnchor="page" w:xAlign="center" w:y="509"/>
              <w:adjustRightInd w:val="0"/>
              <w:snapToGrid w:val="0"/>
              <w:rPr>
                <w:rFonts w:ascii="Times New Roman" w:eastAsiaTheme="minorEastAsia" w:hAnsi="Times New Roman"/>
                <w:kern w:val="0"/>
                <w:szCs w:val="21"/>
              </w:rPr>
            </w:pPr>
            <w:r w:rsidRPr="006074B3">
              <w:rPr>
                <w:rFonts w:ascii="Times New Roman" w:eastAsiaTheme="minorEastAsia" w:hAnsiTheme="minorEastAsia"/>
                <w:kern w:val="0"/>
                <w:szCs w:val="21"/>
              </w:rPr>
              <w:t>不需林业</w:t>
            </w:r>
            <w:proofErr w:type="gramStart"/>
            <w:r w:rsidRPr="006074B3">
              <w:rPr>
                <w:rFonts w:ascii="Times New Roman" w:eastAsiaTheme="minorEastAsia" w:hAnsiTheme="minorEastAsia"/>
                <w:kern w:val="0"/>
                <w:szCs w:val="21"/>
              </w:rPr>
              <w:t>直服设施</w:t>
            </w:r>
            <w:proofErr w:type="gramEnd"/>
            <w:r w:rsidRPr="006074B3">
              <w:rPr>
                <w:rFonts w:ascii="Times New Roman" w:eastAsiaTheme="minorEastAsia" w:hAnsiTheme="minorEastAsia"/>
                <w:kern w:val="0"/>
                <w:szCs w:val="21"/>
              </w:rPr>
              <w:t>用地和建设用地的</w:t>
            </w:r>
          </w:p>
        </w:tc>
        <w:tc>
          <w:tcPr>
            <w:tcW w:w="2736" w:type="dxa"/>
            <w:tcBorders>
              <w:top w:val="single" w:sz="4" w:space="0" w:color="auto"/>
              <w:left w:val="nil"/>
              <w:bottom w:val="single" w:sz="4" w:space="0" w:color="auto"/>
              <w:right w:val="single" w:sz="4" w:space="0" w:color="auto"/>
            </w:tcBorders>
            <w:shd w:val="clear" w:color="auto" w:fill="auto"/>
            <w:vAlign w:val="center"/>
          </w:tcPr>
          <w:p w:rsidR="006074B3" w:rsidRPr="006074B3" w:rsidRDefault="006074B3" w:rsidP="006074B3">
            <w:pPr>
              <w:framePr w:hSpace="180" w:wrap="around" w:vAnchor="text" w:hAnchor="page" w:xAlign="center" w:y="509"/>
              <w:adjustRightInd w:val="0"/>
              <w:snapToGrid w:val="0"/>
              <w:rPr>
                <w:rFonts w:ascii="Times New Roman" w:eastAsiaTheme="minorEastAsia" w:hAnsi="Times New Roman"/>
                <w:kern w:val="0"/>
                <w:szCs w:val="21"/>
              </w:rPr>
            </w:pPr>
            <w:r w:rsidRPr="006074B3">
              <w:rPr>
                <w:rFonts w:ascii="Times New Roman" w:eastAsiaTheme="minorEastAsia" w:hAnsiTheme="minorEastAsia"/>
                <w:kern w:val="0"/>
                <w:szCs w:val="21"/>
              </w:rPr>
              <w:t>需配置林业</w:t>
            </w:r>
            <w:proofErr w:type="gramStart"/>
            <w:r w:rsidRPr="006074B3">
              <w:rPr>
                <w:rFonts w:ascii="Times New Roman" w:eastAsiaTheme="minorEastAsia" w:hAnsiTheme="minorEastAsia"/>
                <w:kern w:val="0"/>
                <w:szCs w:val="21"/>
              </w:rPr>
              <w:t>直服设施</w:t>
            </w:r>
            <w:proofErr w:type="gramEnd"/>
            <w:r w:rsidRPr="006074B3">
              <w:rPr>
                <w:rFonts w:ascii="Times New Roman" w:eastAsiaTheme="minorEastAsia" w:hAnsiTheme="minorEastAsia"/>
                <w:kern w:val="0"/>
                <w:szCs w:val="21"/>
              </w:rPr>
              <w:t>用地的，用地规模按国家和我省规定的直接为林业生产经营服务的工程设施占用林地规模执行，技术标准由县级林业主管部门会同有关部门共同研究制定并报省林业局审查同意</w:t>
            </w:r>
          </w:p>
        </w:tc>
        <w:tc>
          <w:tcPr>
            <w:tcW w:w="3169" w:type="dxa"/>
            <w:tcBorders>
              <w:top w:val="single" w:sz="4" w:space="0" w:color="auto"/>
              <w:left w:val="nil"/>
              <w:bottom w:val="single" w:sz="4" w:space="0" w:color="auto"/>
              <w:right w:val="single" w:sz="4" w:space="0" w:color="auto"/>
            </w:tcBorders>
            <w:shd w:val="clear" w:color="auto" w:fill="auto"/>
            <w:vAlign w:val="center"/>
          </w:tcPr>
          <w:p w:rsidR="006074B3" w:rsidRPr="006074B3" w:rsidRDefault="006074B3" w:rsidP="006074B3">
            <w:pPr>
              <w:framePr w:hSpace="180" w:wrap="around" w:vAnchor="text" w:hAnchor="page" w:xAlign="center" w:y="509"/>
              <w:adjustRightInd w:val="0"/>
              <w:snapToGrid w:val="0"/>
              <w:rPr>
                <w:rFonts w:ascii="Times New Roman" w:eastAsiaTheme="minorEastAsia" w:hAnsi="Times New Roman"/>
                <w:kern w:val="0"/>
                <w:szCs w:val="21"/>
              </w:rPr>
            </w:pPr>
            <w:r w:rsidRPr="006074B3">
              <w:rPr>
                <w:rFonts w:ascii="Times New Roman" w:eastAsiaTheme="minorEastAsia" w:hAnsiTheme="minorEastAsia"/>
                <w:kern w:val="0"/>
                <w:szCs w:val="21"/>
              </w:rPr>
              <w:t>需配置建设用地的，单个项目总体不超过</w:t>
            </w:r>
            <w:r w:rsidRPr="006074B3">
              <w:rPr>
                <w:rFonts w:ascii="Times New Roman" w:eastAsiaTheme="minorEastAsia" w:hAnsi="Times New Roman"/>
                <w:kern w:val="0"/>
                <w:szCs w:val="21"/>
              </w:rPr>
              <w:t>5</w:t>
            </w:r>
            <w:r w:rsidRPr="006074B3">
              <w:rPr>
                <w:rFonts w:ascii="Times New Roman" w:eastAsiaTheme="minorEastAsia" w:hAnsiTheme="minorEastAsia"/>
                <w:kern w:val="0"/>
                <w:szCs w:val="21"/>
              </w:rPr>
              <w:t>亩。对于科技含量高、带动力强且投资超过</w:t>
            </w:r>
            <w:r w:rsidRPr="006074B3">
              <w:rPr>
                <w:rFonts w:ascii="Times New Roman" w:eastAsiaTheme="minorEastAsia" w:hAnsi="Times New Roman"/>
                <w:kern w:val="0"/>
                <w:szCs w:val="21"/>
              </w:rPr>
              <w:t>5000</w:t>
            </w:r>
            <w:r w:rsidRPr="006074B3">
              <w:rPr>
                <w:rFonts w:ascii="Times New Roman" w:eastAsiaTheme="minorEastAsia" w:hAnsiTheme="minorEastAsia"/>
                <w:kern w:val="0"/>
                <w:szCs w:val="21"/>
              </w:rPr>
              <w:t>万元的项目，可按照</w:t>
            </w:r>
            <w:r w:rsidRPr="006074B3">
              <w:rPr>
                <w:rFonts w:ascii="Times New Roman" w:eastAsiaTheme="minorEastAsia" w:hAnsi="Times New Roman"/>
                <w:kern w:val="0"/>
                <w:szCs w:val="21"/>
              </w:rPr>
              <w:t>“</w:t>
            </w:r>
            <w:r w:rsidRPr="006074B3">
              <w:rPr>
                <w:rFonts w:ascii="Times New Roman" w:eastAsiaTheme="minorEastAsia" w:hAnsiTheme="minorEastAsia"/>
                <w:kern w:val="0"/>
                <w:szCs w:val="21"/>
              </w:rPr>
              <w:t>一事一议</w:t>
            </w:r>
            <w:r w:rsidRPr="006074B3">
              <w:rPr>
                <w:rFonts w:ascii="Times New Roman" w:eastAsiaTheme="minorEastAsia" w:hAnsi="Times New Roman"/>
                <w:kern w:val="0"/>
                <w:szCs w:val="21"/>
              </w:rPr>
              <w:t>”</w:t>
            </w:r>
            <w:r w:rsidRPr="006074B3">
              <w:rPr>
                <w:rFonts w:ascii="Times New Roman" w:eastAsiaTheme="minorEastAsia" w:hAnsiTheme="minorEastAsia"/>
                <w:kern w:val="0"/>
                <w:szCs w:val="21"/>
              </w:rPr>
              <w:t>确定用地额度。涉及笋竹加工的建设用地项目，还需每年消耗原竹（折算）</w:t>
            </w:r>
            <w:r w:rsidRPr="006074B3">
              <w:rPr>
                <w:rFonts w:ascii="Times New Roman" w:eastAsiaTheme="minorEastAsia" w:hAnsi="Times New Roman"/>
                <w:kern w:val="0"/>
                <w:szCs w:val="21"/>
              </w:rPr>
              <w:t>5</w:t>
            </w:r>
            <w:r w:rsidRPr="006074B3">
              <w:rPr>
                <w:rFonts w:ascii="Times New Roman" w:eastAsiaTheme="minorEastAsia" w:hAnsiTheme="minorEastAsia"/>
                <w:kern w:val="0"/>
                <w:szCs w:val="21"/>
              </w:rPr>
              <w:t>万吨以上或鲜竹笋</w:t>
            </w:r>
            <w:r w:rsidRPr="006074B3">
              <w:rPr>
                <w:rFonts w:ascii="Times New Roman" w:eastAsiaTheme="minorEastAsia" w:hAnsi="Times New Roman"/>
                <w:kern w:val="0"/>
                <w:szCs w:val="21"/>
              </w:rPr>
              <w:t>0.5</w:t>
            </w:r>
            <w:r w:rsidRPr="006074B3">
              <w:rPr>
                <w:rFonts w:ascii="Times New Roman" w:eastAsiaTheme="minorEastAsia" w:hAnsiTheme="minorEastAsia"/>
                <w:kern w:val="0"/>
                <w:szCs w:val="21"/>
              </w:rPr>
              <w:t>万吨以上</w:t>
            </w:r>
          </w:p>
        </w:tc>
      </w:tr>
      <w:tr w:rsidR="006074B3" w:rsidTr="006074B3">
        <w:trPr>
          <w:trHeight w:val="1270"/>
          <w:jc w:val="center"/>
        </w:trPr>
        <w:tc>
          <w:tcPr>
            <w:tcW w:w="709" w:type="dxa"/>
            <w:tcBorders>
              <w:top w:val="single" w:sz="4" w:space="0" w:color="auto"/>
              <w:left w:val="single" w:sz="4" w:space="0" w:color="auto"/>
              <w:right w:val="single" w:sz="4" w:space="0" w:color="auto"/>
            </w:tcBorders>
            <w:shd w:val="clear" w:color="auto" w:fill="auto"/>
            <w:vAlign w:val="center"/>
          </w:tcPr>
          <w:p w:rsidR="006074B3" w:rsidRPr="006074B3" w:rsidRDefault="006074B3" w:rsidP="00902D58">
            <w:pPr>
              <w:framePr w:hSpace="180" w:wrap="around" w:vAnchor="text" w:hAnchor="page" w:xAlign="center" w:y="509"/>
              <w:adjustRightInd w:val="0"/>
              <w:snapToGrid w:val="0"/>
              <w:jc w:val="center"/>
              <w:rPr>
                <w:rFonts w:ascii="黑体" w:eastAsia="黑体" w:hAnsi="黑体"/>
                <w:kern w:val="0"/>
                <w:szCs w:val="21"/>
              </w:rPr>
            </w:pPr>
            <w:r w:rsidRPr="006074B3">
              <w:rPr>
                <w:rFonts w:ascii="黑体" w:eastAsia="黑体" w:hAnsi="黑体"/>
                <w:kern w:val="0"/>
                <w:szCs w:val="21"/>
              </w:rPr>
              <w:t>经济指标</w:t>
            </w:r>
          </w:p>
        </w:tc>
        <w:tc>
          <w:tcPr>
            <w:tcW w:w="1275" w:type="dxa"/>
            <w:tcBorders>
              <w:top w:val="single" w:sz="4" w:space="0" w:color="auto"/>
              <w:left w:val="nil"/>
              <w:right w:val="single" w:sz="4" w:space="0" w:color="auto"/>
            </w:tcBorders>
            <w:shd w:val="clear" w:color="auto" w:fill="auto"/>
            <w:vAlign w:val="center"/>
          </w:tcPr>
          <w:p w:rsidR="006074B3" w:rsidRDefault="006074B3" w:rsidP="00902D58">
            <w:pPr>
              <w:framePr w:hSpace="180" w:wrap="around" w:vAnchor="text" w:hAnchor="page" w:xAlign="center" w:y="509"/>
              <w:adjustRightInd w:val="0"/>
              <w:snapToGrid w:val="0"/>
              <w:jc w:val="center"/>
              <w:rPr>
                <w:rFonts w:ascii="Times New Roman" w:eastAsiaTheme="minorEastAsia" w:hAnsiTheme="minorEastAsia"/>
                <w:kern w:val="0"/>
                <w:szCs w:val="21"/>
              </w:rPr>
            </w:pPr>
            <w:r w:rsidRPr="006074B3">
              <w:rPr>
                <w:rFonts w:ascii="Times New Roman" w:eastAsiaTheme="minorEastAsia" w:hAnsiTheme="minorEastAsia"/>
                <w:kern w:val="0"/>
                <w:szCs w:val="21"/>
              </w:rPr>
              <w:t>亩均经济</w:t>
            </w:r>
          </w:p>
          <w:p w:rsidR="006074B3" w:rsidRPr="006074B3" w:rsidRDefault="006074B3" w:rsidP="00902D58">
            <w:pPr>
              <w:framePr w:hSpace="180" w:wrap="around" w:vAnchor="text" w:hAnchor="page" w:xAlign="center" w:y="509"/>
              <w:adjustRightInd w:val="0"/>
              <w:snapToGrid w:val="0"/>
              <w:jc w:val="center"/>
              <w:rPr>
                <w:rFonts w:ascii="Times New Roman" w:eastAsiaTheme="minorEastAsia" w:hAnsi="Times New Roman"/>
                <w:kern w:val="0"/>
                <w:szCs w:val="21"/>
              </w:rPr>
            </w:pPr>
            <w:r w:rsidRPr="006074B3">
              <w:rPr>
                <w:rFonts w:ascii="Times New Roman" w:eastAsiaTheme="minorEastAsia" w:hAnsiTheme="minorEastAsia"/>
                <w:kern w:val="0"/>
                <w:szCs w:val="21"/>
              </w:rPr>
              <w:t>指标</w:t>
            </w:r>
          </w:p>
        </w:tc>
        <w:tc>
          <w:tcPr>
            <w:tcW w:w="1575" w:type="dxa"/>
            <w:tcBorders>
              <w:top w:val="single" w:sz="4" w:space="0" w:color="auto"/>
              <w:left w:val="nil"/>
              <w:right w:val="single" w:sz="4" w:space="0" w:color="auto"/>
            </w:tcBorders>
            <w:shd w:val="clear" w:color="auto" w:fill="auto"/>
            <w:vAlign w:val="center"/>
          </w:tcPr>
          <w:p w:rsidR="006074B3" w:rsidRPr="006074B3" w:rsidRDefault="006074B3" w:rsidP="006074B3">
            <w:pPr>
              <w:framePr w:hSpace="180" w:wrap="around" w:vAnchor="text" w:hAnchor="page" w:xAlign="center" w:y="509"/>
              <w:adjustRightInd w:val="0"/>
              <w:snapToGrid w:val="0"/>
              <w:rPr>
                <w:rFonts w:ascii="Times New Roman" w:eastAsiaTheme="minorEastAsia" w:hAnsi="Times New Roman"/>
                <w:kern w:val="0"/>
                <w:szCs w:val="21"/>
              </w:rPr>
            </w:pPr>
            <w:r w:rsidRPr="006074B3">
              <w:rPr>
                <w:rFonts w:ascii="Times New Roman" w:eastAsiaTheme="minorEastAsia" w:hAnsiTheme="minorEastAsia"/>
                <w:kern w:val="0"/>
                <w:szCs w:val="21"/>
              </w:rPr>
              <w:t>规模化经营和标准化建设</w:t>
            </w:r>
          </w:p>
        </w:tc>
        <w:tc>
          <w:tcPr>
            <w:tcW w:w="2736" w:type="dxa"/>
            <w:tcBorders>
              <w:top w:val="single" w:sz="4" w:space="0" w:color="auto"/>
              <w:left w:val="single" w:sz="4" w:space="0" w:color="auto"/>
              <w:right w:val="single" w:sz="4" w:space="0" w:color="auto"/>
            </w:tcBorders>
            <w:shd w:val="clear" w:color="auto" w:fill="auto"/>
            <w:vAlign w:val="center"/>
          </w:tcPr>
          <w:p w:rsidR="006074B3" w:rsidRPr="006074B3" w:rsidRDefault="006074B3" w:rsidP="006074B3">
            <w:pPr>
              <w:framePr w:hSpace="180" w:wrap="around" w:vAnchor="text" w:hAnchor="page" w:xAlign="center" w:y="509"/>
              <w:adjustRightInd w:val="0"/>
              <w:snapToGrid w:val="0"/>
              <w:rPr>
                <w:rFonts w:ascii="Times New Roman" w:eastAsiaTheme="minorEastAsia" w:hAnsi="Times New Roman"/>
                <w:kern w:val="0"/>
                <w:szCs w:val="21"/>
              </w:rPr>
            </w:pPr>
            <w:r w:rsidRPr="006074B3">
              <w:rPr>
                <w:rFonts w:ascii="Times New Roman" w:eastAsiaTheme="minorEastAsia" w:hAnsiTheme="minorEastAsia"/>
                <w:kern w:val="0"/>
                <w:szCs w:val="21"/>
              </w:rPr>
              <w:t>规模化经营和标准化建设</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6074B3" w:rsidRPr="006074B3" w:rsidRDefault="006074B3" w:rsidP="006074B3">
            <w:pPr>
              <w:framePr w:hSpace="180" w:wrap="around" w:vAnchor="text" w:hAnchor="page" w:xAlign="center" w:y="509"/>
              <w:adjustRightInd w:val="0"/>
              <w:snapToGrid w:val="0"/>
              <w:rPr>
                <w:rFonts w:ascii="Times New Roman" w:eastAsiaTheme="minorEastAsia" w:hAnsi="Times New Roman"/>
                <w:kern w:val="0"/>
                <w:szCs w:val="21"/>
              </w:rPr>
            </w:pPr>
            <w:r w:rsidRPr="006074B3">
              <w:rPr>
                <w:rFonts w:ascii="Times New Roman" w:eastAsiaTheme="minorEastAsia" w:hAnsiTheme="minorEastAsia"/>
                <w:kern w:val="0"/>
                <w:szCs w:val="21"/>
              </w:rPr>
              <w:t>亩均投资达到</w:t>
            </w:r>
            <w:r w:rsidRPr="006074B3">
              <w:rPr>
                <w:rFonts w:ascii="Times New Roman" w:eastAsiaTheme="minorEastAsia" w:hAnsi="Times New Roman"/>
                <w:kern w:val="0"/>
                <w:szCs w:val="21"/>
              </w:rPr>
              <w:t>250</w:t>
            </w:r>
            <w:r w:rsidRPr="006074B3">
              <w:rPr>
                <w:rFonts w:ascii="Times New Roman" w:eastAsiaTheme="minorEastAsia" w:hAnsiTheme="minorEastAsia"/>
                <w:kern w:val="0"/>
                <w:szCs w:val="21"/>
              </w:rPr>
              <w:t>万元以上</w:t>
            </w:r>
          </w:p>
          <w:p w:rsidR="006074B3" w:rsidRPr="006074B3" w:rsidRDefault="006074B3" w:rsidP="006074B3">
            <w:pPr>
              <w:framePr w:hSpace="180" w:wrap="around" w:vAnchor="text" w:hAnchor="page" w:xAlign="center" w:y="509"/>
              <w:adjustRightInd w:val="0"/>
              <w:snapToGrid w:val="0"/>
              <w:rPr>
                <w:rFonts w:ascii="Times New Roman" w:eastAsiaTheme="minorEastAsia" w:hAnsi="Times New Roman"/>
                <w:kern w:val="0"/>
                <w:szCs w:val="21"/>
              </w:rPr>
            </w:pPr>
            <w:r w:rsidRPr="006074B3">
              <w:rPr>
                <w:rFonts w:ascii="Times New Roman" w:eastAsiaTheme="minorEastAsia" w:hAnsiTheme="minorEastAsia"/>
                <w:kern w:val="0"/>
                <w:szCs w:val="21"/>
              </w:rPr>
              <w:t>亩均产值达到</w:t>
            </w:r>
            <w:r w:rsidRPr="006074B3">
              <w:rPr>
                <w:rFonts w:ascii="Times New Roman" w:eastAsiaTheme="minorEastAsia" w:hAnsi="Times New Roman"/>
                <w:kern w:val="0"/>
                <w:szCs w:val="21"/>
              </w:rPr>
              <w:t>100</w:t>
            </w:r>
            <w:r w:rsidRPr="006074B3">
              <w:rPr>
                <w:rFonts w:ascii="Times New Roman" w:eastAsiaTheme="minorEastAsia" w:hAnsiTheme="minorEastAsia"/>
                <w:kern w:val="0"/>
                <w:szCs w:val="21"/>
              </w:rPr>
              <w:t>万元以上</w:t>
            </w:r>
          </w:p>
          <w:p w:rsidR="006074B3" w:rsidRPr="006074B3" w:rsidRDefault="006074B3" w:rsidP="006074B3">
            <w:pPr>
              <w:framePr w:hSpace="180" w:wrap="around" w:vAnchor="text" w:hAnchor="page" w:xAlign="center" w:y="509"/>
              <w:adjustRightInd w:val="0"/>
              <w:snapToGrid w:val="0"/>
              <w:rPr>
                <w:rFonts w:ascii="Times New Roman" w:eastAsiaTheme="minorEastAsia" w:hAnsi="Times New Roman"/>
                <w:kern w:val="0"/>
                <w:szCs w:val="21"/>
              </w:rPr>
            </w:pPr>
            <w:r w:rsidRPr="006074B3">
              <w:rPr>
                <w:rFonts w:ascii="Times New Roman" w:eastAsiaTheme="minorEastAsia" w:hAnsiTheme="minorEastAsia"/>
                <w:kern w:val="0"/>
                <w:szCs w:val="21"/>
              </w:rPr>
              <w:t>（不含经营林地范围）</w:t>
            </w:r>
          </w:p>
        </w:tc>
      </w:tr>
      <w:tr w:rsidR="006074B3" w:rsidTr="006074B3">
        <w:trPr>
          <w:trHeight w:val="680"/>
          <w:jc w:val="center"/>
        </w:trPr>
        <w:tc>
          <w:tcPr>
            <w:tcW w:w="709" w:type="dxa"/>
            <w:vMerge w:val="restart"/>
            <w:tcBorders>
              <w:top w:val="single" w:sz="4" w:space="0" w:color="auto"/>
              <w:left w:val="single" w:sz="4" w:space="0" w:color="auto"/>
              <w:right w:val="single" w:sz="4" w:space="0" w:color="auto"/>
            </w:tcBorders>
            <w:shd w:val="clear" w:color="auto" w:fill="auto"/>
            <w:vAlign w:val="center"/>
          </w:tcPr>
          <w:p w:rsidR="006074B3" w:rsidRPr="006074B3" w:rsidRDefault="006074B3" w:rsidP="00902D58">
            <w:pPr>
              <w:framePr w:hSpace="180" w:wrap="around" w:vAnchor="text" w:hAnchor="page" w:xAlign="center" w:y="509"/>
              <w:adjustRightInd w:val="0"/>
              <w:snapToGrid w:val="0"/>
              <w:jc w:val="center"/>
              <w:rPr>
                <w:rFonts w:ascii="黑体" w:eastAsia="黑体" w:hAnsi="黑体"/>
                <w:kern w:val="0"/>
                <w:szCs w:val="21"/>
              </w:rPr>
            </w:pPr>
            <w:r w:rsidRPr="006074B3">
              <w:rPr>
                <w:rFonts w:ascii="黑体" w:eastAsia="黑体" w:hAnsi="黑体"/>
                <w:kern w:val="0"/>
                <w:szCs w:val="21"/>
              </w:rPr>
              <w:t>绿色指标</w:t>
            </w:r>
          </w:p>
        </w:tc>
        <w:tc>
          <w:tcPr>
            <w:tcW w:w="1275" w:type="dxa"/>
            <w:tcBorders>
              <w:top w:val="single" w:sz="4" w:space="0" w:color="auto"/>
              <w:left w:val="nil"/>
              <w:bottom w:val="single" w:sz="4" w:space="0" w:color="auto"/>
              <w:right w:val="single" w:sz="4" w:space="0" w:color="auto"/>
            </w:tcBorders>
            <w:shd w:val="clear" w:color="auto" w:fill="auto"/>
            <w:vAlign w:val="center"/>
          </w:tcPr>
          <w:p w:rsidR="006074B3" w:rsidRPr="006074B3" w:rsidRDefault="006074B3" w:rsidP="00902D58">
            <w:pPr>
              <w:framePr w:hSpace="180" w:wrap="around" w:vAnchor="text" w:hAnchor="page" w:xAlign="center" w:y="509"/>
              <w:adjustRightInd w:val="0"/>
              <w:snapToGrid w:val="0"/>
              <w:jc w:val="center"/>
              <w:rPr>
                <w:rFonts w:ascii="Times New Roman" w:eastAsiaTheme="minorEastAsia" w:hAnsi="Times New Roman"/>
                <w:kern w:val="0"/>
                <w:szCs w:val="21"/>
              </w:rPr>
            </w:pPr>
            <w:r w:rsidRPr="006074B3">
              <w:rPr>
                <w:rFonts w:ascii="Times New Roman" w:eastAsiaTheme="minorEastAsia" w:hAnsiTheme="minorEastAsia"/>
                <w:kern w:val="0"/>
                <w:szCs w:val="21"/>
              </w:rPr>
              <w:t>能耗指标</w:t>
            </w:r>
          </w:p>
        </w:tc>
        <w:tc>
          <w:tcPr>
            <w:tcW w:w="7480" w:type="dxa"/>
            <w:gridSpan w:val="3"/>
            <w:tcBorders>
              <w:top w:val="single" w:sz="4" w:space="0" w:color="auto"/>
              <w:left w:val="nil"/>
              <w:bottom w:val="single" w:sz="4" w:space="0" w:color="auto"/>
              <w:right w:val="single" w:sz="4" w:space="0" w:color="auto"/>
            </w:tcBorders>
            <w:shd w:val="clear" w:color="auto" w:fill="auto"/>
            <w:vAlign w:val="center"/>
          </w:tcPr>
          <w:p w:rsidR="006074B3" w:rsidRPr="006074B3" w:rsidRDefault="006074B3" w:rsidP="006074B3">
            <w:pPr>
              <w:framePr w:hSpace="180" w:wrap="around" w:vAnchor="text" w:hAnchor="page" w:xAlign="center" w:y="509"/>
              <w:adjustRightInd w:val="0"/>
              <w:snapToGrid w:val="0"/>
              <w:rPr>
                <w:rFonts w:ascii="Times New Roman" w:eastAsiaTheme="minorEastAsia" w:hAnsi="Times New Roman"/>
                <w:kern w:val="0"/>
                <w:szCs w:val="21"/>
              </w:rPr>
            </w:pPr>
            <w:r w:rsidRPr="006074B3">
              <w:rPr>
                <w:rFonts w:ascii="Times New Roman" w:eastAsiaTheme="minorEastAsia" w:hAnsiTheme="minorEastAsia"/>
                <w:kern w:val="0"/>
                <w:szCs w:val="21"/>
              </w:rPr>
              <w:t>新增工业项目</w:t>
            </w:r>
            <w:r w:rsidRPr="006074B3">
              <w:rPr>
                <w:rFonts w:ascii="Times New Roman" w:eastAsiaTheme="minorEastAsia" w:hAnsi="Times New Roman"/>
                <w:kern w:val="0"/>
                <w:szCs w:val="21"/>
              </w:rPr>
              <w:t>“</w:t>
            </w:r>
            <w:r w:rsidRPr="006074B3">
              <w:rPr>
                <w:rFonts w:ascii="Times New Roman" w:eastAsiaTheme="minorEastAsia" w:hAnsiTheme="minorEastAsia"/>
                <w:kern w:val="0"/>
                <w:szCs w:val="21"/>
              </w:rPr>
              <w:t>万元增加值能耗</w:t>
            </w:r>
            <w:r w:rsidRPr="006074B3">
              <w:rPr>
                <w:rFonts w:ascii="Times New Roman" w:eastAsiaTheme="minorEastAsia" w:hAnsi="Times New Roman"/>
                <w:kern w:val="0"/>
                <w:szCs w:val="21"/>
              </w:rPr>
              <w:t>”</w:t>
            </w:r>
            <w:r w:rsidRPr="006074B3">
              <w:rPr>
                <w:rFonts w:ascii="Times New Roman" w:eastAsiaTheme="minorEastAsia" w:hAnsiTheme="minorEastAsia"/>
                <w:kern w:val="0"/>
                <w:szCs w:val="21"/>
              </w:rPr>
              <w:t>不高于</w:t>
            </w:r>
            <w:r w:rsidRPr="006074B3">
              <w:rPr>
                <w:rFonts w:ascii="Times New Roman" w:eastAsiaTheme="minorEastAsia" w:hAnsi="Times New Roman"/>
                <w:kern w:val="0"/>
                <w:szCs w:val="21"/>
              </w:rPr>
              <w:t>0.45</w:t>
            </w:r>
            <w:r w:rsidRPr="006074B3">
              <w:rPr>
                <w:rFonts w:ascii="Times New Roman" w:eastAsiaTheme="minorEastAsia" w:hAnsiTheme="minorEastAsia"/>
                <w:kern w:val="0"/>
                <w:szCs w:val="21"/>
              </w:rPr>
              <w:t>吨标准煤，总能耗不超过</w:t>
            </w:r>
            <w:r w:rsidRPr="006074B3">
              <w:rPr>
                <w:rFonts w:ascii="Times New Roman" w:eastAsiaTheme="minorEastAsia" w:hAnsi="Times New Roman"/>
                <w:kern w:val="0"/>
                <w:szCs w:val="21"/>
              </w:rPr>
              <w:t>5000</w:t>
            </w:r>
            <w:r w:rsidRPr="006074B3">
              <w:rPr>
                <w:rFonts w:ascii="Times New Roman" w:eastAsiaTheme="minorEastAsia" w:hAnsiTheme="minorEastAsia"/>
                <w:kern w:val="0"/>
                <w:szCs w:val="21"/>
              </w:rPr>
              <w:t>吨</w:t>
            </w:r>
          </w:p>
        </w:tc>
      </w:tr>
      <w:tr w:rsidR="006074B3" w:rsidTr="006074B3">
        <w:trPr>
          <w:trHeight w:val="680"/>
          <w:jc w:val="center"/>
        </w:trPr>
        <w:tc>
          <w:tcPr>
            <w:tcW w:w="709" w:type="dxa"/>
            <w:vMerge/>
            <w:tcBorders>
              <w:left w:val="single" w:sz="4" w:space="0" w:color="auto"/>
              <w:right w:val="single" w:sz="4" w:space="0" w:color="auto"/>
            </w:tcBorders>
            <w:shd w:val="clear" w:color="auto" w:fill="auto"/>
            <w:vAlign w:val="center"/>
          </w:tcPr>
          <w:p w:rsidR="006074B3" w:rsidRPr="006074B3" w:rsidRDefault="006074B3" w:rsidP="00902D58">
            <w:pPr>
              <w:framePr w:hSpace="180" w:wrap="around" w:vAnchor="text" w:hAnchor="page" w:xAlign="center" w:y="509"/>
              <w:adjustRightInd w:val="0"/>
              <w:snapToGrid w:val="0"/>
              <w:jc w:val="center"/>
              <w:rPr>
                <w:rFonts w:ascii="黑体" w:eastAsia="黑体" w:hAnsi="黑体"/>
                <w:kern w:val="0"/>
                <w:szCs w:val="21"/>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074B3" w:rsidRPr="006074B3" w:rsidRDefault="006074B3" w:rsidP="00902D58">
            <w:pPr>
              <w:framePr w:hSpace="180" w:wrap="around" w:vAnchor="text" w:hAnchor="page" w:xAlign="center" w:y="509"/>
              <w:adjustRightInd w:val="0"/>
              <w:snapToGrid w:val="0"/>
              <w:jc w:val="center"/>
              <w:rPr>
                <w:rFonts w:ascii="Times New Roman" w:eastAsiaTheme="minorEastAsia" w:hAnsi="Times New Roman"/>
                <w:kern w:val="0"/>
                <w:szCs w:val="21"/>
              </w:rPr>
            </w:pPr>
            <w:proofErr w:type="gramStart"/>
            <w:r w:rsidRPr="006074B3">
              <w:rPr>
                <w:rFonts w:ascii="Times New Roman" w:eastAsiaTheme="minorEastAsia" w:hAnsiTheme="minorEastAsia"/>
                <w:kern w:val="0"/>
                <w:szCs w:val="21"/>
              </w:rPr>
              <w:t>碳指标</w:t>
            </w:r>
            <w:proofErr w:type="gramEnd"/>
          </w:p>
        </w:tc>
        <w:tc>
          <w:tcPr>
            <w:tcW w:w="7480" w:type="dxa"/>
            <w:gridSpan w:val="3"/>
            <w:tcBorders>
              <w:top w:val="single" w:sz="4" w:space="0" w:color="auto"/>
              <w:left w:val="nil"/>
              <w:bottom w:val="single" w:sz="4" w:space="0" w:color="auto"/>
              <w:right w:val="single" w:sz="4" w:space="0" w:color="auto"/>
            </w:tcBorders>
            <w:shd w:val="clear" w:color="auto" w:fill="auto"/>
            <w:vAlign w:val="center"/>
          </w:tcPr>
          <w:p w:rsidR="006074B3" w:rsidRPr="006074B3" w:rsidRDefault="006074B3" w:rsidP="006074B3">
            <w:pPr>
              <w:framePr w:hSpace="180" w:wrap="around" w:vAnchor="text" w:hAnchor="page" w:xAlign="center" w:y="509"/>
              <w:adjustRightInd w:val="0"/>
              <w:snapToGrid w:val="0"/>
              <w:rPr>
                <w:rFonts w:ascii="Times New Roman" w:eastAsiaTheme="minorEastAsia" w:hAnsi="Times New Roman"/>
                <w:kern w:val="0"/>
                <w:szCs w:val="21"/>
              </w:rPr>
            </w:pPr>
            <w:r w:rsidRPr="006074B3">
              <w:rPr>
                <w:rFonts w:ascii="Times New Roman" w:eastAsiaTheme="minorEastAsia" w:hAnsiTheme="minorEastAsia"/>
                <w:kern w:val="0"/>
                <w:szCs w:val="21"/>
              </w:rPr>
              <w:t>根据碳足迹碳标签核准方法测定，工业项目生产产品主要为</w:t>
            </w:r>
            <w:proofErr w:type="gramStart"/>
            <w:r w:rsidRPr="006074B3">
              <w:rPr>
                <w:rFonts w:ascii="Times New Roman" w:eastAsiaTheme="minorEastAsia" w:hAnsiTheme="minorEastAsia"/>
                <w:kern w:val="0"/>
                <w:szCs w:val="21"/>
              </w:rPr>
              <w:t>零碳或负碳</w:t>
            </w:r>
            <w:proofErr w:type="gramEnd"/>
          </w:p>
        </w:tc>
      </w:tr>
      <w:tr w:rsidR="006074B3" w:rsidTr="006074B3">
        <w:trPr>
          <w:trHeight w:val="680"/>
          <w:jc w:val="center"/>
        </w:trPr>
        <w:tc>
          <w:tcPr>
            <w:tcW w:w="709" w:type="dxa"/>
            <w:vMerge w:val="restart"/>
            <w:tcBorders>
              <w:top w:val="single" w:sz="4" w:space="0" w:color="auto"/>
              <w:left w:val="single" w:sz="4" w:space="0" w:color="auto"/>
              <w:right w:val="single" w:sz="4" w:space="0" w:color="auto"/>
            </w:tcBorders>
            <w:shd w:val="clear" w:color="auto" w:fill="auto"/>
            <w:vAlign w:val="center"/>
          </w:tcPr>
          <w:p w:rsidR="006074B3" w:rsidRPr="006074B3" w:rsidRDefault="006074B3" w:rsidP="00902D58">
            <w:pPr>
              <w:framePr w:hSpace="180" w:wrap="around" w:vAnchor="text" w:hAnchor="page" w:xAlign="center" w:y="509"/>
              <w:adjustRightInd w:val="0"/>
              <w:snapToGrid w:val="0"/>
              <w:jc w:val="center"/>
              <w:rPr>
                <w:rFonts w:ascii="黑体" w:eastAsia="黑体" w:hAnsi="黑体"/>
                <w:kern w:val="0"/>
                <w:szCs w:val="21"/>
              </w:rPr>
            </w:pPr>
            <w:r w:rsidRPr="006074B3">
              <w:rPr>
                <w:rFonts w:ascii="黑体" w:eastAsia="黑体" w:hAnsi="黑体"/>
                <w:kern w:val="0"/>
                <w:szCs w:val="21"/>
              </w:rPr>
              <w:t>共富指标</w:t>
            </w:r>
          </w:p>
        </w:tc>
        <w:tc>
          <w:tcPr>
            <w:tcW w:w="1275" w:type="dxa"/>
            <w:vMerge w:val="restart"/>
            <w:tcBorders>
              <w:top w:val="single" w:sz="4" w:space="0" w:color="auto"/>
              <w:left w:val="nil"/>
              <w:right w:val="single" w:sz="4" w:space="0" w:color="auto"/>
            </w:tcBorders>
            <w:shd w:val="clear" w:color="auto" w:fill="auto"/>
            <w:vAlign w:val="center"/>
          </w:tcPr>
          <w:p w:rsidR="006074B3" w:rsidRPr="006074B3" w:rsidRDefault="006074B3" w:rsidP="00902D58">
            <w:pPr>
              <w:framePr w:hSpace="180" w:wrap="around" w:vAnchor="text" w:hAnchor="page" w:xAlign="center" w:y="509"/>
              <w:adjustRightInd w:val="0"/>
              <w:snapToGrid w:val="0"/>
              <w:jc w:val="center"/>
              <w:rPr>
                <w:rFonts w:ascii="Times New Roman" w:eastAsiaTheme="minorEastAsia" w:hAnsi="Times New Roman"/>
                <w:kern w:val="0"/>
                <w:szCs w:val="21"/>
              </w:rPr>
            </w:pPr>
            <w:r w:rsidRPr="006074B3">
              <w:rPr>
                <w:rFonts w:ascii="Times New Roman" w:eastAsiaTheme="minorEastAsia" w:hAnsiTheme="minorEastAsia"/>
                <w:kern w:val="0"/>
                <w:szCs w:val="21"/>
              </w:rPr>
              <w:t>村集体带动指标</w:t>
            </w:r>
          </w:p>
        </w:tc>
        <w:tc>
          <w:tcPr>
            <w:tcW w:w="7480" w:type="dxa"/>
            <w:gridSpan w:val="3"/>
            <w:tcBorders>
              <w:top w:val="single" w:sz="4" w:space="0" w:color="auto"/>
              <w:left w:val="nil"/>
              <w:bottom w:val="single" w:sz="4" w:space="0" w:color="auto"/>
              <w:right w:val="single" w:sz="4" w:space="0" w:color="auto"/>
            </w:tcBorders>
            <w:shd w:val="clear" w:color="auto" w:fill="auto"/>
            <w:vAlign w:val="center"/>
          </w:tcPr>
          <w:p w:rsidR="006074B3" w:rsidRPr="006074B3" w:rsidRDefault="006074B3" w:rsidP="006074B3">
            <w:pPr>
              <w:framePr w:hSpace="180" w:wrap="around" w:vAnchor="text" w:hAnchor="page" w:xAlign="center" w:y="509"/>
              <w:adjustRightInd w:val="0"/>
              <w:snapToGrid w:val="0"/>
              <w:rPr>
                <w:rFonts w:ascii="Times New Roman" w:eastAsiaTheme="minorEastAsia" w:hAnsi="Times New Roman"/>
                <w:kern w:val="0"/>
                <w:szCs w:val="21"/>
              </w:rPr>
            </w:pPr>
            <w:r w:rsidRPr="006074B3">
              <w:rPr>
                <w:rFonts w:ascii="Times New Roman" w:eastAsiaTheme="minorEastAsia" w:hAnsiTheme="minorEastAsia"/>
                <w:kern w:val="0"/>
                <w:szCs w:val="21"/>
              </w:rPr>
              <w:t>带动农户</w:t>
            </w:r>
            <w:r w:rsidRPr="006074B3">
              <w:rPr>
                <w:rFonts w:ascii="Times New Roman" w:eastAsiaTheme="minorEastAsia" w:hAnsi="Times New Roman"/>
                <w:kern w:val="0"/>
                <w:szCs w:val="21"/>
              </w:rPr>
              <w:t>100</w:t>
            </w:r>
            <w:r w:rsidRPr="006074B3">
              <w:rPr>
                <w:rFonts w:ascii="Times New Roman" w:eastAsiaTheme="minorEastAsia" w:hAnsiTheme="minorEastAsia"/>
                <w:kern w:val="0"/>
                <w:szCs w:val="21"/>
              </w:rPr>
              <w:t>户以上</w:t>
            </w:r>
          </w:p>
        </w:tc>
      </w:tr>
      <w:tr w:rsidR="006074B3" w:rsidTr="006074B3">
        <w:trPr>
          <w:trHeight w:val="680"/>
          <w:jc w:val="center"/>
        </w:trPr>
        <w:tc>
          <w:tcPr>
            <w:tcW w:w="709" w:type="dxa"/>
            <w:vMerge/>
            <w:tcBorders>
              <w:left w:val="single" w:sz="4" w:space="0" w:color="auto"/>
              <w:right w:val="single" w:sz="4" w:space="0" w:color="auto"/>
            </w:tcBorders>
            <w:shd w:val="clear" w:color="auto" w:fill="auto"/>
            <w:vAlign w:val="center"/>
          </w:tcPr>
          <w:p w:rsidR="006074B3" w:rsidRPr="006074B3" w:rsidRDefault="006074B3" w:rsidP="00902D58">
            <w:pPr>
              <w:framePr w:hSpace="180" w:wrap="around" w:vAnchor="text" w:hAnchor="page" w:xAlign="center" w:y="509"/>
              <w:adjustRightInd w:val="0"/>
              <w:snapToGrid w:val="0"/>
              <w:jc w:val="center"/>
              <w:rPr>
                <w:rFonts w:ascii="黑体" w:eastAsia="黑体" w:hAnsi="黑体"/>
                <w:kern w:val="0"/>
                <w:szCs w:val="21"/>
              </w:rPr>
            </w:pPr>
          </w:p>
        </w:tc>
        <w:tc>
          <w:tcPr>
            <w:tcW w:w="1275" w:type="dxa"/>
            <w:vMerge/>
            <w:tcBorders>
              <w:left w:val="nil"/>
              <w:bottom w:val="single" w:sz="4" w:space="0" w:color="auto"/>
              <w:right w:val="single" w:sz="4" w:space="0" w:color="auto"/>
            </w:tcBorders>
            <w:shd w:val="clear" w:color="auto" w:fill="auto"/>
            <w:vAlign w:val="center"/>
          </w:tcPr>
          <w:p w:rsidR="006074B3" w:rsidRPr="006074B3" w:rsidRDefault="006074B3" w:rsidP="00902D58">
            <w:pPr>
              <w:framePr w:hSpace="180" w:wrap="around" w:vAnchor="text" w:hAnchor="page" w:xAlign="center" w:y="509"/>
              <w:adjustRightInd w:val="0"/>
              <w:snapToGrid w:val="0"/>
              <w:jc w:val="center"/>
              <w:rPr>
                <w:rFonts w:ascii="Times New Roman" w:eastAsiaTheme="minorEastAsia" w:hAnsi="Times New Roman"/>
                <w:kern w:val="0"/>
                <w:szCs w:val="21"/>
              </w:rPr>
            </w:pPr>
          </w:p>
        </w:tc>
        <w:tc>
          <w:tcPr>
            <w:tcW w:w="7480" w:type="dxa"/>
            <w:gridSpan w:val="3"/>
            <w:tcBorders>
              <w:top w:val="single" w:sz="4" w:space="0" w:color="auto"/>
              <w:left w:val="nil"/>
              <w:bottom w:val="single" w:sz="4" w:space="0" w:color="auto"/>
              <w:right w:val="single" w:sz="4" w:space="0" w:color="auto"/>
            </w:tcBorders>
            <w:shd w:val="clear" w:color="auto" w:fill="auto"/>
            <w:vAlign w:val="center"/>
          </w:tcPr>
          <w:p w:rsidR="006074B3" w:rsidRPr="006074B3" w:rsidRDefault="006074B3" w:rsidP="006074B3">
            <w:pPr>
              <w:framePr w:hSpace="180" w:wrap="around" w:vAnchor="text" w:hAnchor="page" w:xAlign="center" w:y="509"/>
              <w:adjustRightInd w:val="0"/>
              <w:snapToGrid w:val="0"/>
              <w:rPr>
                <w:rFonts w:ascii="Times New Roman" w:eastAsiaTheme="minorEastAsia" w:hAnsi="Times New Roman"/>
                <w:kern w:val="0"/>
                <w:szCs w:val="21"/>
              </w:rPr>
            </w:pPr>
            <w:r w:rsidRPr="006074B3">
              <w:rPr>
                <w:rFonts w:ascii="Times New Roman" w:eastAsiaTheme="minorEastAsia" w:hAnsiTheme="minorEastAsia"/>
                <w:kern w:val="0"/>
                <w:szCs w:val="21"/>
              </w:rPr>
              <w:t>且与村集体经济发展建立联结机制、项目占股</w:t>
            </w:r>
            <w:r w:rsidRPr="006074B3">
              <w:rPr>
                <w:rFonts w:ascii="Times New Roman" w:eastAsiaTheme="minorEastAsia" w:hAnsi="Times New Roman"/>
                <w:kern w:val="0"/>
                <w:szCs w:val="21"/>
              </w:rPr>
              <w:t>30%</w:t>
            </w:r>
            <w:r w:rsidRPr="006074B3">
              <w:rPr>
                <w:rFonts w:ascii="Times New Roman" w:eastAsiaTheme="minorEastAsia" w:hAnsiTheme="minorEastAsia"/>
                <w:kern w:val="0"/>
                <w:szCs w:val="21"/>
              </w:rPr>
              <w:t>以上，每百亩带动村集体收入</w:t>
            </w:r>
            <w:r w:rsidRPr="006074B3">
              <w:rPr>
                <w:rFonts w:ascii="Times New Roman" w:eastAsiaTheme="minorEastAsia" w:hAnsi="Times New Roman"/>
                <w:kern w:val="0"/>
                <w:szCs w:val="21"/>
              </w:rPr>
              <w:t>1</w:t>
            </w:r>
            <w:r w:rsidRPr="006074B3">
              <w:rPr>
                <w:rFonts w:ascii="Times New Roman" w:eastAsiaTheme="minorEastAsia" w:hAnsiTheme="minorEastAsia"/>
                <w:kern w:val="0"/>
                <w:szCs w:val="21"/>
              </w:rPr>
              <w:t>万元以上</w:t>
            </w:r>
          </w:p>
        </w:tc>
      </w:tr>
      <w:tr w:rsidR="006074B3" w:rsidTr="006074B3">
        <w:trPr>
          <w:trHeight w:val="680"/>
          <w:jc w:val="center"/>
        </w:trPr>
        <w:tc>
          <w:tcPr>
            <w:tcW w:w="709" w:type="dxa"/>
            <w:vMerge/>
            <w:tcBorders>
              <w:left w:val="single" w:sz="4" w:space="0" w:color="auto"/>
              <w:right w:val="single" w:sz="4" w:space="0" w:color="auto"/>
            </w:tcBorders>
            <w:shd w:val="clear" w:color="auto" w:fill="auto"/>
            <w:vAlign w:val="center"/>
          </w:tcPr>
          <w:p w:rsidR="006074B3" w:rsidRPr="006074B3" w:rsidRDefault="006074B3" w:rsidP="00902D58">
            <w:pPr>
              <w:framePr w:hSpace="180" w:wrap="around" w:vAnchor="text" w:hAnchor="page" w:xAlign="center" w:y="509"/>
              <w:adjustRightInd w:val="0"/>
              <w:snapToGrid w:val="0"/>
              <w:jc w:val="center"/>
              <w:rPr>
                <w:rFonts w:ascii="黑体" w:eastAsia="黑体" w:hAnsi="黑体"/>
                <w:kern w:val="0"/>
                <w:szCs w:val="21"/>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074B3" w:rsidRPr="006074B3" w:rsidRDefault="006074B3" w:rsidP="00902D58">
            <w:pPr>
              <w:framePr w:hSpace="180" w:wrap="around" w:vAnchor="text" w:hAnchor="page" w:xAlign="center" w:y="509"/>
              <w:adjustRightInd w:val="0"/>
              <w:snapToGrid w:val="0"/>
              <w:jc w:val="center"/>
              <w:rPr>
                <w:rFonts w:ascii="Times New Roman" w:eastAsiaTheme="minorEastAsia" w:hAnsi="Times New Roman"/>
                <w:kern w:val="0"/>
                <w:szCs w:val="21"/>
              </w:rPr>
            </w:pPr>
            <w:r w:rsidRPr="006074B3">
              <w:rPr>
                <w:rFonts w:ascii="Times New Roman" w:eastAsiaTheme="minorEastAsia" w:hAnsiTheme="minorEastAsia"/>
                <w:kern w:val="0"/>
                <w:szCs w:val="21"/>
              </w:rPr>
              <w:t>就业指标</w:t>
            </w:r>
          </w:p>
        </w:tc>
        <w:tc>
          <w:tcPr>
            <w:tcW w:w="7480" w:type="dxa"/>
            <w:gridSpan w:val="3"/>
            <w:tcBorders>
              <w:top w:val="single" w:sz="4" w:space="0" w:color="auto"/>
              <w:left w:val="nil"/>
              <w:bottom w:val="single" w:sz="4" w:space="0" w:color="auto"/>
              <w:right w:val="single" w:sz="4" w:space="0" w:color="auto"/>
            </w:tcBorders>
            <w:shd w:val="clear" w:color="auto" w:fill="auto"/>
            <w:vAlign w:val="center"/>
          </w:tcPr>
          <w:p w:rsidR="006074B3" w:rsidRPr="006074B3" w:rsidRDefault="006074B3" w:rsidP="006074B3">
            <w:pPr>
              <w:framePr w:hSpace="180" w:wrap="around" w:vAnchor="text" w:hAnchor="page" w:xAlign="center" w:y="509"/>
              <w:adjustRightInd w:val="0"/>
              <w:snapToGrid w:val="0"/>
              <w:rPr>
                <w:rFonts w:ascii="Times New Roman" w:eastAsiaTheme="minorEastAsia" w:hAnsi="Times New Roman"/>
                <w:kern w:val="0"/>
                <w:szCs w:val="21"/>
              </w:rPr>
            </w:pPr>
            <w:r w:rsidRPr="006074B3">
              <w:rPr>
                <w:rFonts w:ascii="Times New Roman" w:eastAsiaTheme="minorEastAsia" w:hAnsiTheme="minorEastAsia"/>
                <w:kern w:val="0"/>
                <w:szCs w:val="21"/>
              </w:rPr>
              <w:t>且辐射带动创业就业</w:t>
            </w:r>
            <w:r w:rsidRPr="006074B3">
              <w:rPr>
                <w:rFonts w:ascii="Times New Roman" w:eastAsiaTheme="minorEastAsia" w:hAnsi="Times New Roman"/>
                <w:kern w:val="0"/>
                <w:szCs w:val="21"/>
              </w:rPr>
              <w:t>50</w:t>
            </w:r>
            <w:r w:rsidRPr="006074B3">
              <w:rPr>
                <w:rFonts w:ascii="Times New Roman" w:eastAsiaTheme="minorEastAsia" w:hAnsiTheme="minorEastAsia"/>
                <w:kern w:val="0"/>
                <w:szCs w:val="21"/>
              </w:rPr>
              <w:t>人以上</w:t>
            </w:r>
          </w:p>
        </w:tc>
      </w:tr>
      <w:tr w:rsidR="006074B3" w:rsidTr="006074B3">
        <w:trPr>
          <w:trHeight w:val="850"/>
          <w:jc w:val="center"/>
        </w:trPr>
        <w:tc>
          <w:tcPr>
            <w:tcW w:w="709" w:type="dxa"/>
            <w:tcBorders>
              <w:left w:val="single" w:sz="4" w:space="0" w:color="auto"/>
              <w:right w:val="single" w:sz="4" w:space="0" w:color="auto"/>
            </w:tcBorders>
            <w:shd w:val="clear" w:color="auto" w:fill="auto"/>
            <w:vAlign w:val="center"/>
          </w:tcPr>
          <w:p w:rsidR="006074B3" w:rsidRPr="006074B3" w:rsidRDefault="006074B3" w:rsidP="00902D58">
            <w:pPr>
              <w:framePr w:hSpace="180" w:wrap="around" w:vAnchor="text" w:hAnchor="page" w:xAlign="center" w:y="509"/>
              <w:adjustRightInd w:val="0"/>
              <w:snapToGrid w:val="0"/>
              <w:jc w:val="center"/>
              <w:rPr>
                <w:rFonts w:ascii="黑体" w:eastAsia="黑体" w:hAnsi="黑体"/>
                <w:kern w:val="0"/>
                <w:szCs w:val="21"/>
              </w:rPr>
            </w:pPr>
            <w:r w:rsidRPr="006074B3">
              <w:rPr>
                <w:rFonts w:ascii="黑体" w:eastAsia="黑体" w:hAnsi="黑体"/>
                <w:kern w:val="0"/>
                <w:szCs w:val="21"/>
              </w:rPr>
              <w:t>创新指标</w:t>
            </w:r>
          </w:p>
        </w:tc>
        <w:tc>
          <w:tcPr>
            <w:tcW w:w="1275" w:type="dxa"/>
            <w:tcBorders>
              <w:top w:val="single" w:sz="4" w:space="0" w:color="auto"/>
              <w:left w:val="nil"/>
              <w:bottom w:val="single" w:sz="4" w:space="0" w:color="auto"/>
              <w:right w:val="single" w:sz="4" w:space="0" w:color="auto"/>
            </w:tcBorders>
            <w:shd w:val="clear" w:color="auto" w:fill="auto"/>
            <w:vAlign w:val="center"/>
          </w:tcPr>
          <w:p w:rsidR="006074B3" w:rsidRPr="006074B3" w:rsidRDefault="006074B3" w:rsidP="00902D58">
            <w:pPr>
              <w:framePr w:hSpace="180" w:wrap="around" w:vAnchor="text" w:hAnchor="page" w:xAlign="center" w:y="509"/>
              <w:adjustRightInd w:val="0"/>
              <w:snapToGrid w:val="0"/>
              <w:jc w:val="center"/>
              <w:rPr>
                <w:rFonts w:ascii="Times New Roman" w:eastAsiaTheme="minorEastAsia" w:hAnsi="Times New Roman"/>
                <w:kern w:val="0"/>
                <w:szCs w:val="21"/>
              </w:rPr>
            </w:pPr>
            <w:r w:rsidRPr="006074B3">
              <w:rPr>
                <w:rFonts w:ascii="Times New Roman" w:eastAsiaTheme="minorEastAsia" w:hAnsiTheme="minorEastAsia"/>
                <w:kern w:val="0"/>
                <w:szCs w:val="21"/>
              </w:rPr>
              <w:t>科技人才创新指标</w:t>
            </w:r>
          </w:p>
        </w:tc>
        <w:tc>
          <w:tcPr>
            <w:tcW w:w="7480" w:type="dxa"/>
            <w:gridSpan w:val="3"/>
            <w:tcBorders>
              <w:top w:val="single" w:sz="4" w:space="0" w:color="auto"/>
              <w:left w:val="nil"/>
              <w:bottom w:val="single" w:sz="4" w:space="0" w:color="auto"/>
              <w:right w:val="single" w:sz="4" w:space="0" w:color="auto"/>
            </w:tcBorders>
            <w:shd w:val="clear" w:color="auto" w:fill="auto"/>
            <w:vAlign w:val="center"/>
          </w:tcPr>
          <w:p w:rsidR="006074B3" w:rsidRPr="006074B3" w:rsidRDefault="006074B3" w:rsidP="006074B3">
            <w:pPr>
              <w:framePr w:hSpace="180" w:wrap="around" w:vAnchor="text" w:hAnchor="page" w:xAlign="center" w:y="509"/>
              <w:adjustRightInd w:val="0"/>
              <w:snapToGrid w:val="0"/>
              <w:rPr>
                <w:rFonts w:ascii="Times New Roman" w:eastAsiaTheme="minorEastAsia" w:hAnsi="Times New Roman"/>
                <w:kern w:val="0"/>
                <w:szCs w:val="21"/>
              </w:rPr>
            </w:pPr>
            <w:r w:rsidRPr="006074B3">
              <w:rPr>
                <w:rFonts w:ascii="Times New Roman" w:eastAsiaTheme="minorEastAsia" w:hAnsiTheme="minorEastAsia"/>
                <w:kern w:val="0"/>
                <w:szCs w:val="21"/>
              </w:rPr>
              <w:t>涉及市大好高项目、</w:t>
            </w:r>
            <w:r w:rsidRPr="006074B3">
              <w:rPr>
                <w:rFonts w:ascii="Times New Roman" w:eastAsiaTheme="minorEastAsia" w:hAnsi="Times New Roman"/>
                <w:kern w:val="0"/>
                <w:szCs w:val="21"/>
              </w:rPr>
              <w:t>“</w:t>
            </w:r>
            <w:r w:rsidRPr="006074B3">
              <w:rPr>
                <w:rFonts w:ascii="Times New Roman" w:eastAsiaTheme="minorEastAsia" w:hAnsiTheme="minorEastAsia"/>
                <w:kern w:val="0"/>
                <w:szCs w:val="21"/>
              </w:rPr>
              <w:t>专精特新</w:t>
            </w:r>
            <w:r w:rsidRPr="006074B3">
              <w:rPr>
                <w:rFonts w:ascii="Times New Roman" w:eastAsiaTheme="minorEastAsia" w:hAnsi="Times New Roman"/>
                <w:kern w:val="0"/>
                <w:szCs w:val="21"/>
              </w:rPr>
              <w:t>”</w:t>
            </w:r>
            <w:r w:rsidRPr="006074B3">
              <w:rPr>
                <w:rFonts w:ascii="Times New Roman" w:eastAsiaTheme="minorEastAsia" w:hAnsiTheme="minorEastAsia"/>
                <w:kern w:val="0"/>
                <w:szCs w:val="21"/>
              </w:rPr>
              <w:t>项目、高新技术改造传统产业项目等、重点人才中试项目、国家竹产业研究院重点项目</w:t>
            </w:r>
          </w:p>
        </w:tc>
      </w:tr>
      <w:tr w:rsidR="006074B3" w:rsidTr="006074B3">
        <w:trPr>
          <w:trHeight w:val="850"/>
          <w:jc w:val="center"/>
        </w:trPr>
        <w:tc>
          <w:tcPr>
            <w:tcW w:w="709" w:type="dxa"/>
            <w:tcBorders>
              <w:left w:val="single" w:sz="4" w:space="0" w:color="auto"/>
              <w:bottom w:val="single" w:sz="4" w:space="0" w:color="auto"/>
              <w:right w:val="single" w:sz="4" w:space="0" w:color="auto"/>
            </w:tcBorders>
            <w:shd w:val="clear" w:color="auto" w:fill="auto"/>
            <w:vAlign w:val="center"/>
          </w:tcPr>
          <w:p w:rsidR="006074B3" w:rsidRPr="006074B3" w:rsidRDefault="006074B3" w:rsidP="00902D58">
            <w:pPr>
              <w:framePr w:hSpace="180" w:wrap="around" w:vAnchor="text" w:hAnchor="page" w:xAlign="center" w:y="509"/>
              <w:adjustRightInd w:val="0"/>
              <w:snapToGrid w:val="0"/>
              <w:jc w:val="center"/>
              <w:rPr>
                <w:rFonts w:ascii="黑体" w:eastAsia="黑体" w:hAnsi="黑体"/>
                <w:kern w:val="0"/>
                <w:szCs w:val="21"/>
              </w:rPr>
            </w:pPr>
            <w:r w:rsidRPr="006074B3">
              <w:rPr>
                <w:rFonts w:ascii="黑体" w:eastAsia="黑体" w:hAnsi="黑体"/>
                <w:kern w:val="0"/>
                <w:szCs w:val="21"/>
              </w:rPr>
              <w:t>反向指标</w:t>
            </w:r>
          </w:p>
        </w:tc>
        <w:tc>
          <w:tcPr>
            <w:tcW w:w="1275" w:type="dxa"/>
            <w:tcBorders>
              <w:top w:val="single" w:sz="4" w:space="0" w:color="auto"/>
              <w:left w:val="nil"/>
              <w:bottom w:val="single" w:sz="4" w:space="0" w:color="auto"/>
              <w:right w:val="single" w:sz="4" w:space="0" w:color="auto"/>
            </w:tcBorders>
            <w:shd w:val="clear" w:color="auto" w:fill="auto"/>
            <w:vAlign w:val="center"/>
          </w:tcPr>
          <w:p w:rsidR="006074B3" w:rsidRPr="006074B3" w:rsidRDefault="006074B3" w:rsidP="00902D58">
            <w:pPr>
              <w:framePr w:hSpace="180" w:wrap="around" w:vAnchor="text" w:hAnchor="page" w:xAlign="center" w:y="509"/>
              <w:adjustRightInd w:val="0"/>
              <w:snapToGrid w:val="0"/>
              <w:jc w:val="center"/>
              <w:rPr>
                <w:rFonts w:ascii="Times New Roman" w:eastAsiaTheme="minorEastAsia" w:hAnsi="Times New Roman"/>
                <w:kern w:val="0"/>
                <w:szCs w:val="21"/>
              </w:rPr>
            </w:pPr>
            <w:r w:rsidRPr="006074B3">
              <w:rPr>
                <w:rFonts w:ascii="Times New Roman" w:eastAsiaTheme="minorEastAsia" w:hAnsiTheme="minorEastAsia"/>
                <w:kern w:val="0"/>
                <w:szCs w:val="21"/>
              </w:rPr>
              <w:t>林长</w:t>
            </w:r>
            <w:proofErr w:type="gramStart"/>
            <w:r w:rsidRPr="006074B3">
              <w:rPr>
                <w:rFonts w:ascii="Times New Roman" w:eastAsiaTheme="minorEastAsia" w:hAnsiTheme="minorEastAsia"/>
                <w:kern w:val="0"/>
                <w:szCs w:val="21"/>
              </w:rPr>
              <w:t>制考核</w:t>
            </w:r>
            <w:proofErr w:type="gramEnd"/>
          </w:p>
        </w:tc>
        <w:tc>
          <w:tcPr>
            <w:tcW w:w="7480" w:type="dxa"/>
            <w:gridSpan w:val="3"/>
            <w:tcBorders>
              <w:top w:val="single" w:sz="4" w:space="0" w:color="auto"/>
              <w:left w:val="nil"/>
              <w:bottom w:val="single" w:sz="4" w:space="0" w:color="auto"/>
              <w:right w:val="single" w:sz="4" w:space="0" w:color="auto"/>
            </w:tcBorders>
            <w:shd w:val="clear" w:color="auto" w:fill="auto"/>
            <w:vAlign w:val="center"/>
          </w:tcPr>
          <w:p w:rsidR="006074B3" w:rsidRPr="006074B3" w:rsidRDefault="006074B3" w:rsidP="006074B3">
            <w:pPr>
              <w:framePr w:hSpace="180" w:wrap="around" w:vAnchor="text" w:hAnchor="page" w:xAlign="center" w:y="509"/>
              <w:adjustRightInd w:val="0"/>
              <w:snapToGrid w:val="0"/>
              <w:rPr>
                <w:rFonts w:ascii="Times New Roman" w:eastAsiaTheme="minorEastAsia" w:hAnsi="Times New Roman"/>
                <w:kern w:val="0"/>
                <w:szCs w:val="21"/>
              </w:rPr>
            </w:pPr>
            <w:r w:rsidRPr="006074B3">
              <w:rPr>
                <w:rFonts w:ascii="Times New Roman" w:eastAsiaTheme="minorEastAsia" w:hAnsiTheme="minorEastAsia"/>
                <w:kern w:val="0"/>
                <w:szCs w:val="21"/>
              </w:rPr>
              <w:t>林长制乡镇考核结果运用</w:t>
            </w:r>
          </w:p>
        </w:tc>
      </w:tr>
    </w:tbl>
    <w:p w:rsidR="006074B3" w:rsidRDefault="006074B3" w:rsidP="006074B3">
      <w:pPr>
        <w:adjustRightInd w:val="0"/>
        <w:snapToGrid w:val="0"/>
        <w:spacing w:line="400" w:lineRule="exact"/>
        <w:ind w:firstLineChars="500" w:firstLine="1600"/>
        <w:jc w:val="left"/>
        <w:rPr>
          <w:rFonts w:ascii="Times New Roman" w:eastAsia="仿宋_GB2312" w:hAnsi="Times New Roman"/>
          <w:sz w:val="32"/>
          <w:szCs w:val="32"/>
        </w:rPr>
      </w:pPr>
    </w:p>
    <w:p w:rsidR="00880419" w:rsidRDefault="00880419" w:rsidP="00880419"/>
    <w:p w:rsidR="00880419" w:rsidRDefault="00880419" w:rsidP="00880419">
      <w:pPr>
        <w:pStyle w:val="10"/>
      </w:pPr>
    </w:p>
    <w:p w:rsidR="00880419" w:rsidRDefault="00880419" w:rsidP="00880419"/>
    <w:p w:rsidR="00880419" w:rsidRDefault="00880419" w:rsidP="00880419">
      <w:pPr>
        <w:pStyle w:val="10"/>
      </w:pPr>
    </w:p>
    <w:p w:rsidR="00880419" w:rsidRDefault="00880419" w:rsidP="00880419"/>
    <w:p w:rsidR="00880419" w:rsidRDefault="00880419" w:rsidP="00880419">
      <w:pPr>
        <w:pStyle w:val="10"/>
      </w:pPr>
    </w:p>
    <w:p w:rsidR="00880419" w:rsidRDefault="00880419" w:rsidP="00880419"/>
    <w:p w:rsidR="00880419" w:rsidRDefault="00880419" w:rsidP="00880419">
      <w:pPr>
        <w:pStyle w:val="10"/>
      </w:pPr>
    </w:p>
    <w:p w:rsidR="00880419" w:rsidRDefault="00880419" w:rsidP="00880419"/>
    <w:p w:rsidR="00880419" w:rsidRDefault="00880419" w:rsidP="00880419">
      <w:pPr>
        <w:pStyle w:val="10"/>
      </w:pPr>
    </w:p>
    <w:p w:rsidR="00880419" w:rsidRDefault="00880419" w:rsidP="00880419"/>
    <w:p w:rsidR="00880419" w:rsidRDefault="00880419" w:rsidP="00880419">
      <w:pPr>
        <w:pStyle w:val="10"/>
      </w:pPr>
    </w:p>
    <w:p w:rsidR="00880419" w:rsidRDefault="00880419" w:rsidP="00880419"/>
    <w:p w:rsidR="00880419" w:rsidRDefault="00880419" w:rsidP="00880419">
      <w:pPr>
        <w:pStyle w:val="10"/>
      </w:pPr>
    </w:p>
    <w:p w:rsidR="00880419" w:rsidRDefault="00880419" w:rsidP="00880419"/>
    <w:p w:rsidR="003F16AE" w:rsidRDefault="003F16AE" w:rsidP="003F16AE">
      <w:pPr>
        <w:pStyle w:val="10"/>
      </w:pPr>
    </w:p>
    <w:p w:rsidR="003F16AE" w:rsidRDefault="003F16AE" w:rsidP="003F16AE"/>
    <w:p w:rsidR="003F16AE" w:rsidRDefault="003F16AE" w:rsidP="003F16AE">
      <w:pPr>
        <w:pStyle w:val="10"/>
      </w:pPr>
    </w:p>
    <w:p w:rsidR="003F16AE" w:rsidRDefault="003F16AE" w:rsidP="003F16AE"/>
    <w:p w:rsidR="003F16AE" w:rsidRDefault="003F16AE" w:rsidP="003F16AE">
      <w:pPr>
        <w:pStyle w:val="10"/>
      </w:pPr>
    </w:p>
    <w:p w:rsidR="003F16AE" w:rsidRDefault="003F16AE" w:rsidP="003F16AE"/>
    <w:p w:rsidR="003F16AE" w:rsidRDefault="003F16AE" w:rsidP="003F16AE">
      <w:pPr>
        <w:pStyle w:val="10"/>
      </w:pPr>
    </w:p>
    <w:p w:rsidR="003F16AE" w:rsidRDefault="003F16AE" w:rsidP="003F16AE"/>
    <w:p w:rsidR="003F16AE" w:rsidRDefault="003F16AE" w:rsidP="003F16AE">
      <w:pPr>
        <w:pStyle w:val="10"/>
      </w:pPr>
    </w:p>
    <w:p w:rsidR="003F16AE" w:rsidRDefault="003F16AE" w:rsidP="003F16AE"/>
    <w:p w:rsidR="003F16AE" w:rsidRDefault="003F16AE" w:rsidP="003F16AE">
      <w:pPr>
        <w:pStyle w:val="10"/>
      </w:pPr>
    </w:p>
    <w:p w:rsidR="003F16AE" w:rsidRDefault="003F16AE" w:rsidP="003F16AE"/>
    <w:p w:rsidR="003F16AE" w:rsidRDefault="003F16AE" w:rsidP="003F16AE">
      <w:pPr>
        <w:pStyle w:val="10"/>
      </w:pPr>
    </w:p>
    <w:p w:rsidR="003F16AE" w:rsidRDefault="003F16AE" w:rsidP="003F16AE"/>
    <w:p w:rsidR="003F16AE" w:rsidRPr="003F16AE" w:rsidRDefault="003F16AE" w:rsidP="003F16AE">
      <w:pPr>
        <w:pStyle w:val="10"/>
      </w:pPr>
    </w:p>
    <w:p w:rsidR="00880419" w:rsidRDefault="00880419" w:rsidP="00880419">
      <w:pPr>
        <w:pStyle w:val="10"/>
      </w:pPr>
    </w:p>
    <w:p w:rsidR="00880419" w:rsidRPr="00880419" w:rsidRDefault="00880419" w:rsidP="00880419"/>
    <w:p w:rsidR="002C739F" w:rsidRDefault="002C739F" w:rsidP="002C739F"/>
    <w:p w:rsidR="004F4599" w:rsidRDefault="004F4599" w:rsidP="004F4599"/>
    <w:p w:rsidR="004F4599" w:rsidRDefault="004F4599" w:rsidP="004F4599">
      <w:pPr>
        <w:pStyle w:val="10"/>
      </w:pPr>
    </w:p>
    <w:p w:rsidR="004F4599" w:rsidRDefault="00762DC9" w:rsidP="004F4599">
      <w:pPr>
        <w:spacing w:line="500" w:lineRule="exact"/>
        <w:ind w:firstLineChars="50" w:firstLine="140"/>
        <w:rPr>
          <w:rFonts w:ascii="仿宋_GB2312" w:eastAsia="仿宋_GB2312"/>
          <w:sz w:val="28"/>
          <w:szCs w:val="28"/>
        </w:rPr>
      </w:pPr>
      <w:r>
        <w:rPr>
          <w:rFonts w:ascii="仿宋_GB2312" w:eastAsia="仿宋_GB2312"/>
          <w:noProof/>
          <w:sz w:val="28"/>
          <w:szCs w:val="28"/>
        </w:rPr>
        <mc:AlternateContent>
          <mc:Choice Requires="wps">
            <w:drawing>
              <wp:anchor distT="0" distB="0" distL="114300" distR="114300" simplePos="0" relativeHeight="251659264" behindDoc="0" locked="0" layoutInCell="1" allowOverlap="1" wp14:anchorId="2EDCDE82" wp14:editId="6A50FA2A">
                <wp:simplePos x="0" y="0"/>
                <wp:positionH relativeFrom="column">
                  <wp:posOffset>0</wp:posOffset>
                </wp:positionH>
                <wp:positionV relativeFrom="paragraph">
                  <wp:posOffset>38735</wp:posOffset>
                </wp:positionV>
                <wp:extent cx="5715000" cy="0"/>
                <wp:effectExtent l="9525" t="10160" r="9525" b="18415"/>
                <wp:wrapNone/>
                <wp:docPr id="4" name="直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45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" strokeweight="1.5pt"/>
            </w:pict>
          </mc:Fallback>
        </mc:AlternateContent>
      </w:r>
      <w:r w:rsidR="004F4599">
        <w:rPr>
          <w:rFonts w:ascii="仿宋_GB2312" w:eastAsia="仿宋_GB2312" w:hint="eastAsia"/>
          <w:sz w:val="28"/>
          <w:szCs w:val="28"/>
        </w:rPr>
        <w:t>抄送：</w:t>
      </w:r>
      <w:bookmarkStart w:id="1" w:name="抄送单位"/>
      <w:r w:rsidR="004F4599">
        <w:rPr>
          <w:rFonts w:ascii="仿宋_GB2312" w:eastAsia="仿宋_GB2312" w:hint="eastAsia"/>
          <w:sz w:val="28"/>
          <w:szCs w:val="28"/>
        </w:rPr>
        <w:t>县委各部门，县人大常委会、县政协办公室，县纪委、县监委，</w:t>
      </w:r>
    </w:p>
    <w:p w:rsidR="004F4599" w:rsidRDefault="004F4599" w:rsidP="004F4599">
      <w:pPr>
        <w:spacing w:line="500" w:lineRule="exact"/>
        <w:ind w:firstLineChars="350" w:firstLine="980"/>
        <w:rPr>
          <w:rFonts w:ascii="仿宋_GB2312" w:eastAsia="仿宋_GB2312"/>
          <w:sz w:val="28"/>
          <w:szCs w:val="28"/>
        </w:rPr>
      </w:pPr>
      <w:r>
        <w:rPr>
          <w:rFonts w:ascii="仿宋_GB2312" w:eastAsia="仿宋_GB2312" w:hint="eastAsia"/>
          <w:sz w:val="28"/>
          <w:szCs w:val="28"/>
        </w:rPr>
        <w:t>县人武部，县法院，县检察院，各群众团体</w:t>
      </w:r>
      <w:r>
        <w:rPr>
          <w:rFonts w:ascii="仿宋_GB2312" w:eastAsia="仿宋_GB2312" w:hint="eastAsia"/>
          <w:sz w:val="28"/>
          <w:szCs w:val="28"/>
        </w:rPr>
        <w:fldChar w:fldCharType="begin">
          <w:ffData>
            <w:name w:val="抄送单位"/>
            <w:enabled/>
            <w:calcOnExit w:val="0"/>
            <w:textInput/>
          </w:ffData>
        </w:fldChar>
      </w:r>
      <w:r>
        <w:rPr>
          <w:rFonts w:ascii="仿宋_GB2312" w:eastAsia="仿宋_GB2312" w:hint="eastAsia"/>
          <w:sz w:val="28"/>
          <w:szCs w:val="28"/>
        </w:rPr>
        <w:instrText xml:space="preserve"> FORMTEXT </w:instrText>
      </w:r>
      <w:r>
        <w:rPr>
          <w:rFonts w:ascii="仿宋_GB2312" w:eastAsia="仿宋_GB2312" w:hint="eastAsia"/>
          <w:sz w:val="28"/>
          <w:szCs w:val="28"/>
        </w:rPr>
      </w:r>
      <w:r>
        <w:rPr>
          <w:rFonts w:ascii="仿宋_GB2312" w:eastAsia="仿宋_GB2312" w:hint="eastAsia"/>
          <w:sz w:val="28"/>
          <w:szCs w:val="28"/>
        </w:rPr>
        <w:fldChar w:fldCharType="end"/>
      </w:r>
      <w:bookmarkEnd w:id="1"/>
      <w:r>
        <w:rPr>
          <w:rFonts w:ascii="仿宋_GB2312" w:eastAsia="仿宋_GB2312" w:hint="eastAsia"/>
          <w:sz w:val="28"/>
          <w:szCs w:val="28"/>
        </w:rPr>
        <w:t>。</w:t>
      </w:r>
    </w:p>
    <w:p w:rsidR="004F4599" w:rsidRPr="004F4599" w:rsidRDefault="00762DC9" w:rsidP="004F4599">
      <w:pPr>
        <w:spacing w:line="500" w:lineRule="exact"/>
        <w:ind w:firstLineChars="50" w:firstLine="140"/>
      </w:pPr>
      <w:r>
        <w:rPr>
          <w:rFonts w:ascii="仿宋_GB2312" w:eastAsia="仿宋_GB2312"/>
          <w:noProof/>
          <w:sz w:val="28"/>
          <w:szCs w:val="28"/>
        </w:rPr>
        <mc:AlternateContent>
          <mc:Choice Requires="wps">
            <w:drawing>
              <wp:anchor distT="0" distB="0" distL="114300" distR="114300" simplePos="0" relativeHeight="251660288" behindDoc="0" locked="0" layoutInCell="1" allowOverlap="1" wp14:anchorId="3F9A0E66" wp14:editId="14274389">
                <wp:simplePos x="0" y="0"/>
                <wp:positionH relativeFrom="column">
                  <wp:posOffset>0</wp:posOffset>
                </wp:positionH>
                <wp:positionV relativeFrom="paragraph">
                  <wp:posOffset>386715</wp:posOffset>
                </wp:positionV>
                <wp:extent cx="5715000" cy="0"/>
                <wp:effectExtent l="0" t="0" r="19050" b="19050"/>
                <wp:wrapNone/>
                <wp:docPr id="3" name="直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45pt" to="450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" strokeweight="1.5pt"/>
            </w:pict>
          </mc:Fallback>
        </mc:AlternateContent>
      </w:r>
      <w:r>
        <w:rPr>
          <w:rFonts w:ascii="仿宋_GB2312" w:eastAsia="仿宋_GB2312"/>
          <w:noProof/>
          <w:sz w:val="28"/>
          <w:szCs w:val="28"/>
        </w:rPr>
        <mc:AlternateContent>
          <mc:Choice Requires="wps">
            <w:drawing>
              <wp:anchor distT="0" distB="0" distL="114300" distR="114300" simplePos="0" relativeHeight="251661312" behindDoc="0" locked="0" layoutInCell="1" allowOverlap="1" wp14:anchorId="4156A880" wp14:editId="348B0626">
                <wp:simplePos x="0" y="0"/>
                <wp:positionH relativeFrom="column">
                  <wp:posOffset>0</wp:posOffset>
                </wp:positionH>
                <wp:positionV relativeFrom="paragraph">
                  <wp:posOffset>19050</wp:posOffset>
                </wp:positionV>
                <wp:extent cx="5715000" cy="0"/>
                <wp:effectExtent l="9525" t="9525" r="9525" b="9525"/>
                <wp:wrapNone/>
                <wp:docPr id="2" name="直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" strokeweight="1pt"/>
            </w:pict>
          </mc:Fallback>
        </mc:AlternateContent>
      </w:r>
      <w:r w:rsidR="004F4599">
        <w:rPr>
          <w:rFonts w:ascii="仿宋_GB2312" w:eastAsia="仿宋_GB2312" w:hint="eastAsia"/>
          <w:sz w:val="28"/>
          <w:szCs w:val="28"/>
        </w:rPr>
        <w:t>安吉县人民政府办公室</w:t>
      </w:r>
      <w:r w:rsidR="005F449A">
        <w:rPr>
          <w:rFonts w:ascii="仿宋_GB2312" w:eastAsia="仿宋_GB2312" w:hint="eastAsia"/>
          <w:sz w:val="28"/>
          <w:szCs w:val="28"/>
        </w:rPr>
        <w:t xml:space="preserve">                 </w:t>
      </w:r>
      <w:r w:rsidR="003F16AE">
        <w:rPr>
          <w:rFonts w:ascii="仿宋_GB2312" w:eastAsia="仿宋_GB2312" w:hint="eastAsia"/>
          <w:sz w:val="28"/>
          <w:szCs w:val="28"/>
        </w:rPr>
        <w:t xml:space="preserve">   </w:t>
      </w:r>
      <w:r w:rsidR="005F449A">
        <w:rPr>
          <w:rFonts w:ascii="仿宋_GB2312" w:eastAsia="仿宋_GB2312" w:hint="eastAsia"/>
          <w:sz w:val="28"/>
          <w:szCs w:val="28"/>
        </w:rPr>
        <w:t xml:space="preserve">   2023</w:t>
      </w:r>
      <w:r w:rsidR="004F4599">
        <w:rPr>
          <w:rFonts w:ascii="仿宋_GB2312" w:eastAsia="仿宋_GB2312" w:hint="eastAsia"/>
          <w:sz w:val="28"/>
          <w:szCs w:val="28"/>
        </w:rPr>
        <w:t>年</w:t>
      </w:r>
      <w:r w:rsidR="003F16AE">
        <w:rPr>
          <w:rFonts w:ascii="仿宋_GB2312" w:eastAsia="仿宋_GB2312" w:hint="eastAsia"/>
          <w:sz w:val="28"/>
          <w:szCs w:val="28"/>
        </w:rPr>
        <w:t>5</w:t>
      </w:r>
      <w:r w:rsidR="004F4599">
        <w:rPr>
          <w:rFonts w:ascii="仿宋_GB2312" w:eastAsia="仿宋_GB2312" w:hint="eastAsia"/>
          <w:sz w:val="28"/>
          <w:szCs w:val="28"/>
        </w:rPr>
        <w:t>月</w:t>
      </w:r>
      <w:r w:rsidR="003F16AE">
        <w:rPr>
          <w:rFonts w:ascii="仿宋_GB2312" w:eastAsia="仿宋_GB2312" w:hint="eastAsia"/>
          <w:sz w:val="28"/>
          <w:szCs w:val="28"/>
        </w:rPr>
        <w:t>6</w:t>
      </w:r>
      <w:r w:rsidR="004F4599">
        <w:rPr>
          <w:rFonts w:ascii="仿宋_GB2312" w:eastAsia="仿宋_GB2312" w:hint="eastAsia"/>
          <w:sz w:val="28"/>
          <w:szCs w:val="28"/>
        </w:rPr>
        <w:t>日</w:t>
      </w:r>
      <w:r w:rsidR="004F4599">
        <w:rPr>
          <w:rFonts w:ascii="仿宋_GB2312" w:eastAsia="仿宋_GB2312" w:hint="eastAsia"/>
          <w:sz w:val="28"/>
          <w:szCs w:val="28"/>
        </w:rPr>
        <w:fldChar w:fldCharType="begin">
          <w:ffData>
            <w:name w:val="印发日期"/>
            <w:enabled/>
            <w:calcOnExit w:val="0"/>
            <w:textInput/>
          </w:ffData>
        </w:fldChar>
      </w:r>
      <w:r w:rsidR="004F4599">
        <w:rPr>
          <w:rFonts w:ascii="仿宋_GB2312" w:eastAsia="仿宋_GB2312" w:hint="eastAsia"/>
          <w:sz w:val="28"/>
          <w:szCs w:val="28"/>
        </w:rPr>
        <w:instrText xml:space="preserve"> FORMTEXT </w:instrText>
      </w:r>
      <w:r w:rsidR="004F4599">
        <w:rPr>
          <w:rFonts w:ascii="仿宋_GB2312" w:eastAsia="仿宋_GB2312" w:hint="eastAsia"/>
          <w:sz w:val="28"/>
          <w:szCs w:val="28"/>
        </w:rPr>
      </w:r>
      <w:r w:rsidR="004F4599">
        <w:rPr>
          <w:rFonts w:ascii="仿宋_GB2312" w:eastAsia="仿宋_GB2312" w:hint="eastAsia"/>
          <w:sz w:val="28"/>
          <w:szCs w:val="28"/>
        </w:rPr>
        <w:fldChar w:fldCharType="end"/>
      </w:r>
      <w:r w:rsidR="004F4599">
        <w:rPr>
          <w:rFonts w:ascii="仿宋_GB2312" w:eastAsia="仿宋_GB2312" w:hint="eastAsia"/>
          <w:sz w:val="28"/>
          <w:szCs w:val="28"/>
        </w:rPr>
        <w:t>印发</w:t>
      </w:r>
    </w:p>
    <w:sectPr w:rsidR="004F4599" w:rsidRPr="004F4599" w:rsidSect="00880419">
      <w:footerReference w:type="default" r:id="rId11"/>
      <w:pgSz w:w="11906" w:h="16838"/>
      <w:pgMar w:top="2155" w:right="1474" w:bottom="1928"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2A1" w:rsidRDefault="000312A1">
      <w:r>
        <w:separator/>
      </w:r>
    </w:p>
  </w:endnote>
  <w:endnote w:type="continuationSeparator" w:id="0">
    <w:p w:rsidR="000312A1" w:rsidRDefault="0003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金山简标宋">
    <w:altName w:val="宋体"/>
    <w:charset w:val="86"/>
    <w:family w:val="modern"/>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B3" w:rsidRDefault="000312A1">
    <w:pPr>
      <w:pStyle w:val="a5"/>
    </w:pPr>
    <w:r>
      <w:rPr>
        <w:rFonts w:eastAsia="仿宋_GB2312"/>
        <w:szCs w:val="22"/>
      </w:rPr>
      <w:pict>
        <v:rect id="文本框 1" o:spid="_x0000_s2049" style="position:absolute;margin-left:0;margin-top:0;width:2in;height:2in;z-index:251661312;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" filled="f" stroked="f">
          <v:textbox style="mso-fit-shape-to-text:t" inset="0,0,0,0">
            <w:txbxContent>
              <w:p w:rsidR="006074B3" w:rsidRDefault="006074B3">
                <w:pPr>
                  <w:pStyle w:val="a5"/>
                </w:pPr>
                <w:r>
                  <w:fldChar w:fldCharType="begin"/>
                </w:r>
                <w:r>
                  <w:instrText xml:space="preserve"> PAGE  \* MERGEFORMAT </w:instrText>
                </w:r>
                <w:r>
                  <w:fldChar w:fldCharType="separate"/>
                </w:r>
                <w:r w:rsidR="00B16C4D">
                  <w:rPr>
                    <w:noProof/>
                  </w:rPr>
                  <w:t>1</w:t>
                </w:r>
                <w:r>
                  <w:fldChar w:fldCharType="end"/>
                </w:r>
              </w:p>
            </w:txbxContent>
          </v:textbox>
          <w10:wrap anchorx="margin"/>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F9" w:rsidRDefault="00762DC9">
    <w:pPr>
      <w:pStyle w:val="a5"/>
    </w:pPr>
    <w:r>
      <w:rPr>
        <w:noProof/>
      </w:rPr>
      <mc:AlternateContent>
        <mc:Choice Requires="wps">
          <w:drawing>
            <wp:anchor distT="0" distB="0" distL="114300" distR="114300" simplePos="0" relativeHeight="251659264" behindDoc="0" locked="0" layoutInCell="1" allowOverlap="1" wp14:anchorId="38DB3BBC" wp14:editId="4D8F8000">
              <wp:simplePos x="0" y="0"/>
              <wp:positionH relativeFrom="margin">
                <wp:align>center</wp:align>
              </wp:positionH>
              <wp:positionV relativeFrom="paragraph">
                <wp:posOffset>0</wp:posOffset>
              </wp:positionV>
              <wp:extent cx="1828800" cy="1828800"/>
              <wp:effectExtent l="0" t="0" r="16510" b="44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rsidR="00D509F9" w:rsidRPr="000E6FDD" w:rsidRDefault="00D509F9">
                          <w:pPr>
                            <w:pStyle w:val="a5"/>
                            <w:rPr>
                              <w:rFonts w:ascii="仿宋_GB2312" w:eastAsia="仿宋_GB2312"/>
                              <w:szCs w:val="18"/>
                            </w:rPr>
                          </w:pPr>
                          <w:r w:rsidRPr="000E6FDD">
                            <w:rPr>
                              <w:rFonts w:ascii="仿宋_GB2312" w:eastAsia="仿宋_GB2312" w:hint="eastAsia"/>
                              <w:szCs w:val="18"/>
                            </w:rPr>
                            <w:fldChar w:fldCharType="begin"/>
                          </w:r>
                          <w:r w:rsidRPr="000E6FDD">
                            <w:rPr>
                              <w:rFonts w:ascii="仿宋_GB2312" w:eastAsia="仿宋_GB2312" w:hint="eastAsia"/>
                              <w:szCs w:val="18"/>
                            </w:rPr>
                            <w:instrText xml:space="preserve"> PAGE  \* MERGEFORMAT </w:instrText>
                          </w:r>
                          <w:r w:rsidRPr="000E6FDD">
                            <w:rPr>
                              <w:rFonts w:ascii="仿宋_GB2312" w:eastAsia="仿宋_GB2312" w:hint="eastAsia"/>
                              <w:szCs w:val="18"/>
                            </w:rPr>
                            <w:fldChar w:fldCharType="separate"/>
                          </w:r>
                          <w:r w:rsidR="00B16C4D">
                            <w:rPr>
                              <w:rFonts w:ascii="仿宋_GB2312" w:eastAsia="仿宋_GB2312"/>
                              <w:noProof/>
                              <w:szCs w:val="18"/>
                            </w:rPr>
                            <w:t>8</w:t>
                          </w:r>
                          <w:r w:rsidRPr="000E6FDD">
                            <w:rPr>
                              <w:rFonts w:ascii="仿宋_GB2312" w:eastAsia="仿宋_GB2312" w:hint="eastAsia"/>
                              <w:szCs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" filled="f" stroked="f">
              <v:path arrowok="t"/>
              <v:textbox style="mso-fit-shape-to-text:t" inset="0,0,0,0">
                <w:txbxContent>
                  <w:p w:rsidR="00D509F9" w:rsidRPr="000E6FDD" w:rsidRDefault="00D509F9">
                    <w:pPr>
                      <w:pStyle w:val="a5"/>
                      <w:rPr>
                        <w:rFonts w:ascii="仿宋_GB2312" w:eastAsia="仿宋_GB2312"/>
                        <w:szCs w:val="18"/>
                      </w:rPr>
                    </w:pPr>
                    <w:r w:rsidRPr="000E6FDD">
                      <w:rPr>
                        <w:rFonts w:ascii="仿宋_GB2312" w:eastAsia="仿宋_GB2312" w:hint="eastAsia"/>
                        <w:szCs w:val="18"/>
                      </w:rPr>
                      <w:fldChar w:fldCharType="begin"/>
                    </w:r>
                    <w:r w:rsidRPr="000E6FDD">
                      <w:rPr>
                        <w:rFonts w:ascii="仿宋_GB2312" w:eastAsia="仿宋_GB2312" w:hint="eastAsia"/>
                        <w:szCs w:val="18"/>
                      </w:rPr>
                      <w:instrText xml:space="preserve"> PAGE  \* MERGEFORMAT </w:instrText>
                    </w:r>
                    <w:r w:rsidRPr="000E6FDD">
                      <w:rPr>
                        <w:rFonts w:ascii="仿宋_GB2312" w:eastAsia="仿宋_GB2312" w:hint="eastAsia"/>
                        <w:szCs w:val="18"/>
                      </w:rPr>
                      <w:fldChar w:fldCharType="separate"/>
                    </w:r>
                    <w:r w:rsidR="00B16C4D">
                      <w:rPr>
                        <w:rFonts w:ascii="仿宋_GB2312" w:eastAsia="仿宋_GB2312"/>
                        <w:noProof/>
                        <w:szCs w:val="18"/>
                      </w:rPr>
                      <w:t>8</w:t>
                    </w:r>
                    <w:r w:rsidRPr="000E6FDD">
                      <w:rPr>
                        <w:rFonts w:ascii="仿宋_GB2312" w:eastAsia="仿宋_GB2312" w:hint="eastAsia"/>
                        <w:szCs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2A1" w:rsidRDefault="000312A1">
      <w:r>
        <w:separator/>
      </w:r>
    </w:p>
  </w:footnote>
  <w:footnote w:type="continuationSeparator" w:id="0">
    <w:p w:rsidR="000312A1" w:rsidRDefault="00031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F4029"/>
    <w:multiLevelType w:val="multilevel"/>
    <w:tmpl w:val="4FAF4029"/>
    <w:lvl w:ilvl="0">
      <w:start w:val="1"/>
      <w:numFmt w:val="chineseCountingThousand"/>
      <w:pStyle w:val="1"/>
      <w:suff w:val="nothing"/>
      <w:lvlText w:val="%1、"/>
      <w:lvlJc w:val="left"/>
      <w:pPr>
        <w:ind w:left="472" w:firstLine="96"/>
      </w:pPr>
      <w:rPr>
        <w:rFonts w:ascii="黑体" w:eastAsia="黑体" w:hAnsi="黑体" w:cs="黑体" w:hint="eastAsia"/>
        <w:b/>
        <w:bCs/>
        <w:i w:val="0"/>
        <w:iCs w:val="0"/>
        <w:caps w:val="0"/>
        <w:smallCaps w:val="0"/>
        <w:strike w:val="0"/>
        <w:dstrike w:val="0"/>
        <w:vanish w:val="0"/>
        <w:color w:val="000000"/>
        <w:spacing w:val="0"/>
        <w:kern w:val="0"/>
        <w:position w:val="0"/>
        <w:u w:val="none"/>
        <w:vertAlign w:val="baseline"/>
      </w:rPr>
    </w:lvl>
    <w:lvl w:ilvl="1">
      <w:start w:val="1"/>
      <w:numFmt w:val="chineseCountingThousand"/>
      <w:suff w:val="nothing"/>
      <w:lvlText w:val="（%2）"/>
      <w:lvlJc w:val="left"/>
      <w:pPr>
        <w:ind w:left="0" w:firstLine="0"/>
      </w:pPr>
      <w:rPr>
        <w:b w:val="0"/>
        <w:bCs w:val="0"/>
        <w:i w:val="0"/>
        <w:iCs w:val="0"/>
        <w:caps w:val="0"/>
        <w:smallCaps w:val="0"/>
        <w:strike w:val="0"/>
        <w:dstrike w:val="0"/>
        <w:vanish w:val="0"/>
        <w:color w:val="000000"/>
        <w:spacing w:val="0"/>
        <w:kern w:val="0"/>
        <w:position w:val="0"/>
        <w:u w:val="none"/>
        <w:vertAlign w:val="baseline"/>
      </w:rPr>
    </w:lvl>
    <w:lvl w:ilvl="2">
      <w:start w:val="1"/>
      <w:numFmt w:val="decimal"/>
      <w:suff w:val="space"/>
      <w:lvlText w:val="%3."/>
      <w:lvlJc w:val="left"/>
      <w:pPr>
        <w:ind w:left="660" w:firstLine="0"/>
      </w:pPr>
      <w:rPr>
        <w:rFonts w:hint="eastAsia"/>
      </w:rPr>
    </w:lvl>
    <w:lvl w:ilvl="3">
      <w:start w:val="1"/>
      <w:numFmt w:val="decimal"/>
      <w:lvlText w:val="%1.%2.%3.%4"/>
      <w:lvlJc w:val="left"/>
      <w:pPr>
        <w:ind w:left="2541" w:hanging="708"/>
      </w:pPr>
      <w:rPr>
        <w:rFonts w:hint="eastAsia"/>
      </w:rPr>
    </w:lvl>
    <w:lvl w:ilvl="4">
      <w:start w:val="1"/>
      <w:numFmt w:val="decimal"/>
      <w:lvlText w:val="%1.%2.%3.%4.%5"/>
      <w:lvlJc w:val="left"/>
      <w:pPr>
        <w:ind w:left="3108" w:hanging="850"/>
      </w:pPr>
      <w:rPr>
        <w:rFonts w:hint="eastAsia"/>
      </w:rPr>
    </w:lvl>
    <w:lvl w:ilvl="5">
      <w:start w:val="1"/>
      <w:numFmt w:val="decimal"/>
      <w:lvlText w:val="%1.%2.%3.%4.%5.%6"/>
      <w:lvlJc w:val="left"/>
      <w:pPr>
        <w:ind w:left="3817" w:hanging="1134"/>
      </w:pPr>
      <w:rPr>
        <w:rFonts w:hint="eastAsia"/>
      </w:rPr>
    </w:lvl>
    <w:lvl w:ilvl="6">
      <w:start w:val="1"/>
      <w:numFmt w:val="decimal"/>
      <w:lvlText w:val="%1.%2.%3.%4.%5.%6.%7"/>
      <w:lvlJc w:val="left"/>
      <w:pPr>
        <w:ind w:left="4384" w:hanging="1276"/>
      </w:pPr>
      <w:rPr>
        <w:rFonts w:hint="eastAsia"/>
      </w:rPr>
    </w:lvl>
    <w:lvl w:ilvl="7">
      <w:start w:val="1"/>
      <w:numFmt w:val="decimal"/>
      <w:lvlText w:val="%1.%2.%3.%4.%5.%6.%7.%8"/>
      <w:lvlJc w:val="left"/>
      <w:pPr>
        <w:ind w:left="4951" w:hanging="1418"/>
      </w:pPr>
      <w:rPr>
        <w:rFonts w:hint="eastAsia"/>
      </w:rPr>
    </w:lvl>
    <w:lvl w:ilvl="8">
      <w:start w:val="1"/>
      <w:numFmt w:val="decimal"/>
      <w:lvlText w:val="%1.%2.%3.%4.%5.%6.%7.%8.%9"/>
      <w:lvlJc w:val="left"/>
      <w:pPr>
        <w:ind w:left="5659"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ZTYxNDgxNjg0ZDUzNjU0MTMyODg3MjhhZDMxOGMifQ=="/>
  </w:docVars>
  <w:rsids>
    <w:rsidRoot w:val="0034627A"/>
    <w:rsid w:val="000312A1"/>
    <w:rsid w:val="000953B4"/>
    <w:rsid w:val="000B0DB0"/>
    <w:rsid w:val="000B13A8"/>
    <w:rsid w:val="000B760D"/>
    <w:rsid w:val="000E6FDD"/>
    <w:rsid w:val="00142975"/>
    <w:rsid w:val="001456FA"/>
    <w:rsid w:val="00163A66"/>
    <w:rsid w:val="00195574"/>
    <w:rsid w:val="00197671"/>
    <w:rsid w:val="00215416"/>
    <w:rsid w:val="00286D9D"/>
    <w:rsid w:val="002C739F"/>
    <w:rsid w:val="002D4DFD"/>
    <w:rsid w:val="003013A0"/>
    <w:rsid w:val="00343AAA"/>
    <w:rsid w:val="0034627A"/>
    <w:rsid w:val="00346A74"/>
    <w:rsid w:val="003E358C"/>
    <w:rsid w:val="003E69B4"/>
    <w:rsid w:val="003F16AE"/>
    <w:rsid w:val="0047290C"/>
    <w:rsid w:val="004F4599"/>
    <w:rsid w:val="005229E4"/>
    <w:rsid w:val="00577894"/>
    <w:rsid w:val="00592E6C"/>
    <w:rsid w:val="005C3556"/>
    <w:rsid w:val="005F449A"/>
    <w:rsid w:val="006074B3"/>
    <w:rsid w:val="00635199"/>
    <w:rsid w:val="00762DC9"/>
    <w:rsid w:val="007B3666"/>
    <w:rsid w:val="007D1AE2"/>
    <w:rsid w:val="00815AAB"/>
    <w:rsid w:val="008767C0"/>
    <w:rsid w:val="00880419"/>
    <w:rsid w:val="00881B5C"/>
    <w:rsid w:val="008B35EC"/>
    <w:rsid w:val="009605DC"/>
    <w:rsid w:val="00993D61"/>
    <w:rsid w:val="009B5D3B"/>
    <w:rsid w:val="009D58C7"/>
    <w:rsid w:val="009E7FA9"/>
    <w:rsid w:val="00A01977"/>
    <w:rsid w:val="00A04E58"/>
    <w:rsid w:val="00A32B55"/>
    <w:rsid w:val="00A74C2F"/>
    <w:rsid w:val="00AF208A"/>
    <w:rsid w:val="00B02923"/>
    <w:rsid w:val="00B16C4D"/>
    <w:rsid w:val="00B34497"/>
    <w:rsid w:val="00B5076F"/>
    <w:rsid w:val="00B51934"/>
    <w:rsid w:val="00B65AA8"/>
    <w:rsid w:val="00B75BFE"/>
    <w:rsid w:val="00BD61D1"/>
    <w:rsid w:val="00BE72ED"/>
    <w:rsid w:val="00C1676F"/>
    <w:rsid w:val="00CD156C"/>
    <w:rsid w:val="00D41D30"/>
    <w:rsid w:val="00D509F9"/>
    <w:rsid w:val="00D56761"/>
    <w:rsid w:val="00D763F1"/>
    <w:rsid w:val="00D80D58"/>
    <w:rsid w:val="00D976C4"/>
    <w:rsid w:val="00DD42C6"/>
    <w:rsid w:val="00E00AD2"/>
    <w:rsid w:val="00E21DD8"/>
    <w:rsid w:val="00E50F6F"/>
    <w:rsid w:val="00F74663"/>
    <w:rsid w:val="00F86202"/>
    <w:rsid w:val="00F901A9"/>
    <w:rsid w:val="06D44959"/>
    <w:rsid w:val="088A1B31"/>
    <w:rsid w:val="0FA4224E"/>
    <w:rsid w:val="2D667EC4"/>
    <w:rsid w:val="39E8426B"/>
    <w:rsid w:val="40E141B9"/>
    <w:rsid w:val="4BDC6EAE"/>
    <w:rsid w:val="50210095"/>
    <w:rsid w:val="5385394C"/>
    <w:rsid w:val="5B046CCA"/>
    <w:rsid w:val="5F3E40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eastAsia="宋体" w:hAnsi="Calibri" w:cs="Times New Roman"/>
      <w:kern w:val="2"/>
      <w:sz w:val="21"/>
      <w:szCs w:val="24"/>
    </w:rPr>
  </w:style>
  <w:style w:type="paragraph" w:styleId="1">
    <w:name w:val="heading 1"/>
    <w:next w:val="-"/>
    <w:uiPriority w:val="9"/>
    <w:qFormat/>
    <w:pPr>
      <w:keepNext/>
      <w:keepLines/>
      <w:numPr>
        <w:numId w:val="1"/>
      </w:numPr>
      <w:spacing w:beforeLines="50" w:afterLines="50" w:line="580" w:lineRule="exact"/>
      <w:ind w:rightChars="100" w:right="100"/>
      <w:jc w:val="both"/>
      <w:outlineLvl w:val="0"/>
    </w:pPr>
    <w:rPr>
      <w:rFonts w:ascii="Times New Roman" w:eastAsia="黑体" w:hAnsi="Times New Roman" w:cs="Times New Roman"/>
      <w:b/>
      <w:kern w:val="44"/>
      <w:sz w:val="32"/>
      <w:szCs w:val="44"/>
      <w:lang w:val="zh-CN" w:bidi="zh-CN"/>
    </w:rPr>
  </w:style>
  <w:style w:type="paragraph" w:styleId="2">
    <w:name w:val="heading 2"/>
    <w:basedOn w:val="a0"/>
    <w:next w:val="-"/>
    <w:qFormat/>
    <w:pPr>
      <w:keepNext/>
      <w:keepLines/>
      <w:spacing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qFormat/>
  </w:style>
  <w:style w:type="paragraph" w:customStyle="1" w:styleId="-">
    <w:name w:val="正文-文本"/>
    <w:qFormat/>
    <w:pPr>
      <w:spacing w:line="580" w:lineRule="exact"/>
      <w:ind w:firstLineChars="200" w:firstLine="200"/>
      <w:jc w:val="both"/>
    </w:pPr>
    <w:rPr>
      <w:rFonts w:ascii="Times New Roman" w:eastAsia="仿宋_GB2312" w:hAnsi="Times New Roman" w:cs="Times New Roman"/>
      <w:bCs/>
      <w:kern w:val="2"/>
      <w:sz w:val="32"/>
      <w:szCs w:val="32"/>
    </w:rPr>
  </w:style>
  <w:style w:type="paragraph" w:styleId="a0">
    <w:name w:val="Body Text First Indent"/>
    <w:basedOn w:val="a"/>
    <w:qFormat/>
    <w:pPr>
      <w:ind w:firstLineChars="100" w:firstLine="420"/>
    </w:pPr>
  </w:style>
  <w:style w:type="paragraph" w:styleId="a4">
    <w:name w:val="Normal Indent"/>
    <w:basedOn w:val="a"/>
    <w:unhideWhenUsed/>
    <w:qFormat/>
    <w:pPr>
      <w:ind w:firstLineChars="200" w:firstLine="420"/>
    </w:pPr>
  </w:style>
  <w:style w:type="paragraph" w:styleId="a5">
    <w:name w:val="footer"/>
    <w:basedOn w:val="a"/>
    <w:link w:val="Char"/>
    <w:qFormat/>
    <w:pPr>
      <w:tabs>
        <w:tab w:val="center" w:pos="4153"/>
        <w:tab w:val="right" w:pos="8306"/>
      </w:tabs>
      <w:snapToGrid w:val="0"/>
      <w:jc w:val="left"/>
    </w:pPr>
    <w:rPr>
      <w:sz w:val="18"/>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spacing w:before="100" w:beforeAutospacing="1" w:after="100" w:afterAutospacing="1"/>
    </w:pPr>
    <w:rPr>
      <w:rFonts w:ascii="宋体" w:hAnsi="宋体" w:cs="宋体"/>
      <w:sz w:val="24"/>
    </w:rPr>
  </w:style>
  <w:style w:type="paragraph" w:styleId="a8">
    <w:name w:val="Title"/>
    <w:basedOn w:val="a"/>
    <w:next w:val="a"/>
    <w:link w:val="Char1"/>
    <w:qFormat/>
    <w:pPr>
      <w:spacing w:before="240" w:after="60"/>
      <w:jc w:val="center"/>
      <w:outlineLvl w:val="0"/>
    </w:pPr>
    <w:rPr>
      <w:rFonts w:asciiTheme="majorHAnsi" w:hAnsiTheme="majorHAnsi" w:cstheme="majorBidi"/>
      <w:b/>
      <w:bCs/>
      <w:sz w:val="32"/>
      <w:szCs w:val="32"/>
    </w:rPr>
  </w:style>
  <w:style w:type="paragraph" w:customStyle="1" w:styleId="3">
    <w:name w:val="正文3"/>
    <w:basedOn w:val="a"/>
    <w:qFormat/>
    <w:pPr>
      <w:widowControl/>
    </w:pPr>
    <w:rPr>
      <w:rFonts w:cs="Calibri"/>
    </w:rPr>
  </w:style>
  <w:style w:type="character" w:customStyle="1" w:styleId="Char0">
    <w:name w:val="页眉 Char"/>
    <w:basedOn w:val="a1"/>
    <w:link w:val="a6"/>
    <w:rPr>
      <w:rFonts w:ascii="Calibri" w:eastAsia="宋体" w:hAnsi="Calibri" w:cs="Times New Roman"/>
      <w:kern w:val="2"/>
      <w:sz w:val="18"/>
      <w:szCs w:val="18"/>
    </w:rPr>
  </w:style>
  <w:style w:type="character" w:customStyle="1" w:styleId="Char1">
    <w:name w:val="标题 Char"/>
    <w:basedOn w:val="a1"/>
    <w:link w:val="a8"/>
    <w:rPr>
      <w:rFonts w:asciiTheme="majorHAnsi" w:eastAsia="宋体" w:hAnsiTheme="majorHAnsi" w:cstheme="majorBidi"/>
      <w:b/>
      <w:bCs/>
      <w:kern w:val="2"/>
      <w:sz w:val="32"/>
      <w:szCs w:val="32"/>
    </w:rPr>
  </w:style>
  <w:style w:type="paragraph" w:styleId="a9">
    <w:name w:val="Balloon Text"/>
    <w:basedOn w:val="a"/>
    <w:link w:val="Char2"/>
    <w:rsid w:val="00D56761"/>
    <w:rPr>
      <w:sz w:val="18"/>
      <w:szCs w:val="18"/>
    </w:rPr>
  </w:style>
  <w:style w:type="character" w:customStyle="1" w:styleId="Char2">
    <w:name w:val="批注框文本 Char"/>
    <w:basedOn w:val="a1"/>
    <w:link w:val="a9"/>
    <w:rsid w:val="00D56761"/>
    <w:rPr>
      <w:rFonts w:ascii="Calibri" w:eastAsia="宋体" w:hAnsi="Calibri" w:cs="Times New Roman"/>
      <w:kern w:val="2"/>
      <w:sz w:val="18"/>
      <w:szCs w:val="18"/>
    </w:rPr>
  </w:style>
  <w:style w:type="table" w:styleId="aa">
    <w:name w:val="Table Grid"/>
    <w:basedOn w:val="a2"/>
    <w:uiPriority w:val="59"/>
    <w:qFormat/>
    <w:rsid w:val="00286D9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86D9D"/>
    <w:pPr>
      <w:widowControl/>
      <w:jc w:val="left"/>
    </w:pPr>
    <w:rPr>
      <w:rFonts w:ascii="Times New Roman" w:hAnsi="Times New Roman"/>
      <w:kern w:val="0"/>
      <w:sz w:val="32"/>
      <w:szCs w:val="32"/>
    </w:rPr>
  </w:style>
  <w:style w:type="paragraph" w:styleId="ab">
    <w:name w:val="Plain Text"/>
    <w:basedOn w:val="a"/>
    <w:link w:val="Char3"/>
    <w:qFormat/>
    <w:rsid w:val="00286D9D"/>
    <w:rPr>
      <w:rFonts w:ascii="宋体" w:eastAsia="仿宋_GB2312" w:hAnsi="Courier New"/>
      <w:kern w:val="0"/>
      <w:sz w:val="32"/>
    </w:rPr>
  </w:style>
  <w:style w:type="character" w:customStyle="1" w:styleId="Char3">
    <w:name w:val="纯文本 Char"/>
    <w:basedOn w:val="a1"/>
    <w:link w:val="ab"/>
    <w:rsid w:val="00286D9D"/>
    <w:rPr>
      <w:rFonts w:ascii="宋体" w:eastAsia="仿宋_GB2312" w:hAnsi="Courier New" w:cs="Times New Roman"/>
      <w:sz w:val="32"/>
      <w:szCs w:val="24"/>
    </w:rPr>
  </w:style>
  <w:style w:type="paragraph" w:styleId="ac">
    <w:name w:val="Date"/>
    <w:basedOn w:val="a"/>
    <w:next w:val="a"/>
    <w:link w:val="Char4"/>
    <w:rsid w:val="00286D9D"/>
    <w:pPr>
      <w:ind w:leftChars="2500" w:left="100"/>
    </w:pPr>
  </w:style>
  <w:style w:type="character" w:customStyle="1" w:styleId="Char4">
    <w:name w:val="日期 Char"/>
    <w:basedOn w:val="a1"/>
    <w:link w:val="ac"/>
    <w:rsid w:val="00286D9D"/>
    <w:rPr>
      <w:rFonts w:ascii="Calibri" w:eastAsia="宋体" w:hAnsi="Calibri" w:cs="Times New Roman"/>
      <w:kern w:val="2"/>
      <w:sz w:val="21"/>
      <w:szCs w:val="24"/>
    </w:rPr>
  </w:style>
  <w:style w:type="character" w:customStyle="1" w:styleId="Char">
    <w:name w:val="页脚 Char"/>
    <w:basedOn w:val="a1"/>
    <w:link w:val="a5"/>
    <w:uiPriority w:val="99"/>
    <w:qFormat/>
    <w:rsid w:val="00286D9D"/>
    <w:rPr>
      <w:rFonts w:ascii="Calibri" w:eastAsia="宋体" w:hAnsi="Calibri" w:cs="Times New Roman"/>
      <w:kern w:val="2"/>
      <w:sz w:val="18"/>
      <w:szCs w:val="24"/>
    </w:rPr>
  </w:style>
  <w:style w:type="paragraph" w:styleId="ad">
    <w:name w:val="Body Text"/>
    <w:basedOn w:val="a"/>
    <w:link w:val="Char5"/>
    <w:rsid w:val="002C739F"/>
    <w:pPr>
      <w:spacing w:after="120"/>
    </w:pPr>
  </w:style>
  <w:style w:type="character" w:customStyle="1" w:styleId="Char5">
    <w:name w:val="正文文本 Char"/>
    <w:basedOn w:val="a1"/>
    <w:link w:val="ad"/>
    <w:rsid w:val="002C739F"/>
    <w:rPr>
      <w:rFonts w:ascii="Calibri" w:eastAsia="宋体" w:hAnsi="Calibri" w:cs="Times New Roman"/>
      <w:kern w:val="2"/>
      <w:sz w:val="21"/>
      <w:szCs w:val="24"/>
    </w:rPr>
  </w:style>
  <w:style w:type="paragraph" w:customStyle="1" w:styleId="BodyText1I">
    <w:name w:val="BodyText1I"/>
    <w:basedOn w:val="a"/>
    <w:uiPriority w:val="99"/>
    <w:qFormat/>
    <w:rsid w:val="00D41D30"/>
    <w:pPr>
      <w:ind w:firstLineChars="100" w:firstLine="420"/>
    </w:pPr>
    <w:rPr>
      <w:rFonts w:ascii="宋体" w:eastAsia="仿宋" w:hAnsi="宋体"/>
      <w:sz w:val="28"/>
      <w:szCs w:val="28"/>
      <w:lang w:val="zh-CN"/>
    </w:rPr>
  </w:style>
  <w:style w:type="paragraph" w:customStyle="1" w:styleId="11">
    <w:name w:val="列出段落1"/>
    <w:basedOn w:val="a"/>
    <w:uiPriority w:val="34"/>
    <w:qFormat/>
    <w:rsid w:val="00D41D30"/>
    <w:pPr>
      <w:ind w:firstLineChars="200" w:firstLine="420"/>
    </w:pPr>
    <w:rPr>
      <w:rFonts w:asciiTheme="minorHAnsi" w:eastAsiaTheme="minorEastAsia" w:hAnsiTheme="minorHAnsi" w:cstheme="minorBidi"/>
      <w:szCs w:val="22"/>
    </w:rPr>
  </w:style>
  <w:style w:type="table" w:customStyle="1" w:styleId="12">
    <w:name w:val="网格型1"/>
    <w:basedOn w:val="a2"/>
    <w:uiPriority w:val="59"/>
    <w:qFormat/>
    <w:rsid w:val="00D41D30"/>
    <w:rPr>
      <w:rFonts w:ascii="Times New Roman" w:eastAsia="微软雅黑" w:hAnsi="Times New Roman"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eastAsia="宋体" w:hAnsi="Calibri" w:cs="Times New Roman"/>
      <w:kern w:val="2"/>
      <w:sz w:val="21"/>
      <w:szCs w:val="24"/>
    </w:rPr>
  </w:style>
  <w:style w:type="paragraph" w:styleId="1">
    <w:name w:val="heading 1"/>
    <w:next w:val="-"/>
    <w:uiPriority w:val="9"/>
    <w:qFormat/>
    <w:pPr>
      <w:keepNext/>
      <w:keepLines/>
      <w:numPr>
        <w:numId w:val="1"/>
      </w:numPr>
      <w:spacing w:beforeLines="50" w:afterLines="50" w:line="580" w:lineRule="exact"/>
      <w:ind w:rightChars="100" w:right="100"/>
      <w:jc w:val="both"/>
      <w:outlineLvl w:val="0"/>
    </w:pPr>
    <w:rPr>
      <w:rFonts w:ascii="Times New Roman" w:eastAsia="黑体" w:hAnsi="Times New Roman" w:cs="Times New Roman"/>
      <w:b/>
      <w:kern w:val="44"/>
      <w:sz w:val="32"/>
      <w:szCs w:val="44"/>
      <w:lang w:val="zh-CN" w:bidi="zh-CN"/>
    </w:rPr>
  </w:style>
  <w:style w:type="paragraph" w:styleId="2">
    <w:name w:val="heading 2"/>
    <w:basedOn w:val="a0"/>
    <w:next w:val="-"/>
    <w:qFormat/>
    <w:pPr>
      <w:keepNext/>
      <w:keepLines/>
      <w:spacing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qFormat/>
  </w:style>
  <w:style w:type="paragraph" w:customStyle="1" w:styleId="-">
    <w:name w:val="正文-文本"/>
    <w:qFormat/>
    <w:pPr>
      <w:spacing w:line="580" w:lineRule="exact"/>
      <w:ind w:firstLineChars="200" w:firstLine="200"/>
      <w:jc w:val="both"/>
    </w:pPr>
    <w:rPr>
      <w:rFonts w:ascii="Times New Roman" w:eastAsia="仿宋_GB2312" w:hAnsi="Times New Roman" w:cs="Times New Roman"/>
      <w:bCs/>
      <w:kern w:val="2"/>
      <w:sz w:val="32"/>
      <w:szCs w:val="32"/>
    </w:rPr>
  </w:style>
  <w:style w:type="paragraph" w:styleId="a0">
    <w:name w:val="Body Text First Indent"/>
    <w:basedOn w:val="a"/>
    <w:qFormat/>
    <w:pPr>
      <w:ind w:firstLineChars="100" w:firstLine="420"/>
    </w:pPr>
  </w:style>
  <w:style w:type="paragraph" w:styleId="a4">
    <w:name w:val="Normal Indent"/>
    <w:basedOn w:val="a"/>
    <w:unhideWhenUsed/>
    <w:qFormat/>
    <w:pPr>
      <w:ind w:firstLineChars="200" w:firstLine="420"/>
    </w:pPr>
  </w:style>
  <w:style w:type="paragraph" w:styleId="a5">
    <w:name w:val="footer"/>
    <w:basedOn w:val="a"/>
    <w:link w:val="Char"/>
    <w:qFormat/>
    <w:pPr>
      <w:tabs>
        <w:tab w:val="center" w:pos="4153"/>
        <w:tab w:val="right" w:pos="8306"/>
      </w:tabs>
      <w:snapToGrid w:val="0"/>
      <w:jc w:val="left"/>
    </w:pPr>
    <w:rPr>
      <w:sz w:val="18"/>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spacing w:before="100" w:beforeAutospacing="1" w:after="100" w:afterAutospacing="1"/>
    </w:pPr>
    <w:rPr>
      <w:rFonts w:ascii="宋体" w:hAnsi="宋体" w:cs="宋体"/>
      <w:sz w:val="24"/>
    </w:rPr>
  </w:style>
  <w:style w:type="paragraph" w:styleId="a8">
    <w:name w:val="Title"/>
    <w:basedOn w:val="a"/>
    <w:next w:val="a"/>
    <w:link w:val="Char1"/>
    <w:qFormat/>
    <w:pPr>
      <w:spacing w:before="240" w:after="60"/>
      <w:jc w:val="center"/>
      <w:outlineLvl w:val="0"/>
    </w:pPr>
    <w:rPr>
      <w:rFonts w:asciiTheme="majorHAnsi" w:hAnsiTheme="majorHAnsi" w:cstheme="majorBidi"/>
      <w:b/>
      <w:bCs/>
      <w:sz w:val="32"/>
      <w:szCs w:val="32"/>
    </w:rPr>
  </w:style>
  <w:style w:type="paragraph" w:customStyle="1" w:styleId="3">
    <w:name w:val="正文3"/>
    <w:basedOn w:val="a"/>
    <w:qFormat/>
    <w:pPr>
      <w:widowControl/>
    </w:pPr>
    <w:rPr>
      <w:rFonts w:cs="Calibri"/>
    </w:rPr>
  </w:style>
  <w:style w:type="character" w:customStyle="1" w:styleId="Char0">
    <w:name w:val="页眉 Char"/>
    <w:basedOn w:val="a1"/>
    <w:link w:val="a6"/>
    <w:rPr>
      <w:rFonts w:ascii="Calibri" w:eastAsia="宋体" w:hAnsi="Calibri" w:cs="Times New Roman"/>
      <w:kern w:val="2"/>
      <w:sz w:val="18"/>
      <w:szCs w:val="18"/>
    </w:rPr>
  </w:style>
  <w:style w:type="character" w:customStyle="1" w:styleId="Char1">
    <w:name w:val="标题 Char"/>
    <w:basedOn w:val="a1"/>
    <w:link w:val="a8"/>
    <w:rPr>
      <w:rFonts w:asciiTheme="majorHAnsi" w:eastAsia="宋体" w:hAnsiTheme="majorHAnsi" w:cstheme="majorBidi"/>
      <w:b/>
      <w:bCs/>
      <w:kern w:val="2"/>
      <w:sz w:val="32"/>
      <w:szCs w:val="32"/>
    </w:rPr>
  </w:style>
  <w:style w:type="paragraph" w:styleId="a9">
    <w:name w:val="Balloon Text"/>
    <w:basedOn w:val="a"/>
    <w:link w:val="Char2"/>
    <w:rsid w:val="00D56761"/>
    <w:rPr>
      <w:sz w:val="18"/>
      <w:szCs w:val="18"/>
    </w:rPr>
  </w:style>
  <w:style w:type="character" w:customStyle="1" w:styleId="Char2">
    <w:name w:val="批注框文本 Char"/>
    <w:basedOn w:val="a1"/>
    <w:link w:val="a9"/>
    <w:rsid w:val="00D56761"/>
    <w:rPr>
      <w:rFonts w:ascii="Calibri" w:eastAsia="宋体" w:hAnsi="Calibri" w:cs="Times New Roman"/>
      <w:kern w:val="2"/>
      <w:sz w:val="18"/>
      <w:szCs w:val="18"/>
    </w:rPr>
  </w:style>
  <w:style w:type="table" w:styleId="aa">
    <w:name w:val="Table Grid"/>
    <w:basedOn w:val="a2"/>
    <w:uiPriority w:val="59"/>
    <w:qFormat/>
    <w:rsid w:val="00286D9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86D9D"/>
    <w:pPr>
      <w:widowControl/>
      <w:jc w:val="left"/>
    </w:pPr>
    <w:rPr>
      <w:rFonts w:ascii="Times New Roman" w:hAnsi="Times New Roman"/>
      <w:kern w:val="0"/>
      <w:sz w:val="32"/>
      <w:szCs w:val="32"/>
    </w:rPr>
  </w:style>
  <w:style w:type="paragraph" w:styleId="ab">
    <w:name w:val="Plain Text"/>
    <w:basedOn w:val="a"/>
    <w:link w:val="Char3"/>
    <w:qFormat/>
    <w:rsid w:val="00286D9D"/>
    <w:rPr>
      <w:rFonts w:ascii="宋体" w:eastAsia="仿宋_GB2312" w:hAnsi="Courier New"/>
      <w:kern w:val="0"/>
      <w:sz w:val="32"/>
    </w:rPr>
  </w:style>
  <w:style w:type="character" w:customStyle="1" w:styleId="Char3">
    <w:name w:val="纯文本 Char"/>
    <w:basedOn w:val="a1"/>
    <w:link w:val="ab"/>
    <w:rsid w:val="00286D9D"/>
    <w:rPr>
      <w:rFonts w:ascii="宋体" w:eastAsia="仿宋_GB2312" w:hAnsi="Courier New" w:cs="Times New Roman"/>
      <w:sz w:val="32"/>
      <w:szCs w:val="24"/>
    </w:rPr>
  </w:style>
  <w:style w:type="paragraph" w:styleId="ac">
    <w:name w:val="Date"/>
    <w:basedOn w:val="a"/>
    <w:next w:val="a"/>
    <w:link w:val="Char4"/>
    <w:rsid w:val="00286D9D"/>
    <w:pPr>
      <w:ind w:leftChars="2500" w:left="100"/>
    </w:pPr>
  </w:style>
  <w:style w:type="character" w:customStyle="1" w:styleId="Char4">
    <w:name w:val="日期 Char"/>
    <w:basedOn w:val="a1"/>
    <w:link w:val="ac"/>
    <w:rsid w:val="00286D9D"/>
    <w:rPr>
      <w:rFonts w:ascii="Calibri" w:eastAsia="宋体" w:hAnsi="Calibri" w:cs="Times New Roman"/>
      <w:kern w:val="2"/>
      <w:sz w:val="21"/>
      <w:szCs w:val="24"/>
    </w:rPr>
  </w:style>
  <w:style w:type="character" w:customStyle="1" w:styleId="Char">
    <w:name w:val="页脚 Char"/>
    <w:basedOn w:val="a1"/>
    <w:link w:val="a5"/>
    <w:uiPriority w:val="99"/>
    <w:qFormat/>
    <w:rsid w:val="00286D9D"/>
    <w:rPr>
      <w:rFonts w:ascii="Calibri" w:eastAsia="宋体" w:hAnsi="Calibri" w:cs="Times New Roman"/>
      <w:kern w:val="2"/>
      <w:sz w:val="18"/>
      <w:szCs w:val="24"/>
    </w:rPr>
  </w:style>
  <w:style w:type="paragraph" w:styleId="ad">
    <w:name w:val="Body Text"/>
    <w:basedOn w:val="a"/>
    <w:link w:val="Char5"/>
    <w:rsid w:val="002C739F"/>
    <w:pPr>
      <w:spacing w:after="120"/>
    </w:pPr>
  </w:style>
  <w:style w:type="character" w:customStyle="1" w:styleId="Char5">
    <w:name w:val="正文文本 Char"/>
    <w:basedOn w:val="a1"/>
    <w:link w:val="ad"/>
    <w:rsid w:val="002C739F"/>
    <w:rPr>
      <w:rFonts w:ascii="Calibri" w:eastAsia="宋体" w:hAnsi="Calibri" w:cs="Times New Roman"/>
      <w:kern w:val="2"/>
      <w:sz w:val="21"/>
      <w:szCs w:val="24"/>
    </w:rPr>
  </w:style>
  <w:style w:type="paragraph" w:customStyle="1" w:styleId="BodyText1I">
    <w:name w:val="BodyText1I"/>
    <w:basedOn w:val="a"/>
    <w:uiPriority w:val="99"/>
    <w:qFormat/>
    <w:rsid w:val="00D41D30"/>
    <w:pPr>
      <w:ind w:firstLineChars="100" w:firstLine="420"/>
    </w:pPr>
    <w:rPr>
      <w:rFonts w:ascii="宋体" w:eastAsia="仿宋" w:hAnsi="宋体"/>
      <w:sz w:val="28"/>
      <w:szCs w:val="28"/>
      <w:lang w:val="zh-CN"/>
    </w:rPr>
  </w:style>
  <w:style w:type="paragraph" w:customStyle="1" w:styleId="11">
    <w:name w:val="列出段落1"/>
    <w:basedOn w:val="a"/>
    <w:uiPriority w:val="34"/>
    <w:qFormat/>
    <w:rsid w:val="00D41D30"/>
    <w:pPr>
      <w:ind w:firstLineChars="200" w:firstLine="420"/>
    </w:pPr>
    <w:rPr>
      <w:rFonts w:asciiTheme="minorHAnsi" w:eastAsiaTheme="minorEastAsia" w:hAnsiTheme="minorHAnsi" w:cstheme="minorBidi"/>
      <w:szCs w:val="22"/>
    </w:rPr>
  </w:style>
  <w:style w:type="table" w:customStyle="1" w:styleId="12">
    <w:name w:val="网格型1"/>
    <w:basedOn w:val="a2"/>
    <w:uiPriority w:val="59"/>
    <w:qFormat/>
    <w:rsid w:val="00D41D30"/>
    <w:rPr>
      <w:rFonts w:ascii="Times New Roman" w:eastAsia="微软雅黑" w:hAnsi="Times New Roman"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144CE-9C8E-4F1F-A185-A58B6A6D5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650</Words>
  <Characters>3708</Characters>
  <Application>Microsoft Office Word</Application>
  <DocSecurity>0</DocSecurity>
  <Lines>30</Lines>
  <Paragraphs>8</Paragraphs>
  <ScaleCrop>false</ScaleCrop>
  <Company>Microsoft</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10</cp:revision>
  <cp:lastPrinted>2023-05-06T07:37:00Z</cp:lastPrinted>
  <dcterms:created xsi:type="dcterms:W3CDTF">2023-05-06T01:20:00Z</dcterms:created>
  <dcterms:modified xsi:type="dcterms:W3CDTF">2023-05-06T07:38:00Z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08223F658A2E4885A5F542FDEFC3AF2F</vt:lpwstr>
  </property>
</Properties>
</file>