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textAlignment w:val="center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20</w:t>
      </w:r>
      <w:r>
        <w:rPr>
          <w:rFonts w:hint="default" w:ascii="华文中宋" w:hAnsi="华文中宋" w:eastAsia="华文中宋" w:cs="华文中宋"/>
          <w:kern w:val="2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2年度长兴县</w:t>
      </w:r>
      <w:r>
        <w:rPr>
          <w:rFonts w:hint="default" w:ascii="华文中宋" w:hAnsi="华文中宋" w:eastAsia="华文中宋" w:cs="华文中宋"/>
          <w:kern w:val="2"/>
          <w:sz w:val="36"/>
          <w:szCs w:val="36"/>
          <w:lang w:val="en-US" w:eastAsia="zh-CN"/>
        </w:rPr>
        <w:t>文化产业发展专项资金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拟兑现情况</w:t>
      </w:r>
    </w:p>
    <w:p>
      <w:pPr>
        <w:widowControl/>
        <w:spacing w:line="500" w:lineRule="exact"/>
        <w:jc w:val="center"/>
        <w:textAlignment w:val="center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</w:pPr>
    </w:p>
    <w:p>
      <w:pPr>
        <w:widowControl/>
        <w:spacing w:line="500" w:lineRule="exact"/>
        <w:ind w:firstLine="640" w:firstLineChars="200"/>
        <w:jc w:val="left"/>
        <w:textAlignment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推动县域文化产业发展，发挥文化产业发展专项资金的导向作用，根据《长兴县人民政府关于加快文化产业发展的若干政策意见（试行）》（长政发〔2022〕26号）文件精神和企业申报情况，经审核同意后，现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兑现资金方案公示如下。公示期限：2023年4月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日至4月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日（5个工作日）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，联系电话：6040572。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中共长兴县委宣传部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2023年4月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日</w:t>
      </w:r>
    </w:p>
    <w:p>
      <w:pPr>
        <w:widowControl/>
        <w:spacing w:line="500" w:lineRule="exact"/>
        <w:jc w:val="center"/>
        <w:textAlignment w:val="center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</w:pPr>
    </w:p>
    <w:p>
      <w:pPr>
        <w:widowControl/>
        <w:spacing w:line="500" w:lineRule="exact"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24"/>
          <w:lang w:bidi="ar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20</w:t>
      </w:r>
      <w:r>
        <w:rPr>
          <w:rFonts w:hint="default" w:ascii="华文中宋" w:hAnsi="华文中宋" w:eastAsia="华文中宋" w:cs="华文中宋"/>
          <w:kern w:val="2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2年度长兴县</w:t>
      </w:r>
      <w:r>
        <w:rPr>
          <w:rFonts w:hint="default" w:ascii="华文中宋" w:hAnsi="华文中宋" w:eastAsia="华文中宋" w:cs="华文中宋"/>
          <w:kern w:val="2"/>
          <w:sz w:val="36"/>
          <w:szCs w:val="36"/>
          <w:lang w:val="en-US" w:eastAsia="zh-CN"/>
        </w:rPr>
        <w:t>文化产业发展专项资金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拟兑现公示表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 w:bidi="ar"/>
        </w:rPr>
        <w:t xml:space="preserve">                  (</w:t>
      </w: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单位：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 w:bidi="ar"/>
        </w:rPr>
        <w:t>万</w:t>
      </w: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元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 w:bidi="ar"/>
        </w:rPr>
        <w:t>)</w:t>
      </w:r>
    </w:p>
    <w:tbl>
      <w:tblPr>
        <w:tblStyle w:val="8"/>
        <w:tblW w:w="15055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4066"/>
        <w:gridCol w:w="1292"/>
        <w:gridCol w:w="1245"/>
        <w:gridCol w:w="2332"/>
        <w:gridCol w:w="819"/>
        <w:gridCol w:w="788"/>
        <w:gridCol w:w="803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 w:bidi="ar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eastAsia="文鼎CS仿宋体"/>
                <w:lang w:eastAsia="zh-CN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4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 w:bidi="ar"/>
              </w:rPr>
              <w:t>工作室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 w:bidi="ar"/>
              </w:rPr>
              <w:t>项目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 w:bidi="ar"/>
              </w:rPr>
              <w:t>文化产业园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4"/>
                <w:lang w:val="en-US" w:eastAsia="zh-CN" w:bidi="ar"/>
              </w:rPr>
              <w:t>)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社会信用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统一代码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对应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政策条款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申报事项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简述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审核金额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兑现金额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长兴文化旅游发展集团有限公司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91330522680737208E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浙江宸泰精密科技有限公司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91330522MA2JL40Y1H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长兴四月天生态农业旅游开发有限公司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</w:rPr>
              <w:t>91330522MA2B6EQY50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长兴县小浦镇八都岕经济联合总社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N2330522MF0271497Y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长兴太湖图影旅游度假区小沉渎村股份经济合作社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N2330522MF26104216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浙江长兴豪布思纺织有限公司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91330522307313183k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浙江兄弟路标涂料有限公司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91330522147174208J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浙江省长兴县新华陶器有限公司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91330522147137458R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浙江元森态木塑科技股份有限公司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91330522552862776C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长兴理光包装印刷股份有限公司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91330522691289770R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按要求开工建设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长兴理光包装印刷股份有限公司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91330522691289770R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数字文化产业项目按实际投入奖励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40.73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经审核，数字文化技改项目2022年生产设备投入3394513.29万元，按12%进行奖励补助。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浙江新恒绿创文化发展有限公司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91330522MA2B7X2W3Y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第2条</w:t>
            </w:r>
          </w:p>
        </w:tc>
        <w:tc>
          <w:tcPr>
            <w:tcW w:w="23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文化服务业项目实际投入奖励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经审核，该项目2022年实际投入1495.5万元，按照实际投入1000万元以上奖励30万元补助。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0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长兴县泗安镇罗家地村股份经济合作社</w:t>
            </w:r>
          </w:p>
        </w:tc>
        <w:tc>
          <w:tcPr>
            <w:tcW w:w="12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N2330522695250988Y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第3条</w:t>
            </w:r>
          </w:p>
        </w:tc>
        <w:tc>
          <w:tcPr>
            <w:tcW w:w="23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利用闲置资源创建文化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产业街区</w:t>
            </w:r>
          </w:p>
        </w:tc>
        <w:tc>
          <w:tcPr>
            <w:tcW w:w="8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7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31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经审核，罗家地村文化艺术产业街区为县级文化产业街区，利用闲置资源打造街区约8600平方米，落户文化企业、文化工作室22家。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长兴太湖龙之梦乐园投资管理有限公司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91330522MA29JN5W90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第3条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湖州市第四批文化产业园区（基地）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《关于公布湖州市第五批成长型文化企业和第四批文化产业园区（基地）的通知》（湖市宣〔2022〕6号）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浙江金瑞泰新材料有限公司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91330522MA2D1DQY7D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首次转成规上（限上）文化企业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县统计入库，经审核，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2021年11月升规，未享受2021年政策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湖州新流文化传媒有限公司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91330502MA2B4MT23C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首次转成规上（限上）文化企业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县统计入库，经审核，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2021年底吴兴移库至长兴，未享受2021年政策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长兴鑫隆珠宝有限公司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91330522MA2B3BJY64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首次转成规上（限上）文化企业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县统计入库，经审核，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享受2021年度商务局下转上政策资金3万元，补差2万元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湖州新流文化传媒有限公司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91330502MA2B4MT23C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县统计局数据，全年增速342.71%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浙江金瑞泰新材料有限公司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 xml:space="preserve"> 91330522MA2D1DQY7D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县统计局数据，全年增速334.04%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浙江佰适家具有限公司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91330522MA2JJYME9D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县统计局数据，全年增速174.38%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长兴太湖龙之梦嬉水世界文化旅游开发有限公司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91330522MA28CET734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县统计局数据，全年增速84.90%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浙江百叶龙文化发展股份有限公司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91330522785695112Y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县统计局数据，全年增速58.90%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浙江省长兴丝绸有限公司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91330522704463687G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县统计局数据，全年增速31.02%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湖州市长兴隆昌丝绸有限公司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913305221471663395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县统计局数据，全年增速21.55%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长兴太湖龙之梦演艺城文化旅游开发有限公司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91330522MA28C1PQ86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按照全年产值或营收增速给予“发展贡献奖”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县统计局数据，全年增速15.12%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长兴太湖龙之梦演艺城文化旅游开发有限公司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91330522MA28C1PQ86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首次获评县级服务业重点企业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《关于公布 2022 年度振兴实体经济和科技人才工作成绩显著单位的通知》（长委发〔2023〕5 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湖州龙创文化发展有限公司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91330522MA2JKJAH1A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首次获评县级服务业重点企业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《关于公布 2022 年度振兴实体经济和科技人才工作成绩显著单位的通知》（长委发〔2023〕5 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湖州新流文化传媒有限公司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91330502MA2B4MT23C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首次获评县级服务业重点企业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《关于公布 2022 年度振兴实体经济和科技人才工作成绩显著单位的通知》（长委发〔2023〕5 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长兴杏福文化旅游发展有限公司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91330522MA2B6D5E5C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第5条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举办有一定规模和影响力的文化活动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32.7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5.74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经审核，举办银杏节暨第七届文化产业招商推介会活动费用31.4376万元，按实际投入的30%奖励（9.43万元），因享受2022年度旅游业发展专项政策3.69万，补差享受5.74万元。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浙江百叶龙文化发展股份有限公司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91330522785695112Y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《关于做好参加2022嘉兴文化产业博览会的通知》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长兴大唐贡茶院文化发展股份有限公司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91330522677231126M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《关于做好参加2022嘉兴文化产业博览会的通知》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埃尔芬特（浙江）文化发展有限责任公司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91330522MA2D5HRY6U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《关于做好参加2022嘉兴文化产业博览会的通知》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长兴南窑文化发展有限公司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91330522MA2D4QFW2F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《关于做好参加2022·海丝之路文化和旅游博览会的通知》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浙江佰适家具有限公司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91330522MA2JJYME9D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《关于做好参加2022·海丝之路文化和旅游博览会的通知》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湖州龙创文化有限公司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91330522MA2JKJAH1A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浙江佰适家具有限公司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91330522MA2JJYME9D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埃尔芬特（浙江）文化发展有限责任公司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  <w:t>91330522MA2D5HRY6U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浙江百叶龙文化发展股份有限公司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91330522785695112Y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浙江中帛服饰有限公司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9133052256818499X4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浙江长兴浙礼文化传播有限公司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91330522MA2D4HK91W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长兴壶悦居文化艺术传播有限责任公司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91330522MA2D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5TXGXC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浙江省长兴县新华陶器有限公司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91330522147137458R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第8条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统一参加各级文化产业展览活动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《2022年湖州市文博会长兴展区展出方案》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680" w:right="850" w:bottom="680" w:left="850" w:header="851" w:footer="992" w:gutter="0"/>
      <w:pgNumType w:fmt="decimal"/>
      <w:cols w:space="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仿宋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hell Dlg">
    <w:altName w:val="汉仪君黑-35简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仿宋_GB2312"/>
        <w:sz w:val="18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仿宋_GB2312" w:eastAsia="仿宋_GB23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BqCXevgEAAFwDAAAOAAAA&#10;ZHJzL2Uyb0RvYy54bWytU0tu2zAQ3RfIHQjua8kO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BBqCXe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Style w:val="11"/>
                        <w:rFonts w:hint="eastAsia"/>
                        <w:sz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仿宋_GB2312" w:eastAsia="仿宋_GB2312"/>
                        <w:sz w:val="28"/>
                      </w:rPr>
                      <w:t xml:space="preserve"> </w:t>
                    </w:r>
                    <w:r>
                      <w:rPr>
                        <w:rStyle w:val="11"/>
                        <w:rFonts w:hint="eastAsia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5951220</wp:posOffset>
              </wp:positionH>
              <wp:positionV relativeFrom="paragraph">
                <wp:posOffset>78740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8.6pt;margin-top:6.2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4QIUS9kAAAALAQAADwAAAAAAAAABACAA&#10;AAA4AAAAZHJzL2Rvd25yZXYueG1sUEsBAhQAFAAAAAgAh07iQL359729AQAAXAMAAA4AAAAAAAAA&#10;AQAgAAAAPg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2911"/>
        <w:tab w:val="center" w:pos="4482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210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mM5NTNkNGFiMTk2NDczZTU0ZmU4YzllM2NmNjYifQ=="/>
  </w:docVars>
  <w:rsids>
    <w:rsidRoot w:val="3D23696E"/>
    <w:rsid w:val="02CF596C"/>
    <w:rsid w:val="06AB3C71"/>
    <w:rsid w:val="0D6EC18E"/>
    <w:rsid w:val="151C2D05"/>
    <w:rsid w:val="1774444B"/>
    <w:rsid w:val="17DD629B"/>
    <w:rsid w:val="1E0D52B1"/>
    <w:rsid w:val="1F6BBA52"/>
    <w:rsid w:val="1FFD3F1D"/>
    <w:rsid w:val="282D63DE"/>
    <w:rsid w:val="35FCC1FA"/>
    <w:rsid w:val="377FAFC7"/>
    <w:rsid w:val="39EF40A1"/>
    <w:rsid w:val="3D23696E"/>
    <w:rsid w:val="3F857613"/>
    <w:rsid w:val="3FEF130E"/>
    <w:rsid w:val="3FFFBAAD"/>
    <w:rsid w:val="467E0F6C"/>
    <w:rsid w:val="46BE4DFC"/>
    <w:rsid w:val="4C02745B"/>
    <w:rsid w:val="5A2EB99D"/>
    <w:rsid w:val="5C0E47B0"/>
    <w:rsid w:val="5CFFFF59"/>
    <w:rsid w:val="5EFD76BA"/>
    <w:rsid w:val="5F7D105F"/>
    <w:rsid w:val="5FC6F318"/>
    <w:rsid w:val="60FBF23D"/>
    <w:rsid w:val="67ABD645"/>
    <w:rsid w:val="67DBAE3A"/>
    <w:rsid w:val="6AC908A9"/>
    <w:rsid w:val="6AF72CBB"/>
    <w:rsid w:val="6D1256AA"/>
    <w:rsid w:val="71FDB109"/>
    <w:rsid w:val="754EECAA"/>
    <w:rsid w:val="767F02D3"/>
    <w:rsid w:val="77FF28AA"/>
    <w:rsid w:val="79BA64BE"/>
    <w:rsid w:val="79FBB8DA"/>
    <w:rsid w:val="7BDAE03C"/>
    <w:rsid w:val="7D9F5405"/>
    <w:rsid w:val="7DAFC965"/>
    <w:rsid w:val="7DF904F6"/>
    <w:rsid w:val="7DFDAA2A"/>
    <w:rsid w:val="7F2ED415"/>
    <w:rsid w:val="7F6F13B5"/>
    <w:rsid w:val="7FFAB9F8"/>
    <w:rsid w:val="8EEB5E7A"/>
    <w:rsid w:val="8EEC9DAE"/>
    <w:rsid w:val="8FFDD8D5"/>
    <w:rsid w:val="AF1AC231"/>
    <w:rsid w:val="B7D919A5"/>
    <w:rsid w:val="B7FB60B3"/>
    <w:rsid w:val="BF3997C7"/>
    <w:rsid w:val="BF3FA905"/>
    <w:rsid w:val="BFB9702D"/>
    <w:rsid w:val="BFDFE5AC"/>
    <w:rsid w:val="BFEB096D"/>
    <w:rsid w:val="CF27B759"/>
    <w:rsid w:val="DA9C7932"/>
    <w:rsid w:val="DBB73A05"/>
    <w:rsid w:val="DBE778C0"/>
    <w:rsid w:val="DCBEEB7A"/>
    <w:rsid w:val="DFFD35C0"/>
    <w:rsid w:val="E36F807C"/>
    <w:rsid w:val="E7ACA60F"/>
    <w:rsid w:val="EBAF74E1"/>
    <w:rsid w:val="EDF713F5"/>
    <w:rsid w:val="EEA3C3E7"/>
    <w:rsid w:val="EEFFF413"/>
    <w:rsid w:val="EFFFADED"/>
    <w:rsid w:val="F7FE70B0"/>
    <w:rsid w:val="F8DF2ECE"/>
    <w:rsid w:val="FB6F8921"/>
    <w:rsid w:val="FFBF599A"/>
    <w:rsid w:val="FFE7611A"/>
    <w:rsid w:val="FFEEB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napToGrid w:val="0"/>
      <w:spacing w:line="312" w:lineRule="auto"/>
      <w:jc w:val="both"/>
      <w:outlineLvl w:val="9"/>
    </w:pPr>
    <w:rPr>
      <w:rFonts w:ascii="Times New Roman" w:hAnsi="Times New Roman" w:eastAsia="仿宋_GB2312" w:cs="Times New Roman"/>
      <w:kern w:val="2"/>
      <w:sz w:val="30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00"/>
    </w:pPr>
    <w:rPr>
      <w:rFonts w:ascii="仿宋_GB2312"/>
      <w:b/>
      <w:bCs/>
    </w:rPr>
  </w:style>
  <w:style w:type="paragraph" w:styleId="4">
    <w:name w:val="Normal Indent"/>
    <w:basedOn w:val="1"/>
    <w:qFormat/>
    <w:uiPriority w:val="0"/>
    <w:pPr>
      <w:widowControl w:val="0"/>
      <w:ind w:firstLine="680"/>
      <w:jc w:val="both"/>
    </w:pPr>
    <w:rPr>
      <w:rFonts w:ascii="Calibri" w:hAnsi="Calibri" w:eastAsia="文鼎CS仿宋体" w:cs="Calibri"/>
      <w:kern w:val="2"/>
      <w:sz w:val="30"/>
      <w:szCs w:val="30"/>
      <w:lang w:val="en-US" w:eastAsia="zh-CN" w:bidi="ar-SA"/>
    </w:rPr>
  </w:style>
  <w:style w:type="paragraph" w:styleId="5">
    <w:name w:val="Body Text"/>
    <w:basedOn w:val="1"/>
    <w:qFormat/>
    <w:uiPriority w:val="0"/>
    <w:pPr>
      <w:tabs>
        <w:tab w:val="left" w:pos="2250"/>
      </w:tabs>
      <w:jc w:val="center"/>
    </w:pPr>
    <w:rPr>
      <w:color w:val="000000"/>
      <w:sz w:val="1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rFonts w:ascii="Times New Roman" w:hAnsi="Times New Roman"/>
      <w:snapToGrid/>
      <w:sz w:val="24"/>
      <w:szCs w:val="20"/>
      <w:lang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Shell Dlg" w:hAnsi="MS Shell Dlg" w:eastAsia="宋体" w:cs="MS Shell Dlg"/>
      <w:snapToGrid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/>
      <w:sz w:val="24"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1 Char Char Char"/>
    <w:basedOn w:val="1"/>
    <w:qFormat/>
    <w:uiPriority w:val="0"/>
  </w:style>
  <w:style w:type="character" w:customStyle="1" w:styleId="14">
    <w:name w:val="页眉或页脚 + Batang"/>
    <w:basedOn w:val="10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9"/>
      <w:szCs w:val="29"/>
      <w:u w:val="none"/>
      <w:lang w:val="zh-CN"/>
    </w:rPr>
  </w:style>
  <w:style w:type="character" w:customStyle="1" w:styleId="15">
    <w:name w:val="font01"/>
    <w:basedOn w:val="10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3319</Words>
  <Characters>3488</Characters>
  <Lines>0</Lines>
  <Paragraphs>0</Paragraphs>
  <TotalTime>9</TotalTime>
  <ScaleCrop>false</ScaleCrop>
  <LinksUpToDate>false</LinksUpToDate>
  <CharactersWithSpaces>3925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2022-08-17T00:17:00Z</dcterms:created>
  <dc:creator>   </dc:creator>
  <cp:lastModifiedBy>huzhou</cp:lastModifiedBy>
  <cp:lastPrinted>2023-04-25T07:10:00Z</cp:lastPrinted>
  <dcterms:modified xsi:type="dcterms:W3CDTF">2023-04-24T19:32:45Z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49D523E9BF604D8099D13BBC1D3A664F</vt:lpwstr>
  </property>
</Properties>
</file>