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9"/>
          <w:rFonts w:asciiTheme="minorEastAsia" w:hAnsiTheme="minorEastAsia" w:eastAsiaTheme="minorEastAsia"/>
          <w:color w:val="000000"/>
          <w:sz w:val="28"/>
          <w:szCs w:val="28"/>
        </w:rPr>
      </w:pPr>
    </w:p>
    <w:p>
      <w:pPr>
        <w:jc w:val="center"/>
        <w:rPr>
          <w:rStyle w:val="9"/>
          <w:rFonts w:ascii="方正小标宋简体" w:eastAsia="方正小标宋简体"/>
          <w:bCs w:val="0"/>
          <w:color w:val="000000"/>
          <w:sz w:val="36"/>
          <w:szCs w:val="36"/>
        </w:rPr>
      </w:pPr>
      <w:r>
        <w:rPr>
          <w:rStyle w:val="9"/>
          <w:rFonts w:hint="eastAsia" w:ascii="仿宋_GB2312" w:eastAsia="仿宋_GB2312"/>
          <w:color w:val="000000"/>
          <w:sz w:val="36"/>
          <w:szCs w:val="36"/>
        </w:rPr>
        <w:t>浙江省科学技术奖公示信息表</w:t>
      </w:r>
    </w:p>
    <w:p>
      <w:pPr>
        <w:spacing w:line="440" w:lineRule="exact"/>
        <w:rPr>
          <w:rFonts w:ascii="仿宋_GB2312" w:hAnsi="仿宋" w:eastAsia="仿宋_GB2312" w:cs="仿宋"/>
          <w:color w:val="000000" w:themeColor="text1"/>
          <w:sz w:val="28"/>
          <w:szCs w:val="24"/>
        </w:rPr>
      </w:pPr>
      <w:r>
        <w:rPr>
          <w:rFonts w:hint="eastAsia" w:ascii="仿宋_GB2312" w:hAnsi="仿宋" w:eastAsia="仿宋_GB2312" w:cs="仿宋"/>
          <w:color w:val="000000" w:themeColor="text1"/>
          <w:sz w:val="28"/>
          <w:szCs w:val="24"/>
        </w:rPr>
        <w:t>提名奖项：科学技术进步奖</w:t>
      </w:r>
    </w:p>
    <w:tbl>
      <w:tblPr>
        <w:tblStyle w:val="5"/>
        <w:tblW w:w="878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2269" w:type="dxa"/>
            <w:vAlign w:val="center"/>
          </w:tcPr>
          <w:p>
            <w:pPr>
              <w:spacing w:after="0"/>
              <w:jc w:val="center"/>
              <w:rPr>
                <w:rStyle w:val="9"/>
                <w:rFonts w:ascii="仿宋_GB2312" w:hAnsi="仿宋" w:eastAsia="仿宋_GB2312" w:cs="仿宋"/>
                <w:b w:val="0"/>
                <w:color w:val="000000" w:themeColor="text1"/>
                <w:sz w:val="28"/>
              </w:rPr>
            </w:pPr>
            <w:r>
              <w:rPr>
                <w:rStyle w:val="9"/>
                <w:rFonts w:hint="eastAsia" w:ascii="仿宋_GB2312" w:hAnsi="仿宋" w:eastAsia="仿宋_GB2312" w:cs="仿宋"/>
                <w:b w:val="0"/>
                <w:color w:val="000000" w:themeColor="text1"/>
                <w:sz w:val="28"/>
              </w:rPr>
              <w:t>成果名称</w:t>
            </w:r>
          </w:p>
        </w:tc>
        <w:tc>
          <w:tcPr>
            <w:tcW w:w="6520" w:type="dxa"/>
            <w:vAlign w:val="center"/>
          </w:tcPr>
          <w:p>
            <w:pPr>
              <w:spacing w:after="0"/>
              <w:jc w:val="center"/>
              <w:rPr>
                <w:rFonts w:eastAsia="仿宋_GB2312"/>
                <w:color w:val="000000" w:themeColor="text1"/>
                <w:sz w:val="24"/>
                <w:szCs w:val="24"/>
              </w:rPr>
            </w:pPr>
            <w:bookmarkStart w:id="0" w:name="_GoBack"/>
            <w:r>
              <w:rPr>
                <w:rFonts w:hint="eastAsia" w:eastAsia="仿宋_GB2312"/>
                <w:color w:val="000000" w:themeColor="text1"/>
                <w:sz w:val="24"/>
                <w:szCs w:val="24"/>
              </w:rPr>
              <w:t>基于多形态纳米碳联用石墨烯电池的关键技术</w:t>
            </w:r>
          </w:p>
          <w:p>
            <w:pPr>
              <w:spacing w:after="0"/>
              <w:jc w:val="center"/>
              <w:rPr>
                <w:rStyle w:val="9"/>
                <w:rFonts w:ascii="仿宋_GB2312" w:hAnsi="仿宋" w:eastAsia="仿宋_GB2312" w:cs="仿宋"/>
                <w:b w:val="0"/>
                <w:color w:val="000000" w:themeColor="text1"/>
                <w:sz w:val="28"/>
              </w:rPr>
            </w:pPr>
            <w:r>
              <w:rPr>
                <w:rFonts w:hint="eastAsia" w:eastAsia="仿宋_GB2312"/>
                <w:color w:val="000000" w:themeColor="text1"/>
                <w:sz w:val="24"/>
                <w:szCs w:val="24"/>
              </w:rPr>
              <w:t>研发及产业化</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2269" w:type="dxa"/>
            <w:vAlign w:val="center"/>
          </w:tcPr>
          <w:p>
            <w:pPr>
              <w:spacing w:after="0"/>
              <w:jc w:val="center"/>
              <w:rPr>
                <w:rStyle w:val="9"/>
                <w:rFonts w:ascii="仿宋_GB2312" w:hAnsi="仿宋" w:eastAsia="仿宋_GB2312" w:cs="仿宋"/>
                <w:b w:val="0"/>
                <w:color w:val="000000" w:themeColor="text1"/>
                <w:sz w:val="28"/>
              </w:rPr>
            </w:pPr>
            <w:r>
              <w:rPr>
                <w:rStyle w:val="9"/>
                <w:rFonts w:hint="eastAsia" w:ascii="仿宋_GB2312" w:hAnsi="仿宋" w:eastAsia="仿宋_GB2312" w:cs="仿宋"/>
                <w:b w:val="0"/>
                <w:color w:val="000000" w:themeColor="text1"/>
                <w:sz w:val="28"/>
              </w:rPr>
              <w:t>提名等级</w:t>
            </w:r>
          </w:p>
        </w:tc>
        <w:tc>
          <w:tcPr>
            <w:tcW w:w="6520" w:type="dxa"/>
            <w:vAlign w:val="center"/>
          </w:tcPr>
          <w:p>
            <w:pPr>
              <w:spacing w:after="0"/>
              <w:jc w:val="center"/>
              <w:rPr>
                <w:rStyle w:val="9"/>
                <w:rFonts w:ascii="仿宋_GB2312" w:hAnsi="仿宋" w:eastAsia="仿宋_GB2312" w:cs="仿宋"/>
                <w:b w:val="0"/>
                <w:color w:val="000000" w:themeColor="text1"/>
                <w:sz w:val="28"/>
              </w:rPr>
            </w:pPr>
            <w:r>
              <w:rPr>
                <w:rStyle w:val="9"/>
                <w:rFonts w:hint="eastAsia" w:ascii="仿宋_GB2312" w:hAnsi="仿宋" w:eastAsia="仿宋_GB2312" w:cs="仿宋"/>
                <w:b w:val="0"/>
                <w:color w:val="000000" w:themeColor="text1"/>
                <w:sz w:val="28"/>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trPr>
        <w:tc>
          <w:tcPr>
            <w:tcW w:w="2269" w:type="dxa"/>
            <w:vAlign w:val="center"/>
          </w:tcPr>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提名书</w:t>
            </w:r>
          </w:p>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相关内容</w:t>
            </w:r>
          </w:p>
        </w:tc>
        <w:tc>
          <w:tcPr>
            <w:tcW w:w="6520" w:type="dxa"/>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提名书的主要知识产权和标准规范目录、代表性论文专著目录（详见下列表）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7" w:hRule="atLeast"/>
        </w:trPr>
        <w:tc>
          <w:tcPr>
            <w:tcW w:w="2269" w:type="dxa"/>
            <w:tcBorders>
              <w:right w:val="single" w:color="auto" w:sz="4" w:space="0"/>
            </w:tcBorders>
            <w:vAlign w:val="center"/>
          </w:tcPr>
          <w:p>
            <w:pPr>
              <w:spacing w:after="0" w:line="440" w:lineRule="exact"/>
              <w:jc w:val="center"/>
              <w:rPr>
                <w:rFonts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主要完成人</w:t>
            </w:r>
          </w:p>
        </w:tc>
        <w:tc>
          <w:tcPr>
            <w:tcW w:w="6520" w:type="dxa"/>
            <w:tcBorders>
              <w:left w:val="single" w:color="auto" w:sz="4" w:space="0"/>
            </w:tcBorders>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黄伟国，排名1，高级工程师，超威电源集团有限公司；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陈理，排名2，高级工程师，超威电源集团有限公司；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王鹏伟，排名3，高级工程师，超威电源集团有限公司；</w:t>
            </w:r>
          </w:p>
          <w:p>
            <w:pPr>
              <w:spacing w:after="0" w:line="440" w:lineRule="exact"/>
              <w:rPr>
                <w:rFonts w:eastAsia="仿宋_GB2312"/>
                <w:color w:val="000000" w:themeColor="text1"/>
                <w:sz w:val="24"/>
                <w:szCs w:val="24"/>
              </w:rPr>
            </w:pPr>
            <w:r>
              <w:rPr>
                <w:rFonts w:hint="eastAsia" w:ascii="仿宋_GB2312" w:hAnsi="仿宋" w:eastAsia="仿宋_GB2312" w:cs="仿宋"/>
                <w:bCs/>
                <w:color w:val="000000" w:themeColor="text1"/>
                <w:sz w:val="24"/>
                <w:szCs w:val="24"/>
              </w:rPr>
              <w:t>李欣，排名4，高级工程师，</w:t>
            </w:r>
            <w:r>
              <w:rPr>
                <w:rFonts w:hint="eastAsia" w:eastAsia="仿宋_GB2312"/>
                <w:color w:val="000000" w:themeColor="text1"/>
                <w:sz w:val="24"/>
                <w:szCs w:val="24"/>
              </w:rPr>
              <w:t>国电南瑞科技股份有限公司；</w:t>
            </w:r>
          </w:p>
          <w:p>
            <w:pPr>
              <w:spacing w:after="0" w:line="440" w:lineRule="exact"/>
              <w:rPr>
                <w:rFonts w:ascii="仿宋_GB2312" w:hAnsi="仿宋" w:eastAsia="仿宋_GB2312" w:cs="仿宋"/>
                <w:bCs/>
                <w:color w:val="000000" w:themeColor="text1"/>
                <w:sz w:val="24"/>
                <w:szCs w:val="24"/>
              </w:rPr>
            </w:pPr>
            <w:r>
              <w:rPr>
                <w:rFonts w:hint="eastAsia" w:eastAsia="仿宋_GB2312"/>
                <w:color w:val="000000" w:themeColor="text1"/>
                <w:sz w:val="24"/>
                <w:szCs w:val="24"/>
              </w:rPr>
              <w:t>杨滔，排名5，工程师，</w:t>
            </w:r>
            <w:r>
              <w:rPr>
                <w:rFonts w:hint="eastAsia" w:ascii="仿宋_GB2312" w:hAnsi="仿宋" w:eastAsia="仿宋_GB2312" w:cs="仿宋"/>
                <w:bCs/>
                <w:color w:val="000000" w:themeColor="text1"/>
                <w:sz w:val="24"/>
                <w:szCs w:val="24"/>
              </w:rPr>
              <w:t>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周洁清，排名6，</w:t>
            </w:r>
            <w:r>
              <w:rPr>
                <w:rFonts w:hint="eastAsia" w:eastAsia="仿宋_GB2312"/>
                <w:color w:val="000000" w:themeColor="text1"/>
                <w:sz w:val="24"/>
                <w:szCs w:val="24"/>
              </w:rPr>
              <w:t>工程师，</w:t>
            </w:r>
            <w:r>
              <w:rPr>
                <w:rFonts w:hint="eastAsia" w:ascii="仿宋_GB2312" w:hAnsi="仿宋" w:eastAsia="仿宋_GB2312" w:cs="仿宋"/>
                <w:bCs/>
                <w:color w:val="000000" w:themeColor="text1"/>
                <w:sz w:val="24"/>
                <w:szCs w:val="24"/>
              </w:rPr>
              <w:t>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陈幸，排名7，</w:t>
            </w:r>
            <w:r>
              <w:rPr>
                <w:rFonts w:hint="eastAsia" w:eastAsia="仿宋_GB2312"/>
                <w:color w:val="000000" w:themeColor="text1"/>
                <w:sz w:val="24"/>
                <w:szCs w:val="24"/>
              </w:rPr>
              <w:t>工程师，</w:t>
            </w:r>
            <w:r>
              <w:rPr>
                <w:rFonts w:hint="eastAsia" w:ascii="仿宋_GB2312" w:hAnsi="仿宋" w:eastAsia="仿宋_GB2312" w:cs="仿宋"/>
                <w:bCs/>
                <w:color w:val="000000" w:themeColor="text1"/>
                <w:sz w:val="24"/>
                <w:szCs w:val="24"/>
              </w:rPr>
              <w:t>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吴亮，排名8，</w:t>
            </w:r>
            <w:r>
              <w:rPr>
                <w:rFonts w:hint="eastAsia" w:eastAsia="仿宋_GB2312"/>
                <w:color w:val="000000" w:themeColor="text1"/>
                <w:sz w:val="24"/>
                <w:szCs w:val="24"/>
              </w:rPr>
              <w:t>工程师，</w:t>
            </w:r>
            <w:r>
              <w:rPr>
                <w:rFonts w:hint="eastAsia" w:ascii="仿宋_GB2312" w:hAnsi="仿宋" w:eastAsia="仿宋_GB2312" w:cs="仿宋"/>
                <w:bCs/>
                <w:color w:val="000000" w:themeColor="text1"/>
                <w:sz w:val="24"/>
                <w:szCs w:val="24"/>
              </w:rPr>
              <w:t>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柯娃，排名9，</w:t>
            </w:r>
            <w:r>
              <w:rPr>
                <w:rFonts w:hint="eastAsia" w:eastAsia="仿宋_GB2312"/>
                <w:color w:val="000000" w:themeColor="text1"/>
                <w:sz w:val="24"/>
                <w:szCs w:val="24"/>
              </w:rPr>
              <w:t>工程师，</w:t>
            </w:r>
            <w:r>
              <w:rPr>
                <w:rFonts w:hint="eastAsia" w:ascii="仿宋_GB2312" w:hAnsi="仿宋" w:eastAsia="仿宋_GB2312" w:cs="仿宋"/>
                <w:bCs/>
                <w:color w:val="000000" w:themeColor="text1"/>
                <w:sz w:val="24"/>
                <w:szCs w:val="24"/>
              </w:rPr>
              <w:t>超威电源集团有限公司。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after="0" w:line="440" w:lineRule="exact"/>
              <w:jc w:val="center"/>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8"/>
                <w:szCs w:val="24"/>
              </w:rPr>
              <w:t>主要完成单位</w:t>
            </w:r>
          </w:p>
        </w:tc>
        <w:tc>
          <w:tcPr>
            <w:tcW w:w="6520" w:type="dxa"/>
            <w:tcBorders>
              <w:left w:val="single" w:color="auto" w:sz="4" w:space="0"/>
            </w:tcBorders>
            <w:vAlign w:val="center"/>
          </w:tcPr>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1.单位名称：超威电源集团有限公司</w:t>
            </w:r>
          </w:p>
          <w:p>
            <w:pPr>
              <w:spacing w:after="0" w:line="440" w:lineRule="exact"/>
              <w:rPr>
                <w:rFonts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2.单位名称：</w:t>
            </w:r>
            <w:r>
              <w:rPr>
                <w:rFonts w:hint="eastAsia" w:eastAsia="仿宋_GB2312"/>
                <w:color w:val="000000" w:themeColor="text1"/>
                <w:sz w:val="24"/>
                <w:szCs w:val="24"/>
              </w:rPr>
              <w:t>国电南瑞科技股份有限公司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spacing w:after="0"/>
              <w:jc w:val="center"/>
              <w:rPr>
                <w:rStyle w:val="9"/>
                <w:rFonts w:ascii="仿宋_GB2312" w:eastAsia="仿宋_GB2312"/>
                <w:b w:val="0"/>
                <w:color w:val="000000"/>
                <w:sz w:val="28"/>
                <w:szCs w:val="28"/>
              </w:rPr>
            </w:pPr>
            <w:r>
              <w:rPr>
                <w:rStyle w:val="9"/>
                <w:rFonts w:hint="eastAsia" w:ascii="仿宋_GB2312" w:eastAsia="仿宋_GB2312"/>
                <w:b w:val="0"/>
                <w:color w:val="000000"/>
                <w:sz w:val="28"/>
                <w:szCs w:val="28"/>
              </w:rPr>
              <w:t>提名单位</w:t>
            </w:r>
          </w:p>
        </w:tc>
        <w:tc>
          <w:tcPr>
            <w:tcW w:w="6520" w:type="dxa"/>
            <w:vAlign w:val="center"/>
          </w:tcPr>
          <w:p>
            <w:pPr>
              <w:spacing w:after="0"/>
              <w:contextualSpacing/>
              <w:rPr>
                <w:rStyle w:val="9"/>
                <w:rFonts w:ascii="仿宋_GB2312" w:eastAsia="仿宋_GB2312"/>
                <w:b w:val="0"/>
                <w:color w:val="000000"/>
              </w:rPr>
            </w:pPr>
            <w:r>
              <w:rPr>
                <w:rStyle w:val="9"/>
                <w:rFonts w:hint="eastAsia" w:ascii="仿宋_GB2312" w:eastAsia="仿宋_GB2312"/>
                <w:b w:val="0"/>
                <w:color w:val="000000"/>
                <w:sz w:val="28"/>
              </w:rPr>
              <w:t>长兴县人民政府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spacing w:after="0"/>
              <w:jc w:val="center"/>
              <w:rPr>
                <w:rStyle w:val="9"/>
                <w:rFonts w:ascii="仿宋_GB2312" w:eastAsia="仿宋_GB2312"/>
                <w:b w:val="0"/>
                <w:color w:val="000000" w:themeColor="text1"/>
                <w:sz w:val="28"/>
                <w:szCs w:val="28"/>
              </w:rPr>
            </w:pPr>
            <w:r>
              <w:rPr>
                <w:rStyle w:val="9"/>
                <w:rFonts w:hint="eastAsia" w:ascii="仿宋_GB2312" w:eastAsia="仿宋_GB2312"/>
                <w:b w:val="0"/>
                <w:color w:val="000000" w:themeColor="text1"/>
                <w:sz w:val="28"/>
                <w:szCs w:val="28"/>
              </w:rPr>
              <w:t>提名意见</w:t>
            </w:r>
          </w:p>
        </w:tc>
        <w:tc>
          <w:tcPr>
            <w:tcW w:w="6520" w:type="dxa"/>
            <w:vAlign w:val="center"/>
          </w:tcPr>
          <w:p>
            <w:pPr>
              <w:spacing w:after="0" w:line="500" w:lineRule="exact"/>
              <w:ind w:firstLine="448" w:firstLineChars="200"/>
              <w:jc w:val="both"/>
              <w:rPr>
                <w:bCs/>
                <w:color w:val="000000" w:themeColor="text1"/>
                <w:spacing w:val="2"/>
              </w:rPr>
            </w:pPr>
            <w:r>
              <w:rPr>
                <w:rFonts w:hint="eastAsia"/>
                <w:bCs/>
                <w:color w:val="000000" w:themeColor="text1"/>
                <w:spacing w:val="2"/>
              </w:rPr>
              <w:t>该项目积极响应国家“双碳”战略，以石墨烯基多形态纳米碳联用Pb</w:t>
            </w:r>
            <w:r>
              <w:rPr>
                <w:bCs/>
                <w:color w:val="000000" w:themeColor="text1"/>
                <w:spacing w:val="2"/>
              </w:rPr>
              <w:t>-C</w:t>
            </w:r>
            <w:r>
              <w:rPr>
                <w:rFonts w:hint="eastAsia"/>
                <w:bCs/>
                <w:color w:val="000000" w:themeColor="text1"/>
                <w:spacing w:val="2"/>
              </w:rPr>
              <w:t>骨架技术为基础，通过对正、负极活性物质的改性、集流体的结构优化，从而提高电池的循环可逆性和功率特性。</w:t>
            </w:r>
          </w:p>
          <w:p>
            <w:pPr>
              <w:spacing w:after="0" w:line="500" w:lineRule="exact"/>
              <w:ind w:firstLine="448" w:firstLineChars="200"/>
              <w:jc w:val="both"/>
              <w:rPr>
                <w:bCs/>
                <w:color w:val="000000" w:themeColor="text1"/>
                <w:spacing w:val="2"/>
              </w:rPr>
            </w:pPr>
            <w:r>
              <w:rPr>
                <w:rFonts w:hint="eastAsia"/>
                <w:bCs/>
                <w:color w:val="000000" w:themeColor="text1"/>
                <w:spacing w:val="2"/>
              </w:rPr>
              <w:t>在负极侧，通过对二维纳米石墨烯材料的改性与结晶度控制，使负极活性物质更容易在其表面通过“平行充电机理”（</w:t>
            </w:r>
            <w:r>
              <w:rPr>
                <w:bCs/>
                <w:color w:val="000000" w:themeColor="text1"/>
                <w:spacing w:val="2"/>
              </w:rPr>
              <w:t>P</w:t>
            </w:r>
            <w:r>
              <w:rPr>
                <w:rFonts w:hint="eastAsia"/>
                <w:bCs/>
                <w:color w:val="000000" w:themeColor="text1"/>
                <w:spacing w:val="2"/>
              </w:rPr>
              <w:t>avlov，2012）进行模板化晶体定向生长，有效地保持负极活性物质的形状记忆，从而大幅度提高负极活性物质的循环可逆性；将石墨烯与二维链状纳米晶炭黑、三维多级孔纳米微晶碳气凝胶进行联合使用，共同构成三维导电网络。</w:t>
            </w:r>
          </w:p>
          <w:p>
            <w:pPr>
              <w:spacing w:after="0" w:line="500" w:lineRule="exact"/>
              <w:ind w:firstLine="448" w:firstLineChars="200"/>
              <w:jc w:val="both"/>
              <w:rPr>
                <w:bCs/>
                <w:color w:val="000000" w:themeColor="text1"/>
                <w:spacing w:val="2"/>
              </w:rPr>
            </w:pPr>
            <w:r>
              <w:rPr>
                <w:rFonts w:hint="eastAsia"/>
                <w:bCs/>
                <w:color w:val="000000" w:themeColor="text1"/>
                <w:spacing w:val="2"/>
              </w:rPr>
              <w:t>在正极侧，研究发现第VA族元素和稀土元素联合使用具有“协同效应”，这种联合剂能同时提高正极活性物质内部的本体结合力以及板栅与活性物质之间的连接能力，同时辅以高温分步法和膏形成四碱式硫酸铅（4BS）高强度铅膏，从而制得高性能长寿命正极。</w:t>
            </w:r>
          </w:p>
          <w:p>
            <w:pPr>
              <w:spacing w:after="0" w:line="500" w:lineRule="exact"/>
              <w:ind w:firstLine="448" w:firstLineChars="200"/>
              <w:jc w:val="both"/>
              <w:rPr>
                <w:bCs/>
                <w:color w:val="000000" w:themeColor="text1"/>
                <w:spacing w:val="2"/>
              </w:rPr>
            </w:pPr>
            <w:r>
              <w:rPr>
                <w:rFonts w:hint="eastAsia"/>
                <w:bCs/>
                <w:color w:val="000000" w:themeColor="text1"/>
                <w:spacing w:val="2"/>
              </w:rPr>
              <w:t>集流体设计上</w:t>
            </w:r>
            <w:r>
              <w:rPr>
                <w:bCs/>
                <w:color w:val="000000" w:themeColor="text1"/>
                <w:spacing w:val="2"/>
              </w:rPr>
              <w:t>采用正、负极板栅筋条互补耦合式分布设计，使</w:t>
            </w:r>
            <w:r>
              <w:rPr>
                <w:rFonts w:hint="eastAsia"/>
                <w:bCs/>
                <w:color w:val="000000" w:themeColor="text1"/>
                <w:spacing w:val="2"/>
              </w:rPr>
              <w:t>极板面</w:t>
            </w:r>
            <w:r>
              <w:rPr>
                <w:bCs/>
                <w:color w:val="000000" w:themeColor="text1"/>
                <w:spacing w:val="2"/>
              </w:rPr>
              <w:t>电流分布更均匀，避免极板局部过热失水加剧、降低板栅局部腐蚀</w:t>
            </w:r>
            <w:r>
              <w:rPr>
                <w:rFonts w:hint="eastAsia"/>
                <w:bCs/>
                <w:color w:val="000000" w:themeColor="text1"/>
                <w:spacing w:val="2"/>
              </w:rPr>
              <w:t>；</w:t>
            </w:r>
            <w:r>
              <w:rPr>
                <w:bCs/>
                <w:color w:val="000000" w:themeColor="text1"/>
                <w:spacing w:val="2"/>
              </w:rPr>
              <w:t>同时</w:t>
            </w:r>
            <w:r>
              <w:rPr>
                <w:rFonts w:hint="eastAsia"/>
                <w:bCs/>
                <w:color w:val="000000" w:themeColor="text1"/>
                <w:spacing w:val="2"/>
              </w:rPr>
              <w:t>集流体</w:t>
            </w:r>
            <w:r>
              <w:rPr>
                <w:bCs/>
                <w:color w:val="000000" w:themeColor="text1"/>
                <w:spacing w:val="2"/>
              </w:rPr>
              <w:t>采用高导电性、高耐腐蚀性的铅石墨烯合金，降低电阻、</w:t>
            </w:r>
            <w:r>
              <w:rPr>
                <w:rFonts w:hint="eastAsia"/>
                <w:bCs/>
                <w:color w:val="000000" w:themeColor="text1"/>
                <w:spacing w:val="2"/>
              </w:rPr>
              <w:t>减</w:t>
            </w:r>
            <w:r>
              <w:rPr>
                <w:bCs/>
                <w:color w:val="000000" w:themeColor="text1"/>
                <w:spacing w:val="2"/>
              </w:rPr>
              <w:t>少压降</w:t>
            </w:r>
            <w:r>
              <w:rPr>
                <w:rFonts w:hint="eastAsia"/>
                <w:bCs/>
                <w:color w:val="000000" w:themeColor="text1"/>
                <w:spacing w:val="2"/>
              </w:rPr>
              <w:t>，提升电池的功率特性。</w:t>
            </w:r>
          </w:p>
          <w:p>
            <w:pPr>
              <w:spacing w:after="0" w:line="500" w:lineRule="exact"/>
              <w:ind w:firstLine="448" w:firstLineChars="200"/>
              <w:jc w:val="both"/>
              <w:rPr>
                <w:rStyle w:val="9"/>
                <w:rFonts w:ascii="仿宋_GB2312" w:eastAsia="仿宋_GB2312"/>
                <w:b w:val="0"/>
                <w:color w:val="000000"/>
              </w:rPr>
            </w:pPr>
            <w:r>
              <w:rPr>
                <w:rFonts w:hint="eastAsia"/>
                <w:bCs/>
                <w:color w:val="000000" w:themeColor="text1"/>
                <w:spacing w:val="2"/>
              </w:rPr>
              <w:t>近3年来，该技术应用产品已为企业实现销售收入371273万元、获得利润51045万元、上缴税收31537万元。通过该项目实施，大幅度提升了动力与储能工况下的电池使用寿命和功率性能，更好的满足了用户需求，延长了废旧电池回收处理周期，为促进了行业绿色、可持续发展，为双碳战略目标的实现，提供了强大的技术支持。</w:t>
            </w:r>
          </w:p>
        </w:tc>
      </w:tr>
    </w:tbl>
    <w:p>
      <w:pPr>
        <w:spacing w:line="220" w:lineRule="atLeast"/>
      </w:pPr>
    </w:p>
    <w:p>
      <w:pPr>
        <w:spacing w:line="220" w:lineRule="atLeast"/>
        <w:rPr>
          <w:color w:val="FF0000"/>
        </w:rPr>
      </w:pPr>
    </w:p>
    <w:p>
      <w:pPr>
        <w:spacing w:line="220" w:lineRule="atLeast"/>
        <w:rPr>
          <w:color w:val="FF0000"/>
        </w:rPr>
      </w:pPr>
    </w:p>
    <w:p>
      <w:pPr>
        <w:pStyle w:val="2"/>
        <w:jc w:val="center"/>
        <w:rPr>
          <w:rFonts w:ascii="方正黑体简体" w:hAnsi="宋体" w:eastAsia="方正黑体简体"/>
          <w:color w:val="000000" w:themeColor="text1"/>
          <w:sz w:val="32"/>
          <w:szCs w:val="22"/>
        </w:rPr>
      </w:pPr>
      <w:r>
        <w:rPr>
          <w:rFonts w:hint="eastAsia" w:ascii="方正黑体简体" w:hAnsi="宋体" w:eastAsia="方正黑体简体"/>
          <w:color w:val="000000" w:themeColor="text1"/>
          <w:sz w:val="32"/>
          <w:szCs w:val="22"/>
        </w:rPr>
        <w:t>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2855"/>
        <w:gridCol w:w="1444"/>
        <w:gridCol w:w="1228"/>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作 者</w:t>
            </w:r>
          </w:p>
        </w:tc>
        <w:tc>
          <w:tcPr>
            <w:tcW w:w="2855" w:type="dxa"/>
            <w:tcBorders>
              <w:top w:val="single" w:color="auto" w:sz="12" w:space="0"/>
              <w:left w:val="single" w:color="auto" w:sz="6" w:space="0"/>
              <w:bottom w:val="single" w:color="auto" w:sz="6" w:space="0"/>
              <w:right w:val="single" w:color="auto" w:sz="6" w:space="0"/>
            </w:tcBorders>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论文专著名称/刊物</w:t>
            </w:r>
          </w:p>
        </w:tc>
        <w:tc>
          <w:tcPr>
            <w:tcW w:w="1444"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年卷</w:t>
            </w:r>
          </w:p>
          <w:p>
            <w:pPr>
              <w:spacing w:after="0" w:line="320" w:lineRule="exact"/>
              <w:jc w:val="center"/>
              <w:rPr>
                <w:rFonts w:ascii="仿宋_GB2312" w:eastAsia="仿宋_GB2312"/>
                <w:color w:val="000000" w:themeColor="text1"/>
                <w:szCs w:val="21"/>
              </w:rPr>
            </w:pPr>
            <w:r>
              <w:rPr>
                <w:rFonts w:hint="eastAsia" w:ascii="仿宋_GB2312" w:hAnsi="宋体" w:eastAsia="仿宋_GB2312"/>
                <w:color w:val="000000" w:themeColor="text1"/>
                <w:sz w:val="24"/>
              </w:rPr>
              <w:t>页码</w:t>
            </w:r>
          </w:p>
        </w:tc>
        <w:tc>
          <w:tcPr>
            <w:tcW w:w="1228"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发表</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时间</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他引</w:t>
            </w:r>
          </w:p>
          <w:p>
            <w:pPr>
              <w:spacing w:after="0" w:line="320" w:lineRule="exact"/>
              <w:jc w:val="center"/>
              <w:rPr>
                <w:rFonts w:ascii="仿宋_GB2312" w:hAnsi="宋体" w:eastAsia="仿宋_GB2312"/>
                <w:color w:val="000000" w:themeColor="text1"/>
                <w:sz w:val="24"/>
              </w:rPr>
            </w:pPr>
            <w:r>
              <w:rPr>
                <w:rFonts w:hint="eastAsia" w:ascii="仿宋_GB2312" w:hAnsi="宋体" w:eastAsia="仿宋_GB2312"/>
                <w:color w:val="000000" w:themeColor="text1"/>
                <w:sz w:val="24"/>
              </w:rPr>
              <w:t>总次数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2"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r>
              <w:rPr>
                <w:rFonts w:hint="eastAsia" w:ascii="仿宋_GB2312" w:hAnsi="宋体" w:eastAsia="仿宋_GB2312"/>
                <w:color w:val="000000"/>
              </w:rPr>
              <w:t>陈理、黄伟国、刘孝伟、徐志彬、周志学</w:t>
            </w:r>
          </w:p>
        </w:tc>
        <w:tc>
          <w:tcPr>
            <w:tcW w:w="28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color w:val="000000"/>
              </w:rPr>
              <w:t>不同碳材料对铅炭负极的性能影响/储能科学与技术</w:t>
            </w: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color w:val="000000"/>
              </w:rPr>
              <w:t>06（1248</w:t>
            </w:r>
            <w:r>
              <w:rPr>
                <w:rFonts w:ascii="仿宋_GB2312" w:hAnsi="宋体" w:eastAsia="仿宋_GB2312"/>
                <w:color w:val="000000"/>
              </w:rPr>
              <w:t>-</w:t>
            </w:r>
            <w:r>
              <w:rPr>
                <w:rFonts w:hint="eastAsia" w:ascii="仿宋_GB2312" w:hAnsi="宋体" w:eastAsia="仿宋_GB2312"/>
                <w:color w:val="000000"/>
              </w:rPr>
              <w:t>1252）</w:t>
            </w:r>
          </w:p>
        </w:tc>
        <w:tc>
          <w:tcPr>
            <w:tcW w:w="122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rPr>
            </w:pPr>
            <w:r>
              <w:rPr>
                <w:rFonts w:ascii="仿宋_GB2312" w:hAnsi="宋体" w:eastAsia="仿宋_GB2312"/>
                <w:color w:val="000000"/>
              </w:rPr>
              <w:t>201</w:t>
            </w:r>
            <w:r>
              <w:rPr>
                <w:rFonts w:hint="eastAsia" w:ascii="仿宋_GB2312" w:hAnsi="宋体" w:eastAsia="仿宋_GB2312"/>
                <w:color w:val="000000"/>
              </w:rPr>
              <w:t>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4"/>
              </w:rPr>
            </w:pPr>
            <w:r>
              <w:rPr>
                <w:rFonts w:hint="eastAsia" w:ascii="仿宋_GB2312" w:hAnsi="宋体" w:eastAsia="仿宋_GB2312"/>
                <w:color w:val="00000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6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r>
              <w:rPr>
                <w:rFonts w:hint="eastAsia" w:ascii="仿宋_GB2312" w:hAnsi="宋体" w:eastAsia="仿宋_GB2312"/>
              </w:rPr>
              <w:t>黄伟国、陈理、刘孝伟、徐志彬、周志学</w:t>
            </w:r>
          </w:p>
        </w:tc>
        <w:tc>
          <w:tcPr>
            <w:tcW w:w="28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铅碳负极中铅在碳表面的电沉积研究/电源技术</w:t>
            </w: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43（1340-1343）</w:t>
            </w:r>
          </w:p>
        </w:tc>
        <w:tc>
          <w:tcPr>
            <w:tcW w:w="122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ascii="仿宋_GB2312" w:hAnsi="宋体" w:eastAsia="仿宋_GB2312"/>
              </w:rPr>
              <w:t>20</w:t>
            </w:r>
            <w:r>
              <w:rPr>
                <w:rFonts w:hint="eastAsia" w:ascii="仿宋_GB2312" w:hAnsi="宋体" w:eastAsia="仿宋_GB2312"/>
              </w:rPr>
              <w:t>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1"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r>
              <w:rPr>
                <w:rFonts w:hint="eastAsia" w:ascii="仿宋_GB2312" w:hAnsi="宋体" w:eastAsia="仿宋_GB2312"/>
              </w:rPr>
              <w:t>黄伟国、王鹏伟、陈理、徐志彬、周志学、刘孝伟、王青山、李妍</w:t>
            </w:r>
          </w:p>
        </w:tc>
        <w:tc>
          <w:tcPr>
            <w:tcW w:w="28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极耳排布对AGM铅炭电池性能的影响/储能科学与技术</w:t>
            </w: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9（1060-1065）</w:t>
            </w:r>
          </w:p>
        </w:tc>
        <w:tc>
          <w:tcPr>
            <w:tcW w:w="122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2020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0"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宋体" w:hAnsi="宋体"/>
                <w:color w:val="000000" w:themeColor="text1"/>
                <w:szCs w:val="21"/>
              </w:rPr>
            </w:pPr>
            <w:r>
              <w:rPr>
                <w:rFonts w:hint="eastAsia" w:ascii="仿宋_GB2312" w:hAnsi="宋体" w:eastAsia="仿宋_GB2312"/>
              </w:rPr>
              <w:t>王鹏伟、黄伟国、刘孝伟、周志学、张雄、徐志彬</w:t>
            </w:r>
          </w:p>
        </w:tc>
        <w:tc>
          <w:tcPr>
            <w:tcW w:w="28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板栅结构对电池性能影响的研究/蓄电池</w:t>
            </w: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56（175-178）</w:t>
            </w:r>
          </w:p>
        </w:tc>
        <w:tc>
          <w:tcPr>
            <w:tcW w:w="122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2019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exact"/>
          <w:jc w:val="center"/>
        </w:trPr>
        <w:tc>
          <w:tcPr>
            <w:tcW w:w="1718" w:type="dxa"/>
            <w:tcBorders>
              <w:top w:val="single" w:color="auto" w:sz="6" w:space="0"/>
              <w:left w:val="single" w:color="auto" w:sz="12" w:space="0"/>
              <w:bottom w:val="single" w:color="auto" w:sz="6" w:space="0"/>
              <w:right w:val="single" w:color="auto" w:sz="6" w:space="0"/>
            </w:tcBorders>
            <w:vAlign w:val="center"/>
          </w:tcPr>
          <w:p>
            <w:pPr>
              <w:rPr>
                <w:rFonts w:ascii="仿宋_GB2312" w:hAnsi="宋体" w:eastAsia="仿宋_GB2312"/>
              </w:rPr>
            </w:pPr>
            <w:r>
              <w:rPr>
                <w:rFonts w:hint="eastAsia" w:ascii="仿宋_GB2312" w:hAnsi="宋体" w:eastAsia="仿宋_GB2312"/>
              </w:rPr>
              <w:t>陈理、黄伟国、吴春江、沈浩宇</w:t>
            </w:r>
          </w:p>
          <w:p>
            <w:pPr>
              <w:rPr>
                <w:rFonts w:ascii="宋体" w:hAnsi="宋体"/>
                <w:color w:val="000000" w:themeColor="text1"/>
                <w:szCs w:val="21"/>
              </w:rPr>
            </w:pPr>
          </w:p>
        </w:tc>
        <w:tc>
          <w:tcPr>
            <w:tcW w:w="2855"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rPr>
            </w:pPr>
            <w:r>
              <w:rPr>
                <w:rFonts w:hint="eastAsia" w:ascii="仿宋_GB2312" w:hAnsi="宋体" w:eastAsia="仿宋_GB2312"/>
              </w:rPr>
              <w:t>玻璃纤维隔板对VRLA电池的影响 /电池</w:t>
            </w:r>
          </w:p>
          <w:p>
            <w:pPr>
              <w:jc w:val="center"/>
              <w:rPr>
                <w:rFonts w:ascii="仿宋_GB2312" w:hAnsi="宋体" w:eastAsia="仿宋_GB2312"/>
              </w:rPr>
            </w:pPr>
          </w:p>
          <w:p>
            <w:pPr>
              <w:jc w:val="center"/>
              <w:rPr>
                <w:rFonts w:ascii="宋体" w:hAnsi="宋体"/>
                <w:color w:val="000000" w:themeColor="text1"/>
                <w:szCs w:val="21"/>
              </w:rPr>
            </w:pPr>
          </w:p>
        </w:tc>
        <w:tc>
          <w:tcPr>
            <w:tcW w:w="144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49（508-510）</w:t>
            </w:r>
          </w:p>
        </w:tc>
        <w:tc>
          <w:tcPr>
            <w:tcW w:w="122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2019</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Cs w:val="21"/>
              </w:rPr>
            </w:pPr>
            <w:r>
              <w:rPr>
                <w:rFonts w:hint="eastAsia" w:ascii="仿宋_GB2312" w:hAnsi="宋体" w:eastAsia="仿宋_GB2312"/>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pPr>
              <w:jc w:val="right"/>
              <w:rPr>
                <w:rFonts w:ascii="宋体" w:hAnsi="宋体"/>
                <w:color w:val="000000" w:themeColor="text1"/>
                <w:szCs w:val="21"/>
              </w:rPr>
            </w:pPr>
            <w:r>
              <w:rPr>
                <w:rFonts w:hint="eastAsia" w:ascii="宋体" w:hAnsi="宋体"/>
                <w:color w:val="000000" w:themeColor="text1"/>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themeColor="text1"/>
                <w:szCs w:val="21"/>
              </w:rPr>
            </w:pPr>
            <w:r>
              <w:rPr>
                <w:rFonts w:hint="eastAsia" w:ascii="宋体" w:hAnsi="宋体"/>
                <w:color w:val="000000" w:themeColor="text1"/>
                <w:szCs w:val="21"/>
              </w:rPr>
              <w:t>15</w:t>
            </w:r>
          </w:p>
        </w:tc>
      </w:tr>
    </w:tbl>
    <w:p>
      <w:pPr>
        <w:spacing w:line="220" w:lineRule="atLeast"/>
        <w:sectPr>
          <w:pgSz w:w="11906" w:h="16838"/>
          <w:pgMar w:top="1440" w:right="1800" w:bottom="1440" w:left="1800" w:header="708" w:footer="708" w:gutter="0"/>
          <w:cols w:space="708" w:num="1"/>
          <w:docGrid w:linePitch="360" w:charSpace="0"/>
        </w:sectPr>
      </w:pPr>
    </w:p>
    <w:p>
      <w:pPr>
        <w:pStyle w:val="2"/>
        <w:jc w:val="center"/>
        <w:rPr>
          <w:rFonts w:ascii="方正黑体简体" w:hAnsi="宋体" w:eastAsia="方正黑体简体"/>
          <w:color w:val="000000" w:themeColor="text1"/>
          <w:sz w:val="32"/>
          <w:szCs w:val="22"/>
        </w:rPr>
      </w:pPr>
      <w:r>
        <w:rPr>
          <w:rFonts w:hint="eastAsia" w:ascii="方正黑体简体" w:hAnsi="宋体" w:eastAsia="方正黑体简体"/>
          <w:color w:val="000000" w:themeColor="text1"/>
          <w:sz w:val="32"/>
          <w:szCs w:val="22"/>
        </w:rPr>
        <w:t>主要知识产权和标准规范目录</w:t>
      </w:r>
    </w:p>
    <w:tbl>
      <w:tblPr>
        <w:tblStyle w:val="5"/>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655"/>
        <w:gridCol w:w="1213"/>
        <w:gridCol w:w="1213"/>
        <w:gridCol w:w="1213"/>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知识产权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国家</w:t>
            </w:r>
          </w:p>
          <w:p>
            <w:pPr>
              <w:spacing w:after="0"/>
              <w:jc w:val="center"/>
              <w:rPr>
                <w:rFonts w:ascii="仿宋_GB2312" w:hAnsi="宋体" w:eastAsia="仿宋_GB2312"/>
                <w:bCs/>
                <w:snapToGrid w:val="0"/>
                <w:color w:val="000000" w:themeColor="text1"/>
                <w:sz w:val="24"/>
                <w:szCs w:val="21"/>
              </w:rPr>
            </w:pPr>
            <w:r>
              <w:rPr>
                <w:rFonts w:hint="eastAsia" w:ascii="仿宋_GB2312" w:hAnsi="宋体" w:eastAsia="仿宋_GB2312"/>
                <w:bCs/>
                <w:snapToGrid w:val="0"/>
                <w:color w:val="000000" w:themeColor="text1"/>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授权号</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tcPr>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授权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（标准发布）</w:t>
            </w:r>
          </w:p>
          <w:p>
            <w:pPr>
              <w:spacing w:after="0"/>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发明人（标准规范起草人）</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themeColor="text1"/>
                <w:sz w:val="24"/>
                <w:szCs w:val="21"/>
              </w:rPr>
            </w:pPr>
            <w:r>
              <w:rPr>
                <w:rFonts w:hint="eastAsia" w:ascii="仿宋_GB2312" w:hAnsi="宋体" w:eastAsia="仿宋_GB2312"/>
                <w:color w:val="000000" w:themeColor="text1"/>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一种铅酸蓄电池负极铅膏及其制备方法、负极板</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ascii="仿宋" w:hAnsi="仿宋" w:eastAsia="仿宋"/>
                <w:color w:val="000000"/>
                <w:szCs w:val="21"/>
              </w:rPr>
              <w:t>ZL</w:t>
            </w:r>
            <w:r>
              <w:rPr>
                <w:rFonts w:hint="eastAsia" w:ascii="仿宋" w:hAnsi="仿宋" w:eastAsia="仿宋"/>
                <w:color w:val="000000"/>
                <w:szCs w:val="21"/>
              </w:rPr>
              <w:t>202011520769.8</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20211228</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4870055</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黄伟国</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color w:val="000000"/>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一种碳复合材料、和膏、电池及制备方法</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ascii="仿宋" w:hAnsi="仿宋" w:eastAsia="仿宋"/>
                <w:szCs w:val="21"/>
              </w:rPr>
              <w:t>ZL</w:t>
            </w:r>
            <w:r>
              <w:rPr>
                <w:rFonts w:hint="eastAsia" w:ascii="仿宋" w:hAnsi="仿宋" w:eastAsia="仿宋"/>
                <w:szCs w:val="21"/>
              </w:rPr>
              <w:t>202010108726.2</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20210810</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4604196</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黄伟国、刘孝伟、陈理、</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 xml:space="preserve">一种铅酸电池用石墨烯复合碳及其制备方 </w:t>
            </w:r>
          </w:p>
          <w:p>
            <w:pPr>
              <w:jc w:val="center"/>
              <w:rPr>
                <w:rFonts w:ascii="仿宋" w:hAnsi="仿宋" w:eastAsia="仿宋"/>
                <w:szCs w:val="21"/>
              </w:rPr>
            </w:pPr>
            <w:r>
              <w:rPr>
                <w:rFonts w:hint="eastAsia" w:ascii="仿宋" w:hAnsi="仿宋" w:eastAsia="仿宋"/>
                <w:szCs w:val="21"/>
              </w:rPr>
              <w:t xml:space="preserve">法 </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ZL201610445110.8</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20190329</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3311788</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 xml:space="preserve">石沫、戴贵平、吴亮、 柯娃、吴秋菊 </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一种铅酸蓄电池的正极铅膏及其制备方法、铅酸蓄电池</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ascii="仿宋" w:hAnsi="仿宋" w:eastAsia="仿宋"/>
                <w:szCs w:val="21"/>
              </w:rPr>
              <w:t>ZL</w:t>
            </w:r>
            <w:r>
              <w:rPr>
                <w:rFonts w:hint="eastAsia" w:ascii="仿宋" w:hAnsi="仿宋" w:eastAsia="仿宋"/>
                <w:szCs w:val="21"/>
              </w:rPr>
              <w:t>202010961743.0</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ascii="仿宋" w:hAnsi="仿宋" w:eastAsia="仿宋"/>
                <w:szCs w:val="21"/>
              </w:rPr>
              <w:t>202</w:t>
            </w:r>
            <w:r>
              <w:rPr>
                <w:rFonts w:hint="eastAsia" w:ascii="仿宋" w:hAnsi="仿宋" w:eastAsia="仿宋"/>
                <w:szCs w:val="21"/>
              </w:rPr>
              <w:t>20614</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5229543</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陈理、陈幸、黄伟国</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一种胶体动力铅酸蓄电池内化成工艺</w:t>
            </w:r>
          </w:p>
        </w:tc>
        <w:tc>
          <w:tcPr>
            <w:tcW w:w="992"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ZL201810264825.2</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20200901</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3966921</w:t>
            </w:r>
          </w:p>
        </w:tc>
        <w:tc>
          <w:tcPr>
            <w:tcW w:w="1213"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超威电源集团有限公司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代少振、项晨</w:t>
            </w:r>
          </w:p>
        </w:tc>
        <w:tc>
          <w:tcPr>
            <w:tcW w:w="2215"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8"/>
                <w:szCs w:val="28"/>
              </w:rPr>
            </w:pPr>
            <w:r>
              <w:rPr>
                <w:rFonts w:hint="eastAsia" w:ascii="仿宋" w:hAnsi="仿宋" w:eastAsia="仿宋"/>
                <w:szCs w:val="21"/>
              </w:rPr>
              <w:t>有效</w:t>
            </w:r>
          </w:p>
        </w:tc>
      </w:tr>
    </w:tbl>
    <w:p>
      <w:pPr>
        <w:spacing w:line="220" w:lineRule="atLeast"/>
      </w:pPr>
    </w:p>
    <w:sectPr>
      <w:pgSz w:w="16838" w:h="11906" w:orient="landscape"/>
      <w:pgMar w:top="1797" w:right="1440" w:bottom="1797"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小标宋简体"/>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compat>
    <w:useFELayout/>
    <w:compatSetting w:name="compatibilityMode" w:uri="http://schemas.microsoft.com/office/word" w:val="12"/>
  </w:compat>
  <w:rsids>
    <w:rsidRoot w:val="00D31D50"/>
    <w:rsid w:val="00011CC8"/>
    <w:rsid w:val="00055795"/>
    <w:rsid w:val="00074F1A"/>
    <w:rsid w:val="00082BCB"/>
    <w:rsid w:val="000A1C8D"/>
    <w:rsid w:val="00147A3F"/>
    <w:rsid w:val="00154C21"/>
    <w:rsid w:val="001A0788"/>
    <w:rsid w:val="00272390"/>
    <w:rsid w:val="002C0939"/>
    <w:rsid w:val="002F5DDF"/>
    <w:rsid w:val="00323B43"/>
    <w:rsid w:val="003558F1"/>
    <w:rsid w:val="003907A4"/>
    <w:rsid w:val="003B0FBF"/>
    <w:rsid w:val="003D37D8"/>
    <w:rsid w:val="004014CF"/>
    <w:rsid w:val="00426133"/>
    <w:rsid w:val="004358AB"/>
    <w:rsid w:val="00443ED8"/>
    <w:rsid w:val="00497080"/>
    <w:rsid w:val="004B68BB"/>
    <w:rsid w:val="004E433F"/>
    <w:rsid w:val="004F3644"/>
    <w:rsid w:val="0056684D"/>
    <w:rsid w:val="00620E3E"/>
    <w:rsid w:val="006F318F"/>
    <w:rsid w:val="00706E4C"/>
    <w:rsid w:val="007602DB"/>
    <w:rsid w:val="007B5356"/>
    <w:rsid w:val="00837D31"/>
    <w:rsid w:val="008465A3"/>
    <w:rsid w:val="008A5876"/>
    <w:rsid w:val="008B7726"/>
    <w:rsid w:val="008E262C"/>
    <w:rsid w:val="00912344"/>
    <w:rsid w:val="0093663C"/>
    <w:rsid w:val="00953258"/>
    <w:rsid w:val="009B641C"/>
    <w:rsid w:val="009C5EE0"/>
    <w:rsid w:val="00A17A21"/>
    <w:rsid w:val="00A97718"/>
    <w:rsid w:val="00AA5DC3"/>
    <w:rsid w:val="00AB384B"/>
    <w:rsid w:val="00AD6516"/>
    <w:rsid w:val="00B2370A"/>
    <w:rsid w:val="00B745AC"/>
    <w:rsid w:val="00BC206D"/>
    <w:rsid w:val="00BC23E8"/>
    <w:rsid w:val="00BE263E"/>
    <w:rsid w:val="00C12684"/>
    <w:rsid w:val="00C4157F"/>
    <w:rsid w:val="00C911DE"/>
    <w:rsid w:val="00CD4788"/>
    <w:rsid w:val="00D31D50"/>
    <w:rsid w:val="00D63742"/>
    <w:rsid w:val="00DE2AFD"/>
    <w:rsid w:val="00E322EC"/>
    <w:rsid w:val="00EF5B9D"/>
    <w:rsid w:val="00F4026D"/>
    <w:rsid w:val="00F43E32"/>
    <w:rsid w:val="00F761A6"/>
    <w:rsid w:val="00F81140"/>
    <w:rsid w:val="00FB1414"/>
    <w:rsid w:val="00FF7FC4"/>
    <w:rsid w:val="55FB946F"/>
    <w:rsid w:val="6FF7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adjustRightInd/>
      <w:snapToGrid/>
      <w:spacing w:after="0"/>
    </w:pPr>
    <w:rPr>
      <w:rFonts w:ascii="Times New Roman" w:hAnsi="Times New Roman" w:eastAsia="宋体" w:cs="Times New Roman"/>
      <w:kern w:val="2"/>
      <w:sz w:val="21"/>
      <w:szCs w:val="20"/>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qFormat/>
    <w:uiPriority w:val="99"/>
    <w:rPr>
      <w:rFonts w:ascii="Tahoma" w:hAnsi="Tahoma"/>
      <w:sz w:val="18"/>
      <w:szCs w:val="18"/>
    </w:rPr>
  </w:style>
  <w:style w:type="character" w:customStyle="1" w:styleId="8">
    <w:name w:val="页脚 字符"/>
    <w:basedOn w:val="6"/>
    <w:link w:val="3"/>
    <w:qFormat/>
    <w:uiPriority w:val="99"/>
    <w:rPr>
      <w:rFonts w:ascii="Tahoma" w:hAnsi="Tahoma"/>
      <w:sz w:val="18"/>
      <w:szCs w:val="18"/>
    </w:rPr>
  </w:style>
  <w:style w:type="character" w:customStyle="1" w:styleId="9">
    <w:name w:val="title1"/>
    <w:qFormat/>
    <w:uiPriority w:val="0"/>
    <w:rPr>
      <w:b/>
      <w:bCs/>
      <w:color w:val="999900"/>
      <w:sz w:val="24"/>
      <w:szCs w:val="24"/>
    </w:rPr>
  </w:style>
  <w:style w:type="character" w:customStyle="1" w:styleId="10">
    <w:name w:val="批注文字 字符"/>
    <w:basedOn w:val="6"/>
    <w:link w:val="2"/>
    <w:semiHidden/>
    <w:qFormat/>
    <w:uiPriority w:val="99"/>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1919</Characters>
  <Lines>15</Lines>
  <Paragraphs>4</Paragraphs>
  <TotalTime>45</TotalTime>
  <ScaleCrop>false</ScaleCrop>
  <LinksUpToDate>false</LinksUpToDate>
  <CharactersWithSpaces>2251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Huzhou</dc:creator>
  <cp:lastModifiedBy>Huzhou</cp:lastModifiedBy>
  <dcterms:modified xsi:type="dcterms:W3CDTF">2023-03-21T14:30:05Z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