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color w:val="000000"/>
          <w:sz w:val="32"/>
          <w:szCs w:val="32"/>
        </w:rPr>
      </w:pPr>
    </w:p>
    <w:p>
      <w:pPr>
        <w:spacing w:line="640" w:lineRule="exact"/>
        <w:jc w:val="center"/>
        <w:rPr>
          <w:rFonts w:ascii="方正小标宋简体" w:eastAsia="方正小标宋简体"/>
          <w:sz w:val="44"/>
          <w:szCs w:val="32"/>
        </w:rPr>
      </w:pPr>
      <w:r>
        <w:rPr>
          <w:rFonts w:hint="eastAsia" w:ascii="方正小标宋简体" w:eastAsia="方正小标宋简体"/>
          <w:sz w:val="44"/>
          <w:szCs w:val="32"/>
          <w:lang w:val="en-US" w:eastAsia="zh-CN"/>
        </w:rPr>
        <w:t>德清县</w:t>
      </w:r>
      <w:r>
        <w:rPr>
          <w:rFonts w:hint="eastAsia" w:ascii="方正小标宋简体" w:eastAsia="方正小标宋简体"/>
          <w:sz w:val="44"/>
          <w:szCs w:val="32"/>
        </w:rPr>
        <w:t>市场监督管理局</w:t>
      </w:r>
    </w:p>
    <w:p>
      <w:pPr>
        <w:spacing w:line="640" w:lineRule="exact"/>
        <w:jc w:val="center"/>
        <w:rPr>
          <w:rFonts w:ascii="方正小标宋简体" w:eastAsia="方正小标宋简体"/>
          <w:color w:val="000000"/>
          <w:sz w:val="44"/>
          <w:szCs w:val="32"/>
        </w:rPr>
      </w:pPr>
      <w:r>
        <w:rPr>
          <w:rFonts w:hint="eastAsia" w:ascii="方正小标宋简体" w:eastAsia="方正小标宋简体"/>
          <w:sz w:val="44"/>
          <w:szCs w:val="32"/>
        </w:rPr>
        <w:t>关于不合格食品核查处置情况的通告</w:t>
      </w:r>
    </w:p>
    <w:p>
      <w:pPr>
        <w:spacing w:line="560" w:lineRule="exact"/>
        <w:ind w:firstLine="640" w:firstLineChars="200"/>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eastAsia="仿宋_GB2312"/>
          <w:sz w:val="32"/>
          <w:szCs w:val="32"/>
        </w:rPr>
      </w:pPr>
      <w:r>
        <w:rPr>
          <w:rFonts w:hint="eastAsia" w:eastAsia="仿宋_GB2312"/>
          <w:sz w:val="32"/>
          <w:szCs w:val="32"/>
        </w:rPr>
        <w:t>德清县市场监督管理局发布</w:t>
      </w:r>
      <w:r>
        <w:rPr>
          <w:rFonts w:hint="eastAsia" w:eastAsia="仿宋_GB2312"/>
          <w:sz w:val="32"/>
          <w:szCs w:val="32"/>
          <w:lang w:eastAsia="zh-CN"/>
        </w:rPr>
        <w:t>《</w:t>
      </w:r>
      <w:r>
        <w:rPr>
          <w:rFonts w:hint="eastAsia" w:eastAsia="仿宋_GB2312"/>
          <w:sz w:val="32"/>
          <w:szCs w:val="32"/>
        </w:rPr>
        <w:t>关于2022年德清流通环节食品安全监督抽检信息的通告</w:t>
      </w:r>
      <w:r>
        <w:rPr>
          <w:rFonts w:hint="eastAsia" w:eastAsia="仿宋_GB2312"/>
          <w:sz w:val="32"/>
          <w:szCs w:val="32"/>
          <w:lang w:eastAsia="zh-CN"/>
        </w:rPr>
        <w:t>》</w:t>
      </w:r>
      <w:r>
        <w:rPr>
          <w:rFonts w:hint="eastAsia" w:eastAsia="仿宋_GB2312"/>
          <w:sz w:val="32"/>
          <w:szCs w:val="32"/>
        </w:rPr>
        <w:t>（第十七批）（2023年第4号</w:t>
      </w:r>
      <w:r>
        <w:rPr>
          <w:rFonts w:hint="eastAsia" w:eastAsia="仿宋_GB2312"/>
          <w:sz w:val="32"/>
          <w:szCs w:val="32"/>
          <w:lang w:eastAsia="zh-CN"/>
        </w:rPr>
        <w:t>）、《关于2022年德清食用农产品专项监督抽检信息的通告（第十批）》（2023年第5号），</w:t>
      </w:r>
      <w:r>
        <w:rPr>
          <w:rFonts w:hint="eastAsia" w:eastAsia="仿宋_GB2312"/>
          <w:sz w:val="32"/>
          <w:szCs w:val="32"/>
        </w:rPr>
        <w:t>涉及我县</w:t>
      </w:r>
      <w:r>
        <w:rPr>
          <w:rFonts w:hint="eastAsia" w:eastAsia="仿宋_GB2312"/>
          <w:sz w:val="32"/>
          <w:szCs w:val="32"/>
          <w:lang w:val="en-US" w:eastAsia="zh-CN"/>
        </w:rPr>
        <w:t>3</w:t>
      </w:r>
      <w:r>
        <w:rPr>
          <w:rFonts w:hint="eastAsia" w:eastAsia="仿宋_GB2312"/>
          <w:sz w:val="32"/>
          <w:szCs w:val="32"/>
        </w:rPr>
        <w:t>家</w:t>
      </w:r>
      <w:r>
        <w:rPr>
          <w:rFonts w:hint="eastAsia" w:eastAsia="仿宋_GB2312"/>
          <w:sz w:val="32"/>
          <w:szCs w:val="32"/>
          <w:lang w:eastAsia="zh-CN"/>
        </w:rPr>
        <w:t>食品</w:t>
      </w:r>
      <w:r>
        <w:rPr>
          <w:rFonts w:hint="eastAsia" w:eastAsia="仿宋_GB2312"/>
          <w:sz w:val="32"/>
          <w:szCs w:val="32"/>
        </w:rPr>
        <w:t>经营</w:t>
      </w:r>
      <w:r>
        <w:rPr>
          <w:rFonts w:hint="eastAsia" w:eastAsia="仿宋_GB2312"/>
          <w:sz w:val="32"/>
          <w:szCs w:val="32"/>
          <w:lang w:eastAsia="zh-CN"/>
        </w:rPr>
        <w:t>单位</w:t>
      </w:r>
      <w:r>
        <w:rPr>
          <w:rFonts w:hint="eastAsia" w:eastAsia="仿宋_GB2312"/>
          <w:sz w:val="32"/>
          <w:szCs w:val="32"/>
        </w:rPr>
        <w:t>。现将不合格食品核查处置情况通告如下：</w:t>
      </w:r>
    </w:p>
    <w:p>
      <w:pPr>
        <w:spacing w:line="560" w:lineRule="exact"/>
        <w:ind w:firstLine="640" w:firstLineChars="200"/>
        <w:rPr>
          <w:rFonts w:hint="eastAsia" w:eastAsia="黑体"/>
          <w:sz w:val="32"/>
          <w:szCs w:val="32"/>
          <w:lang w:eastAsia="zh-CN"/>
        </w:rPr>
      </w:pPr>
      <w:r>
        <w:rPr>
          <w:rFonts w:hint="eastAsia" w:ascii="黑体" w:hAnsi="黑体" w:eastAsia="黑体"/>
          <w:sz w:val="32"/>
          <w:szCs w:val="32"/>
        </w:rPr>
        <w:t>一、德清县舞阳街道淼淼水产品商行</w:t>
      </w:r>
      <w:r>
        <w:rPr>
          <w:rFonts w:hint="eastAsia" w:ascii="黑体" w:hAnsi="黑体" w:eastAsia="黑体"/>
          <w:sz w:val="32"/>
          <w:szCs w:val="32"/>
          <w:lang w:eastAsia="zh-CN"/>
        </w:rPr>
        <w:t>销售的黄鳝</w:t>
      </w:r>
    </w:p>
    <w:p>
      <w:pPr>
        <w:spacing w:line="560" w:lineRule="exact"/>
        <w:ind w:firstLine="640" w:firstLineChars="200"/>
        <w:rPr>
          <w:rFonts w:hint="eastAsia" w:eastAsia="仿宋_GB2312"/>
          <w:sz w:val="32"/>
          <w:szCs w:val="32"/>
        </w:rPr>
      </w:pPr>
      <w:r>
        <w:rPr>
          <w:rFonts w:hint="eastAsia" w:eastAsia="仿宋_GB2312"/>
          <w:sz w:val="32"/>
          <w:szCs w:val="32"/>
        </w:rPr>
        <w:t>（一）抽检基本情况。德清县舞阳街道淼淼水产品商行</w:t>
      </w:r>
      <w:r>
        <w:rPr>
          <w:rFonts w:hint="eastAsia" w:eastAsia="仿宋_GB2312"/>
          <w:sz w:val="32"/>
          <w:szCs w:val="32"/>
          <w:lang w:eastAsia="zh-CN"/>
        </w:rPr>
        <w:t>销售</w:t>
      </w:r>
      <w:r>
        <w:rPr>
          <w:rFonts w:hint="eastAsia" w:eastAsia="仿宋_GB2312"/>
          <w:sz w:val="32"/>
          <w:szCs w:val="32"/>
        </w:rPr>
        <w:t>的黄鳝（</w:t>
      </w:r>
      <w:r>
        <w:rPr>
          <w:rFonts w:hint="eastAsia" w:eastAsia="仿宋_GB2312"/>
          <w:sz w:val="32"/>
          <w:szCs w:val="32"/>
          <w:lang w:eastAsia="zh-CN"/>
        </w:rPr>
        <w:t>购进日期：</w:t>
      </w:r>
      <w:r>
        <w:rPr>
          <w:rFonts w:hint="eastAsia" w:eastAsia="仿宋_GB2312"/>
          <w:sz w:val="32"/>
          <w:szCs w:val="32"/>
        </w:rPr>
        <w:t>2022年</w:t>
      </w:r>
      <w:r>
        <w:rPr>
          <w:rFonts w:hint="eastAsia" w:eastAsia="仿宋_GB2312"/>
          <w:sz w:val="32"/>
          <w:szCs w:val="32"/>
          <w:lang w:val="en-US" w:eastAsia="zh-CN"/>
        </w:rPr>
        <w:t>11</w:t>
      </w:r>
      <w:r>
        <w:rPr>
          <w:rFonts w:hint="eastAsia" w:eastAsia="仿宋_GB2312"/>
          <w:sz w:val="32"/>
          <w:szCs w:val="32"/>
        </w:rPr>
        <w:t>月</w:t>
      </w:r>
      <w:r>
        <w:rPr>
          <w:rFonts w:hint="eastAsia" w:eastAsia="仿宋_GB2312"/>
          <w:sz w:val="32"/>
          <w:szCs w:val="32"/>
          <w:lang w:val="en-US" w:eastAsia="zh-CN"/>
        </w:rPr>
        <w:t>24</w:t>
      </w:r>
      <w:r>
        <w:rPr>
          <w:rFonts w:hint="eastAsia" w:eastAsia="仿宋_GB2312"/>
          <w:sz w:val="32"/>
          <w:szCs w:val="32"/>
        </w:rPr>
        <w:t>日）经抽样检验，恩诺沙星项目不符合 GB 31650-2019《食品安全国家标准 食品中兽药最大残留限量》要求，检验结论为不合格。</w:t>
      </w:r>
    </w:p>
    <w:p>
      <w:pPr>
        <w:spacing w:line="560" w:lineRule="exact"/>
        <w:ind w:firstLine="640" w:firstLineChars="200"/>
        <w:rPr>
          <w:rFonts w:hint="eastAsia" w:eastAsia="仿宋_GB2312"/>
          <w:sz w:val="32"/>
          <w:szCs w:val="32"/>
        </w:rPr>
      </w:pPr>
      <w:r>
        <w:rPr>
          <w:rFonts w:hint="eastAsia" w:eastAsia="仿宋_GB2312"/>
          <w:sz w:val="32"/>
          <w:szCs w:val="32"/>
        </w:rPr>
        <w:t>（二）当事人销售恩诺沙星项目不合格的</w:t>
      </w:r>
      <w:r>
        <w:rPr>
          <w:rFonts w:hint="eastAsia" w:eastAsia="仿宋_GB2312"/>
          <w:sz w:val="32"/>
          <w:szCs w:val="32"/>
          <w:lang w:eastAsia="zh-CN"/>
        </w:rPr>
        <w:t>黄鳝</w:t>
      </w:r>
      <w:r>
        <w:rPr>
          <w:rFonts w:hint="eastAsia" w:eastAsia="仿宋_GB2312"/>
          <w:sz w:val="32"/>
          <w:szCs w:val="32"/>
        </w:rPr>
        <w:t>的行为，违反了《食用农产品市场销售质量安全监督管理办法》第二十五条第二项的规定，构成销售兽药残留超标的食用农产品的行为。</w:t>
      </w:r>
    </w:p>
    <w:p>
      <w:pPr>
        <w:spacing w:line="560" w:lineRule="exact"/>
        <w:ind w:firstLine="640" w:firstLineChars="200"/>
        <w:rPr>
          <w:rFonts w:hint="eastAsia" w:eastAsia="仿宋_GB2312"/>
          <w:sz w:val="32"/>
          <w:szCs w:val="32"/>
        </w:rPr>
      </w:pPr>
      <w:r>
        <w:rPr>
          <w:rFonts w:hint="eastAsia" w:eastAsia="仿宋_GB2312"/>
          <w:sz w:val="32"/>
          <w:szCs w:val="32"/>
        </w:rPr>
        <w:t>鉴于本案当事人涉案货值金额较小，且当事人部分履行了《食用农产品市场销售质量安全监督管理办法》规定的食用农产品进货查验（供货商营业执照复</w:t>
      </w:r>
      <w:r>
        <w:rPr>
          <w:rFonts w:hint="eastAsia" w:eastAsia="仿宋_GB2312"/>
          <w:sz w:val="32"/>
          <w:szCs w:val="32"/>
          <w:lang w:eastAsia="zh-CN"/>
        </w:rPr>
        <w:t>印</w:t>
      </w:r>
      <w:r>
        <w:rPr>
          <w:rFonts w:hint="eastAsia" w:eastAsia="仿宋_GB2312"/>
          <w:sz w:val="32"/>
          <w:szCs w:val="32"/>
        </w:rPr>
        <w:t>件、购货支付凭证）等义务，主观感官无法评判兽药残留指标，其无法知道所采购的食用农产品不符合食品安全标准，并能如实说明其进货来源，案发后及时贴出召回公告，购买、食用消费者未报告不良后果；但未索取到涉案抽样黄鳝的检测报告（包括快检合格报告）。同时，根据《中华人民共和国行政处罚法》第三十二条第（一）项、《食用农产品市场销售质量安全监督管理办法》第五十条第二款、《中华人民共和国食品安全法》第一百二十四条第一款第（一）项等规定，对当事人上述行为，依法予以减轻处罚。</w:t>
      </w:r>
    </w:p>
    <w:p>
      <w:pPr>
        <w:spacing w:line="560" w:lineRule="exact"/>
        <w:ind w:firstLine="640" w:firstLineChars="200"/>
        <w:rPr>
          <w:rFonts w:hint="eastAsia" w:eastAsia="仿宋_GB2312"/>
          <w:sz w:val="32"/>
          <w:szCs w:val="32"/>
          <w:lang w:eastAsia="zh-CN"/>
        </w:rPr>
      </w:pPr>
      <w:r>
        <w:rPr>
          <w:rFonts w:hint="eastAsia" w:eastAsia="仿宋_GB2312"/>
          <w:sz w:val="32"/>
          <w:szCs w:val="32"/>
        </w:rPr>
        <w:t>依据《中华人民共和国行政处罚法》第三十二条第（一）项、《食用农产品市场销售质量安全监督管理办法》第五十条第二款、《中华人民共和国食品安全法》第一百二十四条第一款第（一）项等规定，经本局研究决定，对当事人的上述违法行为，处以下行政处罚：1.没收违法所得204元；2.罚款500元；以上两项合计罚没款704元，上缴国库。</w:t>
      </w:r>
      <w:r>
        <w:rPr>
          <w:rFonts w:hint="eastAsia" w:eastAsia="仿宋_GB2312"/>
          <w:sz w:val="32"/>
          <w:szCs w:val="32"/>
          <w:lang w:eastAsia="zh-CN"/>
        </w:rPr>
        <w:t>（德市监处罚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138号</w:t>
      </w:r>
      <w:r>
        <w:rPr>
          <w:rFonts w:hint="eastAsia" w:eastAsia="仿宋_GB2312"/>
          <w:sz w:val="32"/>
          <w:szCs w:val="32"/>
          <w:lang w:eastAsia="zh-CN"/>
        </w:rPr>
        <w:t>）</w:t>
      </w:r>
    </w:p>
    <w:p>
      <w:pPr>
        <w:spacing w:line="560" w:lineRule="exact"/>
        <w:ind w:firstLine="640" w:firstLineChars="200"/>
        <w:rPr>
          <w:rFonts w:hint="eastAsia" w:eastAsia="仿宋_GB2312"/>
          <w:sz w:val="32"/>
          <w:szCs w:val="32"/>
          <w:lang w:eastAsia="zh-CN"/>
        </w:rPr>
      </w:pPr>
      <w:r>
        <w:rPr>
          <w:rFonts w:hint="eastAsia" w:eastAsia="仿宋_GB2312"/>
          <w:sz w:val="32"/>
          <w:szCs w:val="32"/>
          <w:lang w:eastAsia="zh-CN"/>
        </w:rPr>
        <w:t>德清县舞阳街道淼淼水产品商行经营的黄鳝是由德清县舞阳街道淼淼水产品商行在2022年11月17日从杭州农副产品物流中心水产品批发市场朱氏水产商行购进，相关线索已移送杭州市余杭区市场监督管理局。</w:t>
      </w:r>
    </w:p>
    <w:p>
      <w:pPr>
        <w:spacing w:line="560" w:lineRule="exact"/>
        <w:ind w:firstLine="640" w:firstLineChars="200"/>
        <w:rPr>
          <w:rFonts w:hint="eastAsia" w:ascii="黑体" w:hAnsi="黑体" w:eastAsia="黑体"/>
          <w:sz w:val="32"/>
          <w:szCs w:val="32"/>
          <w:lang w:eastAsia="zh-CN"/>
        </w:rPr>
      </w:pPr>
      <w:r>
        <w:rPr>
          <w:rFonts w:hint="eastAsia" w:ascii="黑体" w:hAnsi="黑体" w:eastAsia="黑体"/>
          <w:sz w:val="32"/>
          <w:szCs w:val="32"/>
        </w:rPr>
        <w:t>二、上柏综合市场童财连</w:t>
      </w:r>
      <w:r>
        <w:rPr>
          <w:rFonts w:hint="eastAsia" w:ascii="黑体" w:hAnsi="黑体" w:eastAsia="黑体"/>
          <w:sz w:val="32"/>
          <w:szCs w:val="32"/>
          <w:lang w:eastAsia="zh-CN"/>
        </w:rPr>
        <w:t>销售的鳊鱼</w:t>
      </w:r>
    </w:p>
    <w:p>
      <w:pPr>
        <w:spacing w:line="560" w:lineRule="exact"/>
        <w:ind w:firstLine="640" w:firstLineChars="200"/>
        <w:rPr>
          <w:rFonts w:eastAsia="仿宋_GB2312"/>
          <w:sz w:val="32"/>
          <w:szCs w:val="32"/>
        </w:rPr>
      </w:pPr>
      <w:r>
        <w:rPr>
          <w:rFonts w:hint="eastAsia" w:eastAsia="仿宋_GB2312"/>
          <w:sz w:val="32"/>
          <w:szCs w:val="32"/>
        </w:rPr>
        <w:t>（一）抽检基本情况。上柏综合市场童财连</w:t>
      </w:r>
      <w:r>
        <w:rPr>
          <w:rFonts w:hint="eastAsia" w:eastAsia="仿宋_GB2312"/>
          <w:sz w:val="32"/>
          <w:szCs w:val="32"/>
          <w:lang w:eastAsia="zh-CN"/>
        </w:rPr>
        <w:t>销售</w:t>
      </w:r>
      <w:r>
        <w:rPr>
          <w:rFonts w:hint="eastAsia" w:eastAsia="仿宋_GB2312"/>
          <w:sz w:val="32"/>
          <w:szCs w:val="32"/>
        </w:rPr>
        <w:t>的鳊鱼（</w:t>
      </w:r>
      <w:r>
        <w:rPr>
          <w:rFonts w:hint="eastAsia" w:eastAsia="仿宋_GB2312"/>
          <w:sz w:val="32"/>
          <w:szCs w:val="32"/>
          <w:lang w:eastAsia="zh-CN"/>
        </w:rPr>
        <w:t>购进日期：</w:t>
      </w:r>
      <w:r>
        <w:rPr>
          <w:rFonts w:hint="eastAsia" w:eastAsia="仿宋_GB2312"/>
          <w:sz w:val="32"/>
          <w:szCs w:val="32"/>
        </w:rPr>
        <w:t>2022年</w:t>
      </w:r>
      <w:r>
        <w:rPr>
          <w:rFonts w:hint="eastAsia" w:eastAsia="仿宋_GB2312"/>
          <w:sz w:val="32"/>
          <w:szCs w:val="32"/>
          <w:lang w:val="en-US" w:eastAsia="zh-CN"/>
        </w:rPr>
        <w:t>12</w:t>
      </w:r>
      <w:r>
        <w:rPr>
          <w:rFonts w:hint="eastAsia" w:eastAsia="仿宋_GB2312"/>
          <w:sz w:val="32"/>
          <w:szCs w:val="32"/>
        </w:rPr>
        <w:t>月</w:t>
      </w:r>
      <w:r>
        <w:rPr>
          <w:rFonts w:hint="eastAsia" w:eastAsia="仿宋_GB2312"/>
          <w:sz w:val="32"/>
          <w:szCs w:val="32"/>
          <w:lang w:val="en-US" w:eastAsia="zh-CN"/>
        </w:rPr>
        <w:t>2</w:t>
      </w:r>
      <w:r>
        <w:rPr>
          <w:rFonts w:hint="eastAsia" w:eastAsia="仿宋_GB2312"/>
          <w:sz w:val="32"/>
          <w:szCs w:val="32"/>
        </w:rPr>
        <w:t>日）经抽样检验，恩诺沙星项目不符合 GB 31650-2019《食品安全国家标准 食品中兽药最大残留限量》要求，检验结论为不合格。</w:t>
      </w:r>
    </w:p>
    <w:p>
      <w:pPr>
        <w:spacing w:line="560" w:lineRule="exact"/>
        <w:ind w:firstLine="640" w:firstLineChars="200"/>
        <w:rPr>
          <w:rFonts w:hint="eastAsia" w:eastAsia="仿宋_GB2312"/>
          <w:sz w:val="32"/>
          <w:szCs w:val="32"/>
        </w:rPr>
      </w:pPr>
      <w:r>
        <w:rPr>
          <w:rFonts w:hint="eastAsia" w:eastAsia="仿宋_GB2312"/>
          <w:sz w:val="32"/>
          <w:szCs w:val="32"/>
        </w:rPr>
        <w:t>（二）当事人销售恩诺沙星项目不合格的</w:t>
      </w:r>
      <w:r>
        <w:rPr>
          <w:rFonts w:hint="eastAsia" w:eastAsia="仿宋_GB2312"/>
          <w:sz w:val="32"/>
          <w:szCs w:val="32"/>
          <w:lang w:eastAsia="zh-CN"/>
        </w:rPr>
        <w:t>鳊鱼</w:t>
      </w:r>
      <w:r>
        <w:rPr>
          <w:rFonts w:hint="eastAsia" w:eastAsia="仿宋_GB2312"/>
          <w:sz w:val="32"/>
          <w:szCs w:val="32"/>
        </w:rPr>
        <w:t>的行为，违反了《食用农产品市场销售质量安全监督管理办法》第二十五条第二项的规定，构成销售兽药残留超标的食用农产品的行为。</w:t>
      </w:r>
    </w:p>
    <w:p>
      <w:pPr>
        <w:spacing w:line="560" w:lineRule="exact"/>
        <w:ind w:firstLine="640" w:firstLineChars="200"/>
        <w:rPr>
          <w:rFonts w:hint="eastAsia" w:eastAsia="仿宋_GB2312"/>
          <w:sz w:val="32"/>
          <w:szCs w:val="32"/>
        </w:rPr>
      </w:pPr>
      <w:r>
        <w:rPr>
          <w:rFonts w:hint="eastAsia" w:eastAsia="仿宋_GB2312"/>
          <w:sz w:val="32"/>
          <w:szCs w:val="32"/>
        </w:rPr>
        <w:t>鉴于本案</w:t>
      </w:r>
      <w:r>
        <w:rPr>
          <w:rFonts w:hint="eastAsia" w:eastAsia="仿宋_GB2312"/>
          <w:sz w:val="32"/>
          <w:szCs w:val="32"/>
          <w:lang w:eastAsia="zh-CN"/>
        </w:rPr>
        <w:t>中，</w:t>
      </w:r>
      <w:r>
        <w:rPr>
          <w:rFonts w:hint="eastAsia" w:eastAsia="仿宋_GB2312"/>
          <w:sz w:val="32"/>
          <w:szCs w:val="32"/>
        </w:rPr>
        <w:t>当事人涉案货值金额较小，且当事人部分履行了《食用农产品市场销售质量安全监督管理办法》规定的食用农产品进货查验（供货商营业执照复</w:t>
      </w:r>
      <w:r>
        <w:rPr>
          <w:rFonts w:hint="eastAsia" w:eastAsia="仿宋_GB2312"/>
          <w:sz w:val="32"/>
          <w:szCs w:val="32"/>
          <w:lang w:eastAsia="zh-CN"/>
        </w:rPr>
        <w:t>印</w:t>
      </w:r>
      <w:r>
        <w:rPr>
          <w:rFonts w:hint="eastAsia" w:eastAsia="仿宋_GB2312"/>
          <w:sz w:val="32"/>
          <w:szCs w:val="32"/>
        </w:rPr>
        <w:t>件）等义务，主观感官无法评判兽药残留指标，其无法知道所采购的食用农产品不符合食品安全标准，并能如实说明其进货来源，案发后及时贴出召回公告，购买、食用消费者未报告不良后果；但未索取到涉案抽样鳊鱼的检测合格证明（包括快检报告）。根据《中华人民共和国行政处罚法》第三十二条第（一）项规定，对当事人上述行为，依法予以减轻处罚。</w:t>
      </w:r>
    </w:p>
    <w:p>
      <w:pPr>
        <w:spacing w:line="560" w:lineRule="exact"/>
        <w:ind w:firstLine="640" w:firstLineChars="200"/>
        <w:rPr>
          <w:rFonts w:hint="eastAsia" w:eastAsia="仿宋_GB2312"/>
          <w:sz w:val="32"/>
          <w:szCs w:val="32"/>
          <w:lang w:eastAsia="zh-CN"/>
        </w:rPr>
      </w:pPr>
      <w:r>
        <w:rPr>
          <w:rFonts w:hint="eastAsia" w:eastAsia="仿宋_GB2312"/>
          <w:sz w:val="32"/>
          <w:szCs w:val="32"/>
        </w:rPr>
        <w:t>依据《中华人民共和国行政处罚法》第三十二条第（一）项、《食用农产品市场销售质量安全监督管理办法》第五十条第二款、《中华人民共和国食品安全法》第一百二十四条第一款第（一）项等规定，经本局研究决定，对当事人的上述违法行为，处以下行政处罚：1.没收违法所得10元；2.罚款500元；以上两项合计罚没款510元，上缴国库。</w:t>
      </w:r>
      <w:r>
        <w:rPr>
          <w:rFonts w:hint="eastAsia" w:eastAsia="仿宋_GB2312"/>
          <w:sz w:val="32"/>
          <w:szCs w:val="32"/>
          <w:lang w:eastAsia="zh-CN"/>
        </w:rPr>
        <w:t>（德市监处罚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137号</w:t>
      </w:r>
      <w:r>
        <w:rPr>
          <w:rFonts w:hint="eastAsia" w:eastAsia="仿宋_GB2312"/>
          <w:sz w:val="32"/>
          <w:szCs w:val="32"/>
          <w:lang w:eastAsia="zh-CN"/>
        </w:rPr>
        <w:t>）</w:t>
      </w:r>
    </w:p>
    <w:p>
      <w:pPr>
        <w:spacing w:line="560" w:lineRule="exact"/>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三</w:t>
      </w:r>
      <w:r>
        <w:rPr>
          <w:rFonts w:hint="eastAsia" w:ascii="黑体" w:hAnsi="黑体" w:eastAsia="黑体"/>
          <w:sz w:val="32"/>
          <w:szCs w:val="32"/>
        </w:rPr>
        <w:t>、德清舞阳街道建红副食店</w:t>
      </w:r>
      <w:r>
        <w:rPr>
          <w:rFonts w:hint="eastAsia" w:ascii="黑体" w:hAnsi="黑体" w:eastAsia="黑体"/>
          <w:sz w:val="32"/>
          <w:szCs w:val="32"/>
          <w:lang w:eastAsia="zh-CN"/>
        </w:rPr>
        <w:t>销售的姜</w:t>
      </w:r>
    </w:p>
    <w:p>
      <w:pPr>
        <w:spacing w:line="560" w:lineRule="exact"/>
        <w:ind w:firstLine="640" w:firstLineChars="200"/>
        <w:rPr>
          <w:rFonts w:hint="eastAsia" w:eastAsia="仿宋_GB2312"/>
          <w:sz w:val="32"/>
          <w:szCs w:val="32"/>
        </w:rPr>
      </w:pPr>
      <w:r>
        <w:rPr>
          <w:rFonts w:hint="eastAsia" w:eastAsia="仿宋_GB2312"/>
          <w:sz w:val="32"/>
          <w:szCs w:val="32"/>
        </w:rPr>
        <w:t>（一）抽检基本情况。德清舞阳街道建红副食店销售的姜（</w:t>
      </w:r>
      <w:r>
        <w:rPr>
          <w:rFonts w:hint="eastAsia" w:eastAsia="仿宋_GB2312"/>
          <w:sz w:val="32"/>
          <w:szCs w:val="32"/>
          <w:lang w:eastAsia="zh-CN"/>
        </w:rPr>
        <w:t>购进日期：</w:t>
      </w:r>
      <w:r>
        <w:rPr>
          <w:rFonts w:hint="eastAsia" w:eastAsia="仿宋_GB2312"/>
          <w:sz w:val="32"/>
          <w:szCs w:val="32"/>
        </w:rPr>
        <w:t>2022年</w:t>
      </w:r>
      <w:r>
        <w:rPr>
          <w:rFonts w:hint="eastAsia" w:eastAsia="仿宋_GB2312"/>
          <w:sz w:val="32"/>
          <w:szCs w:val="32"/>
          <w:lang w:val="en-US" w:eastAsia="zh-CN"/>
        </w:rPr>
        <w:t>11</w:t>
      </w:r>
      <w:r>
        <w:rPr>
          <w:rFonts w:hint="eastAsia" w:eastAsia="仿宋_GB2312"/>
          <w:sz w:val="32"/>
          <w:szCs w:val="32"/>
        </w:rPr>
        <w:t>月</w:t>
      </w:r>
      <w:r>
        <w:rPr>
          <w:rFonts w:hint="eastAsia" w:eastAsia="仿宋_GB2312"/>
          <w:sz w:val="32"/>
          <w:szCs w:val="32"/>
          <w:lang w:val="en-US" w:eastAsia="zh-CN"/>
        </w:rPr>
        <w:t>30</w:t>
      </w:r>
      <w:r>
        <w:rPr>
          <w:rFonts w:hint="eastAsia" w:eastAsia="仿宋_GB2312"/>
          <w:sz w:val="32"/>
          <w:szCs w:val="32"/>
        </w:rPr>
        <w:t>日）经抽样检验，吡虫啉项目不符合 GB 2763-2021《食品安全国家标准 食品中农药最大残留限量》要求，检验结论为不合格。</w:t>
      </w:r>
    </w:p>
    <w:p>
      <w:pPr>
        <w:spacing w:line="560" w:lineRule="exact"/>
        <w:ind w:firstLine="640" w:firstLineChars="200"/>
        <w:rPr>
          <w:rFonts w:hint="eastAsia" w:eastAsia="仿宋_GB2312"/>
          <w:sz w:val="32"/>
          <w:szCs w:val="32"/>
        </w:rPr>
      </w:pPr>
      <w:r>
        <w:rPr>
          <w:rFonts w:hint="eastAsia" w:eastAsia="仿宋_GB2312"/>
          <w:sz w:val="32"/>
          <w:szCs w:val="32"/>
        </w:rPr>
        <w:t>（二）当事人销售吡虫啉项目不合格的</w:t>
      </w:r>
      <w:r>
        <w:rPr>
          <w:rFonts w:hint="eastAsia" w:eastAsia="仿宋_GB2312"/>
          <w:sz w:val="32"/>
          <w:szCs w:val="32"/>
          <w:lang w:eastAsia="zh-CN"/>
        </w:rPr>
        <w:t>姜</w:t>
      </w:r>
      <w:r>
        <w:rPr>
          <w:rFonts w:hint="eastAsia" w:eastAsia="仿宋_GB2312"/>
          <w:sz w:val="32"/>
          <w:szCs w:val="32"/>
        </w:rPr>
        <w:t>的行为，违反了《食用农产品市场销售质量安全监督管理办法》第二十五条第二项的规定，构成销售农药残留超标的食用农产品的行为。</w:t>
      </w:r>
    </w:p>
    <w:p>
      <w:pPr>
        <w:spacing w:line="560" w:lineRule="exact"/>
        <w:ind w:firstLine="640" w:firstLineChars="200"/>
        <w:rPr>
          <w:rFonts w:hint="eastAsia" w:eastAsia="仿宋_GB2312"/>
          <w:sz w:val="32"/>
          <w:szCs w:val="32"/>
        </w:rPr>
      </w:pPr>
      <w:r>
        <w:rPr>
          <w:rFonts w:hint="eastAsia" w:eastAsia="仿宋_GB2312"/>
          <w:sz w:val="32"/>
          <w:szCs w:val="32"/>
        </w:rPr>
        <w:t>鉴于本案当事人涉案货值金额较小，且当事人部分履行了《食用农产品市场销售质量安全监督管理办法》规定的食用农产品进货查验（供货商营业执照复</w:t>
      </w:r>
      <w:r>
        <w:rPr>
          <w:rFonts w:hint="eastAsia" w:eastAsia="仿宋_GB2312"/>
          <w:sz w:val="32"/>
          <w:szCs w:val="32"/>
          <w:lang w:eastAsia="zh-CN"/>
        </w:rPr>
        <w:t>印</w:t>
      </w:r>
      <w:r>
        <w:rPr>
          <w:rFonts w:hint="eastAsia" w:eastAsia="仿宋_GB2312"/>
          <w:sz w:val="32"/>
          <w:szCs w:val="32"/>
        </w:rPr>
        <w:t>件）等义务，主观感官无法评判兽药残留指标，其无法知道所采购的食用农产品不符合食品安全标准，并能如实说明其进货来源，案发后及时贴出召回公告，购买、食</w:t>
      </w:r>
      <w:bookmarkStart w:id="0" w:name="_GoBack"/>
      <w:bookmarkEnd w:id="0"/>
      <w:r>
        <w:rPr>
          <w:rFonts w:hint="eastAsia" w:eastAsia="仿宋_GB2312"/>
          <w:sz w:val="32"/>
          <w:szCs w:val="32"/>
        </w:rPr>
        <w:t>用消费者未报告不良后果；但未索取到涉案抽样姜的检测合格证明（包括快检报告）。根据《中华人民共和国行政处罚法》第三十二条第（一）项规定，对当事人上述行为，依法予以减轻处罚。</w:t>
      </w:r>
    </w:p>
    <w:p>
      <w:pPr>
        <w:spacing w:line="560" w:lineRule="exact"/>
        <w:ind w:firstLine="640" w:firstLineChars="200"/>
        <w:rPr>
          <w:rFonts w:hint="eastAsia" w:eastAsia="仿宋_GB2312"/>
          <w:sz w:val="32"/>
          <w:szCs w:val="32"/>
          <w:lang w:eastAsia="zh-CN"/>
        </w:rPr>
      </w:pPr>
      <w:r>
        <w:rPr>
          <w:rFonts w:hint="eastAsia" w:eastAsia="仿宋_GB2312"/>
          <w:sz w:val="32"/>
          <w:szCs w:val="32"/>
        </w:rPr>
        <w:t>依据《中华人民共和国行政处罚法》第三十二条第（一）项、《食用农产品市场销售质量安全监督管理办法》第五十条第二款、《中华人民共和国食品安全法》第一百二十四条第一款第（一）项等规定，经本局研究决定，对当事人的上述违法行为，处以下行政处罚：1.没收违法所得80元；2.罚款500元；以上两项合计罚没款580元，上缴国库。</w:t>
      </w:r>
      <w:r>
        <w:rPr>
          <w:rFonts w:hint="eastAsia" w:eastAsia="仿宋_GB2312"/>
          <w:sz w:val="32"/>
          <w:szCs w:val="32"/>
          <w:lang w:eastAsia="zh-CN"/>
        </w:rPr>
        <w:t>（德市监处罚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136号</w:t>
      </w:r>
      <w:r>
        <w:rPr>
          <w:rFonts w:hint="eastAsia" w:eastAsia="仿宋_GB2312"/>
          <w:sz w:val="32"/>
          <w:szCs w:val="32"/>
          <w:lang w:eastAsia="zh-CN"/>
        </w:rPr>
        <w:t>）</w:t>
      </w:r>
    </w:p>
    <w:p>
      <w:pPr>
        <w:spacing w:line="560" w:lineRule="exact"/>
        <w:ind w:firstLine="640" w:firstLineChars="200"/>
        <w:rPr>
          <w:rFonts w:hint="eastAsia" w:eastAsia="仿宋_GB2312"/>
          <w:sz w:val="32"/>
          <w:szCs w:val="32"/>
          <w:lang w:eastAsia="zh-CN"/>
        </w:rPr>
      </w:pPr>
    </w:p>
    <w:p>
      <w:pPr>
        <w:spacing w:line="560" w:lineRule="exact"/>
        <w:ind w:firstLine="560" w:firstLineChars="200"/>
        <w:rPr>
          <w:rFonts w:eastAsia="仿宋"/>
          <w:sz w:val="28"/>
          <w:szCs w:val="28"/>
        </w:rPr>
      </w:pPr>
    </w:p>
    <w:p>
      <w:pPr>
        <w:jc w:val="center"/>
        <w:rPr>
          <w:rFonts w:ascii="宋体" w:cs="宋体"/>
          <w:b/>
          <w:bCs/>
          <w:color w:val="093A96"/>
          <w:kern w:val="0"/>
          <w:sz w:val="27"/>
          <w:szCs w:val="27"/>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lMTc5N2NjYTRhY2MyYjgyNmMzMzgzMmQ4MzBkMTEifQ=="/>
  </w:docVars>
  <w:rsids>
    <w:rsidRoot w:val="00FC2841"/>
    <w:rsid w:val="00104663"/>
    <w:rsid w:val="002075DA"/>
    <w:rsid w:val="0020793C"/>
    <w:rsid w:val="00237ED0"/>
    <w:rsid w:val="0027291E"/>
    <w:rsid w:val="0035636D"/>
    <w:rsid w:val="003D31F1"/>
    <w:rsid w:val="00442EEE"/>
    <w:rsid w:val="00491AC7"/>
    <w:rsid w:val="00672163"/>
    <w:rsid w:val="006901A2"/>
    <w:rsid w:val="0071484B"/>
    <w:rsid w:val="0073404C"/>
    <w:rsid w:val="00837DE0"/>
    <w:rsid w:val="008947D4"/>
    <w:rsid w:val="008D2E69"/>
    <w:rsid w:val="00911BF7"/>
    <w:rsid w:val="00922591"/>
    <w:rsid w:val="0093179F"/>
    <w:rsid w:val="009B467B"/>
    <w:rsid w:val="00A0404E"/>
    <w:rsid w:val="00A156D1"/>
    <w:rsid w:val="00A25256"/>
    <w:rsid w:val="00A30EC5"/>
    <w:rsid w:val="00A331E8"/>
    <w:rsid w:val="00B91B16"/>
    <w:rsid w:val="00C46CBE"/>
    <w:rsid w:val="00C9005F"/>
    <w:rsid w:val="00CA2387"/>
    <w:rsid w:val="00CF7357"/>
    <w:rsid w:val="00DA3108"/>
    <w:rsid w:val="00DF2068"/>
    <w:rsid w:val="00E166D0"/>
    <w:rsid w:val="00E472E0"/>
    <w:rsid w:val="00E84B03"/>
    <w:rsid w:val="00F83893"/>
    <w:rsid w:val="00FC2841"/>
    <w:rsid w:val="0BE83D95"/>
    <w:rsid w:val="19846B57"/>
    <w:rsid w:val="2E97284D"/>
    <w:rsid w:val="3E5D5C92"/>
    <w:rsid w:val="5FD3766E"/>
    <w:rsid w:val="6DEF736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qFormat/>
    <w:uiPriority w:val="99"/>
    <w:rPr>
      <w:rFonts w:cs="Times New Roman"/>
      <w:b/>
      <w:bCs/>
    </w:rPr>
  </w:style>
  <w:style w:type="character" w:customStyle="1" w:styleId="8">
    <w:name w:val="页眉 Char"/>
    <w:link w:val="3"/>
    <w:qFormat/>
    <w:locked/>
    <w:uiPriority w:val="99"/>
    <w:rPr>
      <w:rFonts w:cs="Times New Roman"/>
      <w:sz w:val="18"/>
      <w:szCs w:val="18"/>
    </w:rPr>
  </w:style>
  <w:style w:type="character" w:customStyle="1" w:styleId="9">
    <w:name w:val="页脚 Char"/>
    <w:link w:val="2"/>
    <w:qFormat/>
    <w:locked/>
    <w:uiPriority w:val="99"/>
    <w:rPr>
      <w:rFonts w:cs="Times New Roman"/>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theme" Target="theme/theme1.xml"/>
  <Relationship Id="rId5"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2031</Words>
  <Characters>2128</Characters>
  <Lines>8</Lines>
  <Paragraphs>2</Paragraphs>
  <TotalTime>48</TotalTime>
  <ScaleCrop>false</ScaleCrop>
  <LinksUpToDate>false</LinksUpToDate>
  <CharactersWithSpaces>2137</CharactersWithSpaces>
  <Application>WPS Office_11.1.0.12598_F1E327BC-269C-435d-A152-05C5408002CA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2017-07-27T07:26:00Z</dcterms:created>
  <dc:creator>Emma MO</dc:creator>
  <lastModifiedBy>狗头三兄弟</lastModifiedBy>
  <dcterms:modified xsi:type="dcterms:W3CDTF">2023-03-01T01:26:46Z</dcterms:modified>
  <revision>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8E8467FBE9394562B171B55EADB06482</vt:lpwstr>
  </property>
</Properties>
</file>