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2022年度南浔区服务业规模二十强企业名单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  <w:t>金融业：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浙江南浔农村商业银行股份有限公司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中国工商银行股份有限公司湖州南浔支行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中国农业银行股份有限公司湖州南浔支行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绍兴银行股份有限公司湖州南浔小微综合支行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  <w:t>批发业：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久立集团股份有限公司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湖州市对外贸易股份有限公司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湖州昌隆物流有限公司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湖州富钢进出口有限公司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  <w:t>零售业：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湖州南浔浙北大厦购物中心有限公司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壳牌燃油（湖州）有限公司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湖州南浔力创汽车销售服务有限公司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  <w:t>住宿餐饮业：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湖州南浔蝶来大酒店有限公司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湖州菱汇餐饮管理有限公司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湖州荻港徐缘生态旅游开发有限公司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  <w:t>其他营利性服务业：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湖州众力劳务有限公司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湖州市南浔区保安服务有限公司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湖州南浔新城吾悦商业管理有限公司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湖州南浔雷博人力资源服务有限公司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eastAsia="zh-CN"/>
        </w:rPr>
        <w:t>房地产业：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悦馨置业有限公司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Calibri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湖州南浔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富瑞房地产开发有限公司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MWNkODEyMTAzYjdjMmEwYzU4ZDFhNjNiOWI2ODQifQ=="/>
  </w:docVars>
  <w:rsids>
    <w:rsidRoot w:val="6A896F36"/>
    <w:rsid w:val="6A8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3380"/>
      </w:tabs>
      <w:spacing w:line="560" w:lineRule="exact"/>
      <w:ind w:firstLine="420" w:firstLineChars="200"/>
      <w:jc w:val="left"/>
    </w:pPr>
    <w:rPr>
      <w:rFonts w:ascii="Times New Roman" w:hAnsi="Times New Roman" w:eastAsia="仿宋_GB2312"/>
      <w:bCs/>
      <w:szCs w:val="2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2023-01-20T03:10:00Z</dcterms:created>
  <dc:creator>五百万</dc:creator>
  <cp:lastModifiedBy>五百万</cp:lastModifiedBy>
  <dcterms:modified xsi:type="dcterms:W3CDTF">2023-01-20T03:11:19Z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CCB05A4FDDD7464C9F17C49EB7573C57</vt:lpwstr>
  </property>
</Properties>
</file>