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仿宋_GB2312"/>
          <w:szCs w:val="32"/>
        </w:rPr>
      </w:pPr>
      <w:r>
        <w:rPr>
          <w:rFonts w:hint="eastAsia" w:ascii="黑体" w:hAnsi="黑体" w:eastAsia="黑体" w:cs="仿宋_GB2312"/>
          <w:szCs w:val="32"/>
        </w:rPr>
        <w:t>附件1</w:t>
      </w:r>
    </w:p>
    <w:p>
      <w:pPr>
        <w:spacing w:line="560" w:lineRule="exact"/>
        <w:jc w:val="left"/>
        <w:rPr>
          <w:rFonts w:ascii="仿宋_GB2312" w:hAnsi="仿宋_GB2312" w:cs="仿宋_GB2312"/>
          <w:b/>
          <w:sz w:val="2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湖州市房屋建筑和市政基础设施</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工程监理招标评分标准一——综合评标法</w:t>
      </w:r>
    </w:p>
    <w:p>
      <w:pPr>
        <w:keepNext w:val="0"/>
        <w:keepLines w:val="0"/>
        <w:pageBreakBefore w:val="0"/>
        <w:widowControl w:val="0"/>
        <w:tabs>
          <w:tab w:val="left" w:pos="360"/>
        </w:tabs>
        <w:kinsoku/>
        <w:wordWrap/>
        <w:overflowPunct/>
        <w:topLinePunct w:val="0"/>
        <w:autoSpaceDE/>
        <w:autoSpaceDN/>
        <w:bidi w:val="0"/>
        <w:adjustRightInd/>
        <w:snapToGrid/>
        <w:spacing w:before="313" w:beforeLines="100" w:line="560" w:lineRule="exact"/>
        <w:ind w:firstLine="640" w:firstLineChars="200"/>
        <w:textAlignment w:val="auto"/>
        <w:rPr>
          <w:rFonts w:ascii="仿宋_GB2312" w:hAnsi="仿宋_GB2312" w:cs="宋体"/>
          <w:color w:val="000000"/>
          <w:szCs w:val="32"/>
        </w:rPr>
      </w:pPr>
      <w:r>
        <w:rPr>
          <w:rFonts w:hint="eastAsia" w:ascii="黑体" w:hAnsi="宋体" w:eastAsia="黑体" w:cs="宋体"/>
          <w:snapToGrid w:val="0"/>
          <w:color w:val="000000"/>
          <w:kern w:val="32"/>
          <w:szCs w:val="32"/>
        </w:rPr>
        <w:t>第一条</w:t>
      </w:r>
      <w:r>
        <w:rPr>
          <w:rFonts w:hint="eastAsia" w:ascii="仿宋_GB2312" w:hAnsi="仿宋_GB2312" w:cs="宋体"/>
          <w:b/>
          <w:color w:val="000000"/>
          <w:szCs w:val="32"/>
        </w:rPr>
        <w:t xml:space="preserve">  </w:t>
      </w:r>
      <w:r>
        <w:rPr>
          <w:rFonts w:hint="eastAsia" w:ascii="仿宋_GB2312" w:hAnsi="仿宋_GB2312" w:cs="宋体"/>
          <w:color w:val="000000"/>
          <w:szCs w:val="32"/>
        </w:rPr>
        <w:t>评标应遵循公平、公正、科学、择优的原则推荐中标候选人和确定中标人。</w:t>
      </w:r>
    </w:p>
    <w:p>
      <w:pPr>
        <w:tabs>
          <w:tab w:val="left" w:pos="360"/>
        </w:tabs>
        <w:spacing w:line="560" w:lineRule="exact"/>
        <w:ind w:firstLine="640" w:firstLineChars="200"/>
        <w:rPr>
          <w:rFonts w:ascii="仿宋_GB2312" w:hAnsi="仿宋_GB2312" w:cs="宋体"/>
          <w:color w:val="000000"/>
          <w:szCs w:val="32"/>
        </w:rPr>
      </w:pPr>
      <w:r>
        <w:rPr>
          <w:rFonts w:hint="eastAsia" w:ascii="黑体" w:hAnsi="宋体" w:eastAsia="黑体" w:cs="宋体"/>
          <w:snapToGrid w:val="0"/>
          <w:color w:val="000000"/>
          <w:kern w:val="32"/>
          <w:szCs w:val="32"/>
        </w:rPr>
        <w:t xml:space="preserve">第二条  </w:t>
      </w:r>
      <w:r>
        <w:rPr>
          <w:rFonts w:hint="eastAsia" w:ascii="仿宋_GB2312" w:hAnsi="仿宋_GB2312" w:cs="宋体"/>
          <w:color w:val="000000"/>
          <w:szCs w:val="32"/>
        </w:rPr>
        <w:t>评标工作由招标人按有关规定组建的评标委员会负责。评标委员会成员在开标前24小时内或投标截止时间后1小时内从评标专家</w:t>
      </w:r>
      <w:bookmarkStart w:id="0" w:name="_GoBack"/>
      <w:bookmarkEnd w:id="0"/>
      <w:r>
        <w:rPr>
          <w:rFonts w:hint="eastAsia" w:ascii="仿宋_GB2312" w:hAnsi="仿宋_GB2312" w:cs="宋体"/>
          <w:color w:val="000000"/>
          <w:szCs w:val="32"/>
        </w:rPr>
        <w:t>库中随机抽取产生。</w:t>
      </w:r>
    </w:p>
    <w:p>
      <w:pPr>
        <w:tabs>
          <w:tab w:val="left" w:pos="360"/>
        </w:tabs>
        <w:spacing w:line="560" w:lineRule="exact"/>
        <w:ind w:firstLine="640" w:firstLineChars="200"/>
        <w:rPr>
          <w:rFonts w:ascii="仿宋_GB2312" w:hAnsi="仿宋_GB2312" w:cs="宋体"/>
          <w:color w:val="000000"/>
          <w:szCs w:val="32"/>
        </w:rPr>
      </w:pPr>
      <w:r>
        <w:rPr>
          <w:rFonts w:hint="eastAsia" w:ascii="仿宋_GB2312" w:hAnsi="仿宋_GB2312" w:cs="宋体"/>
          <w:color w:val="000000"/>
          <w:szCs w:val="32"/>
        </w:rPr>
        <w:t>开、评标全过程接受公共资源交易监管部门指导监督。</w:t>
      </w:r>
    </w:p>
    <w:p>
      <w:pPr>
        <w:pStyle w:val="3"/>
        <w:spacing w:line="560" w:lineRule="exact"/>
        <w:ind w:firstLine="640" w:firstLineChars="200"/>
        <w:rPr>
          <w:rFonts w:ascii="仿宋_GB2312" w:hAnsi="仿宋_GB2312" w:eastAsia="仿宋_GB2312" w:cs="宋体"/>
          <w:color w:val="000000"/>
          <w:sz w:val="32"/>
          <w:szCs w:val="32"/>
        </w:rPr>
      </w:pPr>
      <w:r>
        <w:rPr>
          <w:rFonts w:hint="eastAsia" w:ascii="黑体" w:hAnsi="宋体" w:eastAsia="黑体" w:cs="宋体"/>
          <w:snapToGrid w:val="0"/>
          <w:color w:val="000000"/>
          <w:kern w:val="32"/>
          <w:sz w:val="32"/>
          <w:szCs w:val="32"/>
        </w:rPr>
        <w:t xml:space="preserve">第三条  </w:t>
      </w:r>
      <w:r>
        <w:rPr>
          <w:rFonts w:hint="eastAsia" w:ascii="仿宋_GB2312" w:hAnsi="仿宋_GB2312" w:eastAsia="仿宋_GB2312" w:cs="宋体"/>
          <w:color w:val="000000"/>
          <w:sz w:val="32"/>
          <w:szCs w:val="32"/>
        </w:rPr>
        <w:t>资格审查条件原则上限于企业资质、总监理工程师资格要求，以及市场不良信息与行政处罚具体限制。</w:t>
      </w:r>
    </w:p>
    <w:p>
      <w:pPr>
        <w:spacing w:line="560" w:lineRule="exact"/>
        <w:ind w:firstLine="640" w:firstLineChars="200"/>
      </w:pPr>
      <w:r>
        <w:rPr>
          <w:rFonts w:hint="eastAsia" w:ascii="黑体" w:hAnsi="宋体" w:eastAsia="黑体" w:cs="宋体"/>
          <w:snapToGrid w:val="0"/>
          <w:color w:val="000000"/>
          <w:kern w:val="32"/>
          <w:szCs w:val="32"/>
        </w:rPr>
        <w:t xml:space="preserve">第四条  </w:t>
      </w:r>
      <w:r>
        <w:rPr>
          <w:rFonts w:hint="eastAsia" w:ascii="仿宋_GB2312" w:hAnsi="仿宋_GB2312" w:cs="宋体"/>
          <w:color w:val="000000"/>
          <w:szCs w:val="32"/>
        </w:rPr>
        <w:t>投标文件由资格部分、技术部分、商务经济、信用部分组成。由评标委员会先对投标人的投标资格进行审查，获得</w:t>
      </w:r>
      <w:r>
        <w:rPr>
          <w:rFonts w:hint="eastAsia" w:ascii="仿宋_GB2312" w:hAnsi="仿宋_GB2312" w:cs="宋体"/>
          <w:color w:val="000000"/>
          <w:spacing w:val="-4"/>
          <w:szCs w:val="32"/>
        </w:rPr>
        <w:t>通过后依次进行技术标评审、商务标评审、最后对信用标进行评审。</w:t>
      </w:r>
    </w:p>
    <w:p>
      <w:pPr>
        <w:spacing w:line="560" w:lineRule="exact"/>
        <w:ind w:firstLine="640" w:firstLineChars="200"/>
        <w:rPr>
          <w:rFonts w:ascii="仿宋_GB2312" w:hAnsi="仿宋_GB2312" w:cs="宋体"/>
          <w:color w:val="000000"/>
          <w:szCs w:val="32"/>
        </w:rPr>
      </w:pPr>
      <w:r>
        <w:rPr>
          <w:rFonts w:hint="eastAsia" w:ascii="仿宋_GB2312" w:hAnsi="仿宋_GB2312" w:cs="宋体"/>
          <w:color w:val="000000"/>
          <w:szCs w:val="32"/>
        </w:rPr>
        <w:t>凡投标书中的资格条件审查不通过、实质性内容不响应招标文件的要求、符合招标文件规定为无效标情形的，经评标委员会认定，作为无效投标，不进入下一轮评审。剔除无效投标后，其余为有效投标。</w:t>
      </w:r>
    </w:p>
    <w:p>
      <w:pPr>
        <w:spacing w:line="560" w:lineRule="exact"/>
        <w:ind w:firstLine="640" w:firstLineChars="200"/>
        <w:rPr>
          <w:rFonts w:ascii="仿宋_GB2312" w:hAnsi="仿宋_GB2312" w:cs="宋体"/>
          <w:color w:val="000000"/>
          <w:szCs w:val="32"/>
        </w:rPr>
      </w:pPr>
      <w:r>
        <w:rPr>
          <w:rFonts w:hint="eastAsia" w:ascii="黑体" w:hAnsi="宋体" w:eastAsia="黑体" w:cs="宋体"/>
          <w:snapToGrid w:val="0"/>
          <w:color w:val="000000"/>
          <w:kern w:val="32"/>
          <w:szCs w:val="32"/>
        </w:rPr>
        <w:t>第五条</w:t>
      </w:r>
      <w:r>
        <w:rPr>
          <w:rFonts w:hint="eastAsia" w:ascii="仿宋_GB2312" w:hAnsi="仿宋_GB2312" w:cs="宋体"/>
          <w:b/>
          <w:color w:val="000000"/>
          <w:szCs w:val="32"/>
        </w:rPr>
        <w:t xml:space="preserve">  </w:t>
      </w:r>
      <w:r>
        <w:rPr>
          <w:rFonts w:hint="eastAsia" w:ascii="仿宋_GB2312" w:hAnsi="仿宋_GB2312" w:cs="宋体"/>
          <w:color w:val="000000"/>
          <w:szCs w:val="32"/>
        </w:rPr>
        <w:t>评标采用百分制综合评标法。评标委员会对所有有效投标，按技术标（权重30%）、商务标（权重60%）、信用标（权重10%）三部分内容分别进行评分。</w:t>
      </w:r>
    </w:p>
    <w:p>
      <w:pPr>
        <w:pStyle w:val="2"/>
        <w:spacing w:after="0" w:line="560" w:lineRule="exact"/>
        <w:ind w:firstLine="640" w:firstLineChars="200"/>
        <w:rPr>
          <w:rFonts w:ascii="仿宋_GB2312" w:hAnsi="仿宋_GB2312" w:eastAsia="仿宋_GB2312" w:cs="宋体"/>
          <w:sz w:val="32"/>
          <w:szCs w:val="32"/>
        </w:rPr>
      </w:pPr>
      <w:r>
        <w:rPr>
          <w:rFonts w:hint="eastAsia" w:ascii="黑体" w:hAnsi="宋体" w:eastAsia="黑体" w:cs="宋体"/>
          <w:snapToGrid w:val="0"/>
          <w:color w:val="000000"/>
          <w:kern w:val="32"/>
          <w:sz w:val="32"/>
          <w:szCs w:val="32"/>
        </w:rPr>
        <w:t>第六条</w:t>
      </w:r>
      <w:r>
        <w:rPr>
          <w:rFonts w:hint="eastAsia" w:ascii="仿宋_GB2312" w:hAnsi="仿宋_GB2312" w:cs="宋体"/>
          <w:b/>
          <w:sz w:val="32"/>
          <w:szCs w:val="32"/>
        </w:rPr>
        <w:t xml:space="preserve">  </w:t>
      </w:r>
      <w:r>
        <w:rPr>
          <w:rFonts w:hint="eastAsia" w:ascii="仿宋_GB2312" w:hAnsi="仿宋_GB2312" w:eastAsia="仿宋_GB2312" w:cs="宋体"/>
          <w:sz w:val="32"/>
          <w:szCs w:val="32"/>
        </w:rPr>
        <w:t>技术标总分100分，按以下标准评定。</w:t>
      </w:r>
    </w:p>
    <w:tbl>
      <w:tblPr>
        <w:tblStyle w:val="4"/>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97"/>
        <w:gridCol w:w="958"/>
        <w:gridCol w:w="1242"/>
        <w:gridCol w:w="4685"/>
        <w:gridCol w:w="9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38" w:type="pct"/>
            <w:vAlign w:val="center"/>
          </w:tcPr>
          <w:p>
            <w:pPr>
              <w:spacing w:line="300" w:lineRule="exact"/>
              <w:jc w:val="center"/>
              <w:rPr>
                <w:rFonts w:ascii="仿宋_GB2312" w:hAnsi="宋体"/>
                <w:b/>
                <w:sz w:val="24"/>
                <w:szCs w:val="24"/>
              </w:rPr>
            </w:pPr>
            <w:r>
              <w:rPr>
                <w:rFonts w:hint="eastAsia" w:ascii="仿宋_GB2312" w:hAnsi="宋体"/>
                <w:b/>
                <w:sz w:val="24"/>
                <w:szCs w:val="24"/>
              </w:rPr>
              <w:t>项目</w:t>
            </w:r>
          </w:p>
        </w:tc>
        <w:tc>
          <w:tcPr>
            <w:tcW w:w="530" w:type="pct"/>
            <w:vAlign w:val="center"/>
          </w:tcPr>
          <w:p>
            <w:pPr>
              <w:spacing w:line="300" w:lineRule="exact"/>
              <w:ind w:left="14" w:hanging="14" w:hangingChars="6"/>
              <w:jc w:val="center"/>
              <w:rPr>
                <w:rFonts w:ascii="仿宋_GB2312" w:hAnsi="宋体"/>
                <w:b/>
                <w:sz w:val="24"/>
                <w:szCs w:val="24"/>
              </w:rPr>
            </w:pPr>
            <w:r>
              <w:rPr>
                <w:rFonts w:hint="eastAsia" w:ascii="仿宋_GB2312" w:hAnsi="宋体"/>
                <w:b/>
                <w:sz w:val="24"/>
                <w:szCs w:val="24"/>
              </w:rPr>
              <w:t>总分值（分）</w:t>
            </w:r>
          </w:p>
        </w:tc>
        <w:tc>
          <w:tcPr>
            <w:tcW w:w="3536" w:type="pct"/>
            <w:gridSpan w:val="2"/>
            <w:vAlign w:val="center"/>
          </w:tcPr>
          <w:p>
            <w:pPr>
              <w:spacing w:line="300" w:lineRule="exact"/>
              <w:ind w:left="14" w:hanging="14" w:hangingChars="6"/>
              <w:jc w:val="center"/>
              <w:rPr>
                <w:rFonts w:ascii="仿宋_GB2312" w:hAnsi="宋体"/>
                <w:b/>
                <w:sz w:val="24"/>
                <w:szCs w:val="24"/>
              </w:rPr>
            </w:pPr>
            <w:r>
              <w:rPr>
                <w:rFonts w:hint="eastAsia" w:ascii="仿宋_GB2312" w:hAnsi="宋体"/>
                <w:b/>
                <w:sz w:val="24"/>
                <w:szCs w:val="24"/>
              </w:rPr>
              <w:t>具 体 内 容 和 标 准</w:t>
            </w:r>
          </w:p>
        </w:tc>
        <w:tc>
          <w:tcPr>
            <w:tcW w:w="496" w:type="pct"/>
            <w:vAlign w:val="center"/>
          </w:tcPr>
          <w:p>
            <w:pPr>
              <w:spacing w:line="300" w:lineRule="exact"/>
              <w:jc w:val="center"/>
              <w:rPr>
                <w:rFonts w:ascii="仿宋_GB2312" w:hAnsi="宋体"/>
                <w:b/>
                <w:sz w:val="24"/>
                <w:szCs w:val="24"/>
              </w:rPr>
            </w:pPr>
            <w:r>
              <w:rPr>
                <w:rFonts w:hint="eastAsia" w:ascii="仿宋_GB2312" w:hAnsi="宋体"/>
                <w:b/>
                <w:sz w:val="24"/>
                <w:szCs w:val="24"/>
              </w:rPr>
              <w:t>分值（分）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6" w:hRule="atLeast"/>
          <w:jc w:val="center"/>
        </w:trPr>
        <w:tc>
          <w:tcPr>
            <w:tcW w:w="438" w:type="pct"/>
            <w:vMerge w:val="restart"/>
            <w:vAlign w:val="center"/>
          </w:tcPr>
          <w:p>
            <w:pPr>
              <w:adjustRightInd w:val="0"/>
              <w:snapToGrid w:val="0"/>
              <w:spacing w:line="300" w:lineRule="exact"/>
              <w:jc w:val="center"/>
              <w:rPr>
                <w:rFonts w:ascii="仿宋_GB2312" w:hAnsi="宋体"/>
                <w:sz w:val="24"/>
                <w:szCs w:val="24"/>
              </w:rPr>
            </w:pPr>
            <w:r>
              <w:rPr>
                <w:rFonts w:hint="eastAsia" w:ascii="仿宋_GB2312" w:hAnsi="宋体"/>
                <w:sz w:val="24"/>
                <w:szCs w:val="24"/>
              </w:rPr>
              <w:t>监理</w:t>
            </w:r>
          </w:p>
          <w:p>
            <w:pPr>
              <w:adjustRightInd w:val="0"/>
              <w:snapToGrid w:val="0"/>
              <w:spacing w:line="300" w:lineRule="exact"/>
              <w:jc w:val="center"/>
              <w:rPr>
                <w:rFonts w:ascii="仿宋_GB2312" w:hAnsi="宋体"/>
                <w:sz w:val="24"/>
                <w:szCs w:val="24"/>
              </w:rPr>
            </w:pPr>
            <w:r>
              <w:rPr>
                <w:rFonts w:hint="eastAsia" w:ascii="仿宋_GB2312" w:hAnsi="宋体"/>
                <w:sz w:val="24"/>
                <w:szCs w:val="24"/>
              </w:rPr>
              <w:t>管理</w:t>
            </w:r>
          </w:p>
        </w:tc>
        <w:tc>
          <w:tcPr>
            <w:tcW w:w="530" w:type="pct"/>
            <w:vMerge w:val="restart"/>
            <w:vAlign w:val="center"/>
          </w:tcPr>
          <w:p>
            <w:pPr>
              <w:adjustRightInd w:val="0"/>
              <w:snapToGrid w:val="0"/>
              <w:spacing w:line="300" w:lineRule="exact"/>
              <w:jc w:val="center"/>
              <w:rPr>
                <w:rFonts w:ascii="仿宋_GB2312" w:hAnsi="宋体"/>
                <w:sz w:val="24"/>
                <w:szCs w:val="24"/>
              </w:rPr>
            </w:pPr>
            <w:r>
              <w:rPr>
                <w:rFonts w:hint="eastAsia" w:ascii="仿宋_GB2312" w:hAnsi="宋体"/>
                <w:sz w:val="24"/>
                <w:szCs w:val="24"/>
              </w:rPr>
              <w:t>70</w:t>
            </w:r>
          </w:p>
        </w:tc>
        <w:tc>
          <w:tcPr>
            <w:tcW w:w="758" w:type="pct"/>
            <w:vAlign w:val="center"/>
          </w:tcPr>
          <w:p>
            <w:pPr>
              <w:spacing w:line="300" w:lineRule="exact"/>
              <w:jc w:val="center"/>
              <w:rPr>
                <w:rFonts w:ascii="仿宋_GB2312"/>
                <w:sz w:val="24"/>
                <w:szCs w:val="24"/>
              </w:rPr>
            </w:pPr>
            <w:r>
              <w:rPr>
                <w:rFonts w:hint="eastAsia" w:ascii="仿宋_GB2312"/>
                <w:sz w:val="24"/>
                <w:szCs w:val="24"/>
              </w:rPr>
              <w:t>大纲</w:t>
            </w:r>
          </w:p>
          <w:p>
            <w:pPr>
              <w:spacing w:line="300" w:lineRule="exact"/>
              <w:jc w:val="center"/>
              <w:rPr>
                <w:rFonts w:ascii="仿宋_GB2312"/>
                <w:sz w:val="24"/>
                <w:szCs w:val="24"/>
              </w:rPr>
            </w:pPr>
            <w:r>
              <w:rPr>
                <w:rFonts w:hint="eastAsia" w:ascii="仿宋_GB2312"/>
                <w:sz w:val="24"/>
                <w:szCs w:val="24"/>
              </w:rPr>
              <w:t>总体评价</w:t>
            </w:r>
          </w:p>
        </w:tc>
        <w:tc>
          <w:tcPr>
            <w:tcW w:w="2778" w:type="pct"/>
            <w:vAlign w:val="center"/>
          </w:tcPr>
          <w:p>
            <w:pPr>
              <w:adjustRightInd w:val="0"/>
              <w:snapToGrid w:val="0"/>
              <w:spacing w:line="300" w:lineRule="exact"/>
              <w:rPr>
                <w:rFonts w:ascii="仿宋_GB2312"/>
                <w:sz w:val="24"/>
                <w:szCs w:val="24"/>
              </w:rPr>
            </w:pPr>
            <w:r>
              <w:rPr>
                <w:rFonts w:hint="eastAsia" w:ascii="仿宋_GB2312"/>
                <w:sz w:val="24"/>
                <w:szCs w:val="24"/>
              </w:rPr>
              <w:t>内容是否全面，是否符合工程和招标文件要求，项目目标、项目范围、任务和编制依据是否明确。</w:t>
            </w:r>
          </w:p>
        </w:tc>
        <w:tc>
          <w:tcPr>
            <w:tcW w:w="496" w:type="pct"/>
            <w:vAlign w:val="center"/>
          </w:tcPr>
          <w:p>
            <w:pPr>
              <w:adjustRightInd w:val="0"/>
              <w:snapToGrid w:val="0"/>
              <w:spacing w:line="300" w:lineRule="exact"/>
              <w:jc w:val="center"/>
              <w:rPr>
                <w:rFonts w:ascii="仿宋_GB2312"/>
                <w:sz w:val="24"/>
                <w:szCs w:val="24"/>
              </w:rPr>
            </w:pPr>
            <w:r>
              <w:rPr>
                <w:rFonts w:hint="eastAsia" w:ascii="仿宋_GB2312" w:hAnsi="宋体"/>
                <w:sz w:val="24"/>
                <w:szCs w:val="24"/>
              </w:rPr>
              <w:t>6～10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6" w:hRule="atLeast"/>
          <w:jc w:val="center"/>
        </w:trPr>
        <w:tc>
          <w:tcPr>
            <w:tcW w:w="438" w:type="pct"/>
            <w:vMerge w:val="continue"/>
            <w:vAlign w:val="center"/>
          </w:tcPr>
          <w:p>
            <w:pPr>
              <w:adjustRightInd w:val="0"/>
              <w:snapToGrid w:val="0"/>
              <w:spacing w:line="300" w:lineRule="exact"/>
              <w:jc w:val="center"/>
              <w:rPr>
                <w:rFonts w:ascii="仿宋_GB2312" w:hAnsi="宋体"/>
                <w:sz w:val="24"/>
                <w:szCs w:val="24"/>
              </w:rPr>
            </w:pPr>
          </w:p>
        </w:tc>
        <w:tc>
          <w:tcPr>
            <w:tcW w:w="530" w:type="pct"/>
            <w:vMerge w:val="continue"/>
            <w:vAlign w:val="center"/>
          </w:tcPr>
          <w:p>
            <w:pPr>
              <w:adjustRightInd w:val="0"/>
              <w:snapToGrid w:val="0"/>
              <w:spacing w:line="300" w:lineRule="exact"/>
              <w:jc w:val="center"/>
              <w:rPr>
                <w:rFonts w:ascii="仿宋_GB2312" w:hAnsi="宋体"/>
                <w:sz w:val="24"/>
                <w:szCs w:val="24"/>
              </w:rPr>
            </w:pPr>
          </w:p>
        </w:tc>
        <w:tc>
          <w:tcPr>
            <w:tcW w:w="758" w:type="pct"/>
            <w:vAlign w:val="center"/>
          </w:tcPr>
          <w:p>
            <w:pPr>
              <w:spacing w:line="300" w:lineRule="exact"/>
              <w:jc w:val="center"/>
              <w:rPr>
                <w:rFonts w:ascii="仿宋_GB2312"/>
                <w:sz w:val="24"/>
                <w:szCs w:val="24"/>
              </w:rPr>
            </w:pPr>
            <w:r>
              <w:rPr>
                <w:rFonts w:hint="eastAsia" w:ascii="仿宋_GB2312"/>
                <w:sz w:val="24"/>
                <w:szCs w:val="24"/>
              </w:rPr>
              <w:t>质量控制</w:t>
            </w:r>
          </w:p>
        </w:tc>
        <w:tc>
          <w:tcPr>
            <w:tcW w:w="2778" w:type="pct"/>
            <w:vAlign w:val="center"/>
          </w:tcPr>
          <w:p>
            <w:pPr>
              <w:adjustRightInd w:val="0"/>
              <w:snapToGrid w:val="0"/>
              <w:spacing w:line="300" w:lineRule="exact"/>
              <w:rPr>
                <w:rFonts w:ascii="仿宋_GB2312" w:hAnsi="宋体"/>
                <w:sz w:val="24"/>
                <w:szCs w:val="24"/>
              </w:rPr>
            </w:pPr>
            <w:r>
              <w:rPr>
                <w:rFonts w:hint="eastAsia" w:ascii="仿宋_GB2312"/>
                <w:sz w:val="24"/>
                <w:szCs w:val="24"/>
              </w:rPr>
              <w:t>质量目标分解、平行检验的合理性；质量控制措施有效可靠性。</w:t>
            </w:r>
          </w:p>
        </w:tc>
        <w:tc>
          <w:tcPr>
            <w:tcW w:w="496" w:type="pct"/>
            <w:vAlign w:val="center"/>
          </w:tcPr>
          <w:p>
            <w:pPr>
              <w:adjustRightInd w:val="0"/>
              <w:snapToGrid w:val="0"/>
              <w:spacing w:line="300" w:lineRule="exact"/>
              <w:jc w:val="center"/>
              <w:rPr>
                <w:rFonts w:ascii="仿宋_GB2312" w:hAnsi="宋体"/>
                <w:sz w:val="24"/>
                <w:szCs w:val="24"/>
              </w:rPr>
            </w:pPr>
            <w:r>
              <w:rPr>
                <w:rFonts w:hint="eastAsia" w:ascii="仿宋_GB2312" w:hAnsi="宋体"/>
                <w:sz w:val="24"/>
                <w:szCs w:val="24"/>
              </w:rPr>
              <w:t>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438" w:type="pct"/>
            <w:vMerge w:val="continue"/>
            <w:vAlign w:val="center"/>
          </w:tcPr>
          <w:p>
            <w:pPr>
              <w:adjustRightInd w:val="0"/>
              <w:snapToGrid w:val="0"/>
              <w:spacing w:line="300" w:lineRule="exact"/>
              <w:jc w:val="center"/>
              <w:rPr>
                <w:rFonts w:ascii="仿宋_GB2312" w:hAnsi="宋体"/>
                <w:sz w:val="24"/>
                <w:szCs w:val="24"/>
              </w:rPr>
            </w:pPr>
          </w:p>
        </w:tc>
        <w:tc>
          <w:tcPr>
            <w:tcW w:w="530" w:type="pct"/>
            <w:vMerge w:val="continue"/>
            <w:vAlign w:val="center"/>
          </w:tcPr>
          <w:p>
            <w:pPr>
              <w:adjustRightInd w:val="0"/>
              <w:snapToGrid w:val="0"/>
              <w:spacing w:line="300" w:lineRule="exact"/>
              <w:jc w:val="center"/>
              <w:rPr>
                <w:rFonts w:ascii="仿宋_GB2312" w:hAnsi="宋体"/>
                <w:sz w:val="24"/>
                <w:szCs w:val="24"/>
              </w:rPr>
            </w:pPr>
          </w:p>
        </w:tc>
        <w:tc>
          <w:tcPr>
            <w:tcW w:w="758" w:type="pct"/>
            <w:vAlign w:val="center"/>
          </w:tcPr>
          <w:p>
            <w:pPr>
              <w:spacing w:line="300" w:lineRule="exact"/>
              <w:jc w:val="center"/>
              <w:rPr>
                <w:rFonts w:ascii="仿宋_GB2312"/>
                <w:sz w:val="24"/>
                <w:szCs w:val="24"/>
              </w:rPr>
            </w:pPr>
            <w:r>
              <w:rPr>
                <w:rFonts w:hint="eastAsia" w:ascii="仿宋_GB2312"/>
                <w:sz w:val="24"/>
                <w:szCs w:val="24"/>
              </w:rPr>
              <w:t>进度控制</w:t>
            </w:r>
          </w:p>
        </w:tc>
        <w:tc>
          <w:tcPr>
            <w:tcW w:w="2778" w:type="pct"/>
            <w:vAlign w:val="center"/>
          </w:tcPr>
          <w:p>
            <w:pPr>
              <w:adjustRightInd w:val="0"/>
              <w:snapToGrid w:val="0"/>
              <w:spacing w:line="300" w:lineRule="exact"/>
              <w:rPr>
                <w:rFonts w:ascii="仿宋_GB2312" w:hAnsi="宋体"/>
                <w:sz w:val="24"/>
                <w:szCs w:val="24"/>
              </w:rPr>
            </w:pPr>
            <w:r>
              <w:rPr>
                <w:rFonts w:hint="eastAsia" w:ascii="仿宋_GB2312"/>
                <w:sz w:val="24"/>
                <w:szCs w:val="24"/>
              </w:rPr>
              <w:t>工期总进度计划是否科学、合理；工期控制点设置是否合理。</w:t>
            </w:r>
          </w:p>
        </w:tc>
        <w:tc>
          <w:tcPr>
            <w:tcW w:w="496" w:type="pct"/>
            <w:vAlign w:val="center"/>
          </w:tcPr>
          <w:p>
            <w:pPr>
              <w:adjustRightInd w:val="0"/>
              <w:snapToGrid w:val="0"/>
              <w:spacing w:line="300" w:lineRule="exact"/>
              <w:jc w:val="center"/>
              <w:rPr>
                <w:rFonts w:ascii="仿宋_GB2312" w:hAnsi="宋体"/>
                <w:sz w:val="24"/>
                <w:szCs w:val="24"/>
              </w:rPr>
            </w:pPr>
            <w:r>
              <w:rPr>
                <w:rFonts w:hint="eastAsia" w:ascii="仿宋_GB2312" w:hAnsi="宋体"/>
                <w:sz w:val="24"/>
                <w:szCs w:val="24"/>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438" w:type="pct"/>
            <w:vMerge w:val="continue"/>
            <w:vAlign w:val="center"/>
          </w:tcPr>
          <w:p>
            <w:pPr>
              <w:adjustRightInd w:val="0"/>
              <w:snapToGrid w:val="0"/>
              <w:spacing w:line="300" w:lineRule="exact"/>
              <w:jc w:val="center"/>
              <w:rPr>
                <w:rFonts w:ascii="仿宋_GB2312" w:hAnsi="宋体"/>
                <w:sz w:val="24"/>
                <w:szCs w:val="24"/>
              </w:rPr>
            </w:pPr>
          </w:p>
        </w:tc>
        <w:tc>
          <w:tcPr>
            <w:tcW w:w="530" w:type="pct"/>
            <w:vMerge w:val="continue"/>
            <w:vAlign w:val="center"/>
          </w:tcPr>
          <w:p>
            <w:pPr>
              <w:adjustRightInd w:val="0"/>
              <w:snapToGrid w:val="0"/>
              <w:spacing w:line="300" w:lineRule="exact"/>
              <w:jc w:val="center"/>
              <w:rPr>
                <w:rFonts w:ascii="仿宋_GB2312" w:hAnsi="宋体"/>
                <w:sz w:val="24"/>
                <w:szCs w:val="24"/>
              </w:rPr>
            </w:pPr>
          </w:p>
        </w:tc>
        <w:tc>
          <w:tcPr>
            <w:tcW w:w="758" w:type="pct"/>
            <w:vAlign w:val="center"/>
          </w:tcPr>
          <w:p>
            <w:pPr>
              <w:spacing w:line="300" w:lineRule="exact"/>
              <w:jc w:val="center"/>
              <w:rPr>
                <w:rFonts w:ascii="仿宋_GB2312"/>
                <w:sz w:val="24"/>
                <w:szCs w:val="24"/>
              </w:rPr>
            </w:pPr>
            <w:r>
              <w:rPr>
                <w:rFonts w:hint="eastAsia" w:ascii="仿宋_GB2312"/>
                <w:sz w:val="24"/>
                <w:szCs w:val="24"/>
              </w:rPr>
              <w:t>投资控制</w:t>
            </w:r>
          </w:p>
        </w:tc>
        <w:tc>
          <w:tcPr>
            <w:tcW w:w="2778" w:type="pct"/>
            <w:vAlign w:val="center"/>
          </w:tcPr>
          <w:p>
            <w:pPr>
              <w:adjustRightInd w:val="0"/>
              <w:snapToGrid w:val="0"/>
              <w:spacing w:line="300" w:lineRule="exact"/>
              <w:rPr>
                <w:rFonts w:ascii="仿宋_GB2312" w:hAnsi="宋体"/>
                <w:sz w:val="24"/>
                <w:szCs w:val="24"/>
              </w:rPr>
            </w:pPr>
            <w:r>
              <w:rPr>
                <w:rFonts w:hint="eastAsia" w:ascii="仿宋_GB2312"/>
                <w:sz w:val="24"/>
                <w:szCs w:val="24"/>
              </w:rPr>
              <w:t>风险预测与防范对策是否有效可行；控制措施与手段是否健全有效。</w:t>
            </w:r>
          </w:p>
        </w:tc>
        <w:tc>
          <w:tcPr>
            <w:tcW w:w="496" w:type="pct"/>
            <w:vAlign w:val="center"/>
          </w:tcPr>
          <w:p>
            <w:pPr>
              <w:adjustRightInd w:val="0"/>
              <w:snapToGrid w:val="0"/>
              <w:spacing w:line="300" w:lineRule="exact"/>
              <w:jc w:val="center"/>
              <w:rPr>
                <w:rFonts w:ascii="仿宋_GB2312" w:hAnsi="宋体"/>
                <w:sz w:val="24"/>
                <w:szCs w:val="24"/>
              </w:rPr>
            </w:pPr>
            <w:r>
              <w:rPr>
                <w:rFonts w:hint="eastAsia" w:ascii="仿宋_GB2312" w:hAnsi="宋体"/>
                <w:sz w:val="24"/>
                <w:szCs w:val="24"/>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6" w:hRule="atLeast"/>
          <w:jc w:val="center"/>
        </w:trPr>
        <w:tc>
          <w:tcPr>
            <w:tcW w:w="438" w:type="pct"/>
            <w:vMerge w:val="continue"/>
            <w:vAlign w:val="center"/>
          </w:tcPr>
          <w:p>
            <w:pPr>
              <w:adjustRightInd w:val="0"/>
              <w:snapToGrid w:val="0"/>
              <w:spacing w:line="300" w:lineRule="exact"/>
              <w:jc w:val="center"/>
              <w:rPr>
                <w:rFonts w:ascii="仿宋_GB2312" w:hAnsi="宋体"/>
                <w:sz w:val="24"/>
                <w:szCs w:val="24"/>
              </w:rPr>
            </w:pPr>
          </w:p>
        </w:tc>
        <w:tc>
          <w:tcPr>
            <w:tcW w:w="530" w:type="pct"/>
            <w:vMerge w:val="continue"/>
            <w:vAlign w:val="center"/>
          </w:tcPr>
          <w:p>
            <w:pPr>
              <w:adjustRightInd w:val="0"/>
              <w:snapToGrid w:val="0"/>
              <w:spacing w:line="300" w:lineRule="exact"/>
              <w:jc w:val="center"/>
              <w:rPr>
                <w:rFonts w:ascii="仿宋_GB2312" w:hAnsi="宋体"/>
                <w:sz w:val="24"/>
                <w:szCs w:val="24"/>
              </w:rPr>
            </w:pPr>
          </w:p>
        </w:tc>
        <w:tc>
          <w:tcPr>
            <w:tcW w:w="758" w:type="pct"/>
            <w:vAlign w:val="center"/>
          </w:tcPr>
          <w:p>
            <w:pPr>
              <w:spacing w:line="300" w:lineRule="exact"/>
              <w:jc w:val="center"/>
              <w:rPr>
                <w:rFonts w:ascii="仿宋_GB2312"/>
                <w:sz w:val="24"/>
                <w:szCs w:val="24"/>
              </w:rPr>
            </w:pPr>
            <w:r>
              <w:rPr>
                <w:rFonts w:hint="eastAsia" w:ascii="仿宋_GB2312"/>
                <w:sz w:val="24"/>
                <w:szCs w:val="24"/>
              </w:rPr>
              <w:t>合同管理</w:t>
            </w:r>
          </w:p>
        </w:tc>
        <w:tc>
          <w:tcPr>
            <w:tcW w:w="2778" w:type="pct"/>
            <w:vAlign w:val="center"/>
          </w:tcPr>
          <w:p>
            <w:pPr>
              <w:adjustRightInd w:val="0"/>
              <w:snapToGrid w:val="0"/>
              <w:spacing w:line="300" w:lineRule="exact"/>
              <w:rPr>
                <w:rFonts w:ascii="仿宋_GB2312" w:hAnsi="宋体"/>
                <w:sz w:val="24"/>
                <w:szCs w:val="24"/>
              </w:rPr>
            </w:pPr>
            <w:r>
              <w:rPr>
                <w:rFonts w:hint="eastAsia" w:ascii="仿宋_GB2312"/>
                <w:sz w:val="24"/>
                <w:szCs w:val="24"/>
              </w:rPr>
              <w:t>合同管理、控制措施是否合理全面。</w:t>
            </w:r>
          </w:p>
        </w:tc>
        <w:tc>
          <w:tcPr>
            <w:tcW w:w="496" w:type="pct"/>
            <w:vAlign w:val="center"/>
          </w:tcPr>
          <w:p>
            <w:pPr>
              <w:adjustRightInd w:val="0"/>
              <w:snapToGrid w:val="0"/>
              <w:spacing w:line="300" w:lineRule="exact"/>
              <w:jc w:val="center"/>
              <w:rPr>
                <w:rFonts w:ascii="仿宋_GB2312" w:hAnsi="宋体"/>
                <w:sz w:val="24"/>
                <w:szCs w:val="24"/>
              </w:rPr>
            </w:pPr>
            <w:r>
              <w:rPr>
                <w:rFonts w:hint="eastAsia" w:ascii="仿宋_GB2312" w:hAnsi="宋体"/>
                <w:sz w:val="24"/>
                <w:szCs w:val="24"/>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0" w:hRule="atLeast"/>
          <w:jc w:val="center"/>
        </w:trPr>
        <w:tc>
          <w:tcPr>
            <w:tcW w:w="438" w:type="pct"/>
            <w:vMerge w:val="continue"/>
            <w:vAlign w:val="center"/>
          </w:tcPr>
          <w:p>
            <w:pPr>
              <w:adjustRightInd w:val="0"/>
              <w:snapToGrid w:val="0"/>
              <w:spacing w:line="300" w:lineRule="exact"/>
              <w:jc w:val="center"/>
              <w:rPr>
                <w:rFonts w:ascii="仿宋_GB2312" w:hAnsi="宋体"/>
                <w:sz w:val="24"/>
                <w:szCs w:val="24"/>
              </w:rPr>
            </w:pPr>
          </w:p>
        </w:tc>
        <w:tc>
          <w:tcPr>
            <w:tcW w:w="530" w:type="pct"/>
            <w:vMerge w:val="continue"/>
            <w:vAlign w:val="center"/>
          </w:tcPr>
          <w:p>
            <w:pPr>
              <w:adjustRightInd w:val="0"/>
              <w:snapToGrid w:val="0"/>
              <w:spacing w:line="300" w:lineRule="exact"/>
              <w:jc w:val="center"/>
              <w:rPr>
                <w:rFonts w:ascii="仿宋_GB2312" w:hAnsi="宋体"/>
                <w:sz w:val="24"/>
                <w:szCs w:val="24"/>
              </w:rPr>
            </w:pPr>
          </w:p>
        </w:tc>
        <w:tc>
          <w:tcPr>
            <w:tcW w:w="758" w:type="pct"/>
            <w:vAlign w:val="center"/>
          </w:tcPr>
          <w:p>
            <w:pPr>
              <w:spacing w:line="300" w:lineRule="exact"/>
              <w:jc w:val="center"/>
              <w:rPr>
                <w:rFonts w:ascii="仿宋_GB2312"/>
                <w:sz w:val="24"/>
                <w:szCs w:val="24"/>
              </w:rPr>
            </w:pPr>
            <w:r>
              <w:rPr>
                <w:rFonts w:hint="eastAsia" w:ascii="仿宋_GB2312"/>
                <w:sz w:val="24"/>
                <w:szCs w:val="24"/>
              </w:rPr>
              <w:t>安全生产、</w:t>
            </w:r>
          </w:p>
          <w:p>
            <w:pPr>
              <w:spacing w:line="300" w:lineRule="exact"/>
              <w:jc w:val="center"/>
              <w:rPr>
                <w:rFonts w:ascii="仿宋_GB2312"/>
                <w:sz w:val="24"/>
                <w:szCs w:val="24"/>
              </w:rPr>
            </w:pPr>
            <w:r>
              <w:rPr>
                <w:rFonts w:hint="eastAsia" w:ascii="仿宋_GB2312"/>
                <w:sz w:val="24"/>
                <w:szCs w:val="24"/>
              </w:rPr>
              <w:t>文明施工</w:t>
            </w:r>
          </w:p>
          <w:p>
            <w:pPr>
              <w:spacing w:line="300" w:lineRule="exact"/>
              <w:jc w:val="center"/>
              <w:rPr>
                <w:rFonts w:ascii="仿宋_GB2312"/>
                <w:sz w:val="24"/>
                <w:szCs w:val="24"/>
              </w:rPr>
            </w:pPr>
            <w:r>
              <w:rPr>
                <w:rFonts w:hint="eastAsia" w:ascii="仿宋_GB2312"/>
                <w:sz w:val="24"/>
                <w:szCs w:val="24"/>
              </w:rPr>
              <w:t>管控措施</w:t>
            </w:r>
          </w:p>
        </w:tc>
        <w:tc>
          <w:tcPr>
            <w:tcW w:w="2778" w:type="pct"/>
            <w:vAlign w:val="center"/>
          </w:tcPr>
          <w:p>
            <w:pPr>
              <w:adjustRightInd w:val="0"/>
              <w:snapToGrid w:val="0"/>
              <w:spacing w:line="300" w:lineRule="exact"/>
              <w:rPr>
                <w:rFonts w:ascii="仿宋_GB2312" w:hAnsi="宋体"/>
                <w:sz w:val="24"/>
                <w:szCs w:val="24"/>
              </w:rPr>
            </w:pPr>
            <w:r>
              <w:rPr>
                <w:rFonts w:hint="eastAsia" w:ascii="仿宋_GB2312"/>
                <w:sz w:val="24"/>
                <w:szCs w:val="24"/>
              </w:rPr>
              <w:t>安全保证体系是否健全、可靠；安全事故控制措施是否全面有效；文明施工、扬尘防治措施是否到位有效。</w:t>
            </w:r>
          </w:p>
        </w:tc>
        <w:tc>
          <w:tcPr>
            <w:tcW w:w="496" w:type="pct"/>
            <w:vAlign w:val="center"/>
          </w:tcPr>
          <w:p>
            <w:pPr>
              <w:adjustRightInd w:val="0"/>
              <w:snapToGrid w:val="0"/>
              <w:spacing w:line="300" w:lineRule="exact"/>
              <w:jc w:val="center"/>
              <w:rPr>
                <w:rFonts w:ascii="仿宋_GB2312" w:hAnsi="宋体"/>
                <w:sz w:val="24"/>
                <w:szCs w:val="24"/>
              </w:rPr>
            </w:pPr>
            <w:r>
              <w:rPr>
                <w:rFonts w:hint="eastAsia" w:ascii="仿宋_GB2312" w:hAnsi="宋体"/>
                <w:sz w:val="24"/>
                <w:szCs w:val="24"/>
              </w:rPr>
              <w:t>7～12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1" w:hRule="atLeast"/>
          <w:jc w:val="center"/>
        </w:trPr>
        <w:tc>
          <w:tcPr>
            <w:tcW w:w="438" w:type="pct"/>
            <w:vMerge w:val="continue"/>
            <w:vAlign w:val="center"/>
          </w:tcPr>
          <w:p>
            <w:pPr>
              <w:adjustRightInd w:val="0"/>
              <w:snapToGrid w:val="0"/>
              <w:spacing w:line="300" w:lineRule="exact"/>
              <w:jc w:val="center"/>
              <w:rPr>
                <w:rFonts w:ascii="仿宋_GB2312" w:hAnsi="宋体"/>
                <w:sz w:val="24"/>
                <w:szCs w:val="24"/>
              </w:rPr>
            </w:pPr>
          </w:p>
        </w:tc>
        <w:tc>
          <w:tcPr>
            <w:tcW w:w="530" w:type="pct"/>
            <w:vMerge w:val="continue"/>
            <w:vAlign w:val="center"/>
          </w:tcPr>
          <w:p>
            <w:pPr>
              <w:adjustRightInd w:val="0"/>
              <w:snapToGrid w:val="0"/>
              <w:spacing w:line="300" w:lineRule="exact"/>
              <w:jc w:val="center"/>
              <w:rPr>
                <w:rFonts w:ascii="仿宋_GB2312" w:hAnsi="宋体"/>
                <w:sz w:val="24"/>
                <w:szCs w:val="24"/>
              </w:rPr>
            </w:pPr>
          </w:p>
        </w:tc>
        <w:tc>
          <w:tcPr>
            <w:tcW w:w="758" w:type="pct"/>
            <w:vAlign w:val="center"/>
          </w:tcPr>
          <w:p>
            <w:pPr>
              <w:spacing w:line="300" w:lineRule="exact"/>
              <w:jc w:val="center"/>
              <w:rPr>
                <w:rFonts w:ascii="仿宋_GB2312"/>
                <w:sz w:val="24"/>
                <w:szCs w:val="24"/>
              </w:rPr>
            </w:pPr>
            <w:r>
              <w:rPr>
                <w:rFonts w:hint="eastAsia" w:ascii="仿宋_GB2312"/>
                <w:sz w:val="24"/>
                <w:szCs w:val="24"/>
              </w:rPr>
              <w:t>组织协调</w:t>
            </w:r>
          </w:p>
        </w:tc>
        <w:tc>
          <w:tcPr>
            <w:tcW w:w="2778" w:type="pct"/>
            <w:vAlign w:val="center"/>
          </w:tcPr>
          <w:p>
            <w:pPr>
              <w:adjustRightInd w:val="0"/>
              <w:snapToGrid w:val="0"/>
              <w:spacing w:line="300" w:lineRule="exact"/>
              <w:rPr>
                <w:rFonts w:ascii="仿宋_GB2312" w:hAnsi="宋体"/>
                <w:sz w:val="24"/>
                <w:szCs w:val="24"/>
              </w:rPr>
            </w:pPr>
            <w:r>
              <w:rPr>
                <w:rFonts w:hint="eastAsia" w:ascii="仿宋_GB2312"/>
                <w:sz w:val="24"/>
                <w:szCs w:val="24"/>
              </w:rPr>
              <w:t>有关工程建设参与方之间组织协调内容具体、措施得力。</w:t>
            </w:r>
          </w:p>
        </w:tc>
        <w:tc>
          <w:tcPr>
            <w:tcW w:w="496" w:type="pct"/>
            <w:vAlign w:val="center"/>
          </w:tcPr>
          <w:p>
            <w:pPr>
              <w:adjustRightInd w:val="0"/>
              <w:snapToGrid w:val="0"/>
              <w:spacing w:line="300" w:lineRule="exact"/>
              <w:jc w:val="center"/>
              <w:rPr>
                <w:rFonts w:ascii="仿宋_GB2312" w:hAnsi="宋体"/>
                <w:sz w:val="24"/>
                <w:szCs w:val="24"/>
              </w:rPr>
            </w:pPr>
            <w:r>
              <w:rPr>
                <w:rFonts w:hint="eastAsia" w:ascii="仿宋_GB2312" w:hAnsi="宋体"/>
                <w:sz w:val="24"/>
                <w:szCs w:val="24"/>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438" w:type="pct"/>
            <w:vMerge w:val="continue"/>
            <w:vAlign w:val="center"/>
          </w:tcPr>
          <w:p>
            <w:pPr>
              <w:adjustRightInd w:val="0"/>
              <w:snapToGrid w:val="0"/>
              <w:spacing w:line="300" w:lineRule="exact"/>
              <w:jc w:val="center"/>
              <w:rPr>
                <w:rFonts w:ascii="仿宋_GB2312" w:hAnsi="宋体"/>
                <w:sz w:val="24"/>
                <w:szCs w:val="24"/>
              </w:rPr>
            </w:pPr>
          </w:p>
        </w:tc>
        <w:tc>
          <w:tcPr>
            <w:tcW w:w="530" w:type="pct"/>
            <w:vMerge w:val="continue"/>
            <w:vAlign w:val="center"/>
          </w:tcPr>
          <w:p>
            <w:pPr>
              <w:adjustRightInd w:val="0"/>
              <w:snapToGrid w:val="0"/>
              <w:spacing w:line="300" w:lineRule="exact"/>
              <w:jc w:val="center"/>
              <w:rPr>
                <w:rFonts w:ascii="仿宋_GB2312" w:hAnsi="宋体"/>
                <w:sz w:val="24"/>
                <w:szCs w:val="24"/>
              </w:rPr>
            </w:pPr>
          </w:p>
        </w:tc>
        <w:tc>
          <w:tcPr>
            <w:tcW w:w="758" w:type="pct"/>
            <w:vAlign w:val="center"/>
          </w:tcPr>
          <w:p>
            <w:pPr>
              <w:spacing w:line="300" w:lineRule="exact"/>
              <w:jc w:val="center"/>
              <w:rPr>
                <w:rFonts w:ascii="仿宋_GB2312"/>
                <w:sz w:val="24"/>
                <w:szCs w:val="24"/>
              </w:rPr>
            </w:pPr>
            <w:r>
              <w:rPr>
                <w:rFonts w:hint="eastAsia" w:ascii="仿宋_GB2312"/>
                <w:sz w:val="24"/>
                <w:szCs w:val="24"/>
              </w:rPr>
              <w:t>监理要点</w:t>
            </w:r>
          </w:p>
        </w:tc>
        <w:tc>
          <w:tcPr>
            <w:tcW w:w="2778" w:type="pct"/>
            <w:vAlign w:val="center"/>
          </w:tcPr>
          <w:p>
            <w:pPr>
              <w:adjustRightInd w:val="0"/>
              <w:snapToGrid w:val="0"/>
              <w:spacing w:line="300" w:lineRule="exact"/>
              <w:rPr>
                <w:rFonts w:ascii="仿宋_GB2312"/>
                <w:sz w:val="24"/>
                <w:szCs w:val="24"/>
              </w:rPr>
            </w:pPr>
            <w:r>
              <w:rPr>
                <w:rFonts w:hint="eastAsia" w:ascii="仿宋_GB2312"/>
                <w:sz w:val="24"/>
                <w:szCs w:val="24"/>
              </w:rPr>
              <w:t>针对本工程特点、技术难点及关键部位的分析及相应的监理控制措施是否齐全。</w:t>
            </w:r>
          </w:p>
        </w:tc>
        <w:tc>
          <w:tcPr>
            <w:tcW w:w="496" w:type="pct"/>
            <w:vAlign w:val="center"/>
          </w:tcPr>
          <w:p>
            <w:pPr>
              <w:adjustRightInd w:val="0"/>
              <w:snapToGrid w:val="0"/>
              <w:spacing w:line="300" w:lineRule="exact"/>
              <w:jc w:val="center"/>
              <w:rPr>
                <w:rFonts w:ascii="仿宋_GB2312" w:hAnsi="宋体"/>
                <w:sz w:val="24"/>
                <w:szCs w:val="24"/>
              </w:rPr>
            </w:pPr>
            <w:r>
              <w:rPr>
                <w:rFonts w:hint="eastAsia" w:ascii="仿宋_GB2312" w:hAnsi="宋体"/>
                <w:sz w:val="24"/>
                <w:szCs w:val="24"/>
              </w:rPr>
              <w:t>6～10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438" w:type="pct"/>
            <w:vMerge w:val="continue"/>
            <w:vAlign w:val="center"/>
          </w:tcPr>
          <w:p>
            <w:pPr>
              <w:adjustRightInd w:val="0"/>
              <w:snapToGrid w:val="0"/>
              <w:spacing w:line="300" w:lineRule="exact"/>
              <w:jc w:val="center"/>
              <w:rPr>
                <w:rFonts w:ascii="仿宋_GB2312" w:hAnsi="宋体"/>
                <w:sz w:val="24"/>
                <w:szCs w:val="24"/>
              </w:rPr>
            </w:pPr>
          </w:p>
        </w:tc>
        <w:tc>
          <w:tcPr>
            <w:tcW w:w="530" w:type="pct"/>
            <w:vMerge w:val="continue"/>
            <w:vAlign w:val="center"/>
          </w:tcPr>
          <w:p>
            <w:pPr>
              <w:adjustRightInd w:val="0"/>
              <w:snapToGrid w:val="0"/>
              <w:spacing w:line="300" w:lineRule="exact"/>
              <w:jc w:val="center"/>
              <w:rPr>
                <w:rFonts w:ascii="仿宋_GB2312" w:hAnsi="宋体"/>
                <w:sz w:val="24"/>
                <w:szCs w:val="24"/>
              </w:rPr>
            </w:pPr>
          </w:p>
        </w:tc>
        <w:tc>
          <w:tcPr>
            <w:tcW w:w="758" w:type="pct"/>
            <w:vAlign w:val="center"/>
          </w:tcPr>
          <w:p>
            <w:pPr>
              <w:spacing w:line="300" w:lineRule="exact"/>
              <w:jc w:val="center"/>
              <w:rPr>
                <w:rFonts w:ascii="仿宋_GB2312"/>
                <w:sz w:val="24"/>
                <w:szCs w:val="24"/>
              </w:rPr>
            </w:pPr>
            <w:r>
              <w:rPr>
                <w:rFonts w:hint="eastAsia" w:ascii="仿宋_GB2312"/>
                <w:sz w:val="24"/>
                <w:szCs w:val="24"/>
              </w:rPr>
              <w:t>工作制度</w:t>
            </w:r>
          </w:p>
        </w:tc>
        <w:tc>
          <w:tcPr>
            <w:tcW w:w="2778" w:type="pct"/>
            <w:vAlign w:val="center"/>
          </w:tcPr>
          <w:p>
            <w:pPr>
              <w:adjustRightInd w:val="0"/>
              <w:snapToGrid w:val="0"/>
              <w:spacing w:line="300" w:lineRule="exact"/>
              <w:rPr>
                <w:rFonts w:ascii="仿宋_GB2312" w:hAnsi="宋体"/>
                <w:sz w:val="24"/>
                <w:szCs w:val="24"/>
              </w:rPr>
            </w:pPr>
            <w:r>
              <w:rPr>
                <w:rFonts w:hint="eastAsia" w:ascii="仿宋_GB2312"/>
                <w:sz w:val="24"/>
                <w:szCs w:val="24"/>
              </w:rPr>
              <w:t>验收制度、签证制度、会议制度等各项制度是否健全、可操作。</w:t>
            </w:r>
          </w:p>
        </w:tc>
        <w:tc>
          <w:tcPr>
            <w:tcW w:w="496" w:type="pct"/>
            <w:vAlign w:val="center"/>
          </w:tcPr>
          <w:p>
            <w:pPr>
              <w:adjustRightInd w:val="0"/>
              <w:snapToGrid w:val="0"/>
              <w:spacing w:line="300" w:lineRule="exact"/>
              <w:jc w:val="center"/>
              <w:rPr>
                <w:rFonts w:ascii="仿宋_GB2312" w:hAnsi="宋体"/>
                <w:sz w:val="24"/>
                <w:szCs w:val="24"/>
              </w:rPr>
            </w:pPr>
            <w:r>
              <w:rPr>
                <w:rFonts w:hint="eastAsia" w:ascii="仿宋_GB2312" w:hAnsi="宋体"/>
                <w:sz w:val="24"/>
                <w:szCs w:val="24"/>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438" w:type="pct"/>
            <w:vMerge w:val="continue"/>
            <w:vAlign w:val="center"/>
          </w:tcPr>
          <w:p>
            <w:pPr>
              <w:adjustRightInd w:val="0"/>
              <w:snapToGrid w:val="0"/>
              <w:spacing w:line="300" w:lineRule="exact"/>
              <w:jc w:val="center"/>
              <w:rPr>
                <w:rFonts w:ascii="仿宋_GB2312" w:hAnsi="宋体"/>
                <w:sz w:val="24"/>
                <w:szCs w:val="24"/>
              </w:rPr>
            </w:pPr>
          </w:p>
        </w:tc>
        <w:tc>
          <w:tcPr>
            <w:tcW w:w="530" w:type="pct"/>
            <w:vMerge w:val="continue"/>
            <w:vAlign w:val="center"/>
          </w:tcPr>
          <w:p>
            <w:pPr>
              <w:adjustRightInd w:val="0"/>
              <w:snapToGrid w:val="0"/>
              <w:spacing w:line="300" w:lineRule="exact"/>
              <w:jc w:val="center"/>
              <w:rPr>
                <w:rFonts w:ascii="仿宋_GB2312" w:hAnsi="宋体"/>
                <w:sz w:val="24"/>
                <w:szCs w:val="24"/>
              </w:rPr>
            </w:pPr>
          </w:p>
        </w:tc>
        <w:tc>
          <w:tcPr>
            <w:tcW w:w="758" w:type="pct"/>
            <w:vAlign w:val="center"/>
          </w:tcPr>
          <w:p>
            <w:pPr>
              <w:spacing w:line="300" w:lineRule="exact"/>
              <w:jc w:val="center"/>
              <w:rPr>
                <w:rFonts w:ascii="仿宋_GB2312"/>
                <w:sz w:val="24"/>
                <w:szCs w:val="24"/>
              </w:rPr>
            </w:pPr>
            <w:r>
              <w:rPr>
                <w:rFonts w:hint="eastAsia" w:ascii="仿宋_GB2312"/>
                <w:sz w:val="24"/>
                <w:szCs w:val="24"/>
              </w:rPr>
              <w:t>旁站监理</w:t>
            </w:r>
          </w:p>
        </w:tc>
        <w:tc>
          <w:tcPr>
            <w:tcW w:w="2778" w:type="pct"/>
            <w:vAlign w:val="center"/>
          </w:tcPr>
          <w:p>
            <w:pPr>
              <w:adjustRightInd w:val="0"/>
              <w:snapToGrid w:val="0"/>
              <w:spacing w:line="300" w:lineRule="exact"/>
              <w:rPr>
                <w:rFonts w:ascii="仿宋_GB2312" w:hAnsi="宋体"/>
                <w:sz w:val="24"/>
                <w:szCs w:val="24"/>
              </w:rPr>
            </w:pPr>
            <w:r>
              <w:rPr>
                <w:rFonts w:hint="eastAsia" w:ascii="仿宋_GB2312"/>
                <w:sz w:val="24"/>
                <w:szCs w:val="24"/>
              </w:rPr>
              <w:t>关键部位的旁站监理方案是否完整、可行。</w:t>
            </w:r>
          </w:p>
        </w:tc>
        <w:tc>
          <w:tcPr>
            <w:tcW w:w="496" w:type="pct"/>
            <w:vAlign w:val="center"/>
          </w:tcPr>
          <w:p>
            <w:pPr>
              <w:adjustRightInd w:val="0"/>
              <w:snapToGrid w:val="0"/>
              <w:spacing w:line="300" w:lineRule="exact"/>
              <w:jc w:val="center"/>
              <w:rPr>
                <w:rFonts w:ascii="仿宋_GB2312" w:hAnsi="宋体"/>
                <w:sz w:val="24"/>
                <w:szCs w:val="24"/>
              </w:rPr>
            </w:pPr>
            <w:r>
              <w:rPr>
                <w:rFonts w:hint="eastAsia" w:ascii="仿宋_GB2312" w:hAnsi="宋体"/>
                <w:sz w:val="24"/>
                <w:szCs w:val="24"/>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38" w:type="pct"/>
            <w:vAlign w:val="center"/>
          </w:tcPr>
          <w:p>
            <w:pPr>
              <w:spacing w:line="300" w:lineRule="exact"/>
              <w:jc w:val="center"/>
              <w:rPr>
                <w:rFonts w:ascii="仿宋_GB2312" w:hAnsi="宋体"/>
                <w:sz w:val="24"/>
                <w:szCs w:val="24"/>
              </w:rPr>
            </w:pPr>
            <w:r>
              <w:rPr>
                <w:rFonts w:hint="eastAsia" w:ascii="仿宋_GB2312" w:hAnsi="宋体"/>
                <w:sz w:val="24"/>
                <w:szCs w:val="24"/>
              </w:rPr>
              <w:t>监理力量配备</w:t>
            </w:r>
          </w:p>
        </w:tc>
        <w:tc>
          <w:tcPr>
            <w:tcW w:w="530" w:type="pct"/>
            <w:vAlign w:val="center"/>
          </w:tcPr>
          <w:p>
            <w:pPr>
              <w:spacing w:line="300" w:lineRule="exact"/>
              <w:jc w:val="center"/>
              <w:rPr>
                <w:rFonts w:ascii="仿宋_GB2312" w:hAnsi="宋体"/>
                <w:sz w:val="24"/>
                <w:szCs w:val="24"/>
              </w:rPr>
            </w:pPr>
            <w:r>
              <w:rPr>
                <w:rFonts w:hint="eastAsia" w:ascii="仿宋_GB2312" w:hAnsi="宋体"/>
                <w:sz w:val="24"/>
                <w:szCs w:val="24"/>
              </w:rPr>
              <w:t>20</w:t>
            </w:r>
          </w:p>
        </w:tc>
        <w:tc>
          <w:tcPr>
            <w:tcW w:w="758" w:type="pct"/>
            <w:vAlign w:val="center"/>
          </w:tcPr>
          <w:p>
            <w:pPr>
              <w:widowControl/>
              <w:spacing w:line="300" w:lineRule="exact"/>
              <w:jc w:val="center"/>
              <w:rPr>
                <w:rFonts w:ascii="仿宋_GB2312"/>
                <w:sz w:val="24"/>
                <w:szCs w:val="24"/>
              </w:rPr>
            </w:pPr>
            <w:r>
              <w:rPr>
                <w:rFonts w:hint="eastAsia" w:ascii="仿宋_GB2312"/>
                <w:sz w:val="24"/>
                <w:szCs w:val="24"/>
              </w:rPr>
              <w:t>机构人员</w:t>
            </w:r>
          </w:p>
          <w:p>
            <w:pPr>
              <w:widowControl/>
              <w:spacing w:line="300" w:lineRule="exact"/>
              <w:jc w:val="center"/>
              <w:rPr>
                <w:rFonts w:ascii="仿宋_GB2312" w:hAnsi="宋体"/>
                <w:sz w:val="24"/>
                <w:szCs w:val="24"/>
              </w:rPr>
            </w:pPr>
            <w:r>
              <w:rPr>
                <w:rFonts w:hint="eastAsia" w:ascii="仿宋_GB2312"/>
                <w:sz w:val="24"/>
                <w:szCs w:val="24"/>
              </w:rPr>
              <w:t>配备计划</w:t>
            </w:r>
          </w:p>
        </w:tc>
        <w:tc>
          <w:tcPr>
            <w:tcW w:w="2778" w:type="pct"/>
            <w:vAlign w:val="center"/>
          </w:tcPr>
          <w:p>
            <w:pPr>
              <w:widowControl/>
              <w:spacing w:line="300" w:lineRule="exact"/>
              <w:rPr>
                <w:rFonts w:ascii="仿宋_GB2312"/>
                <w:sz w:val="24"/>
                <w:szCs w:val="24"/>
              </w:rPr>
            </w:pPr>
            <w:r>
              <w:rPr>
                <w:rFonts w:hint="eastAsia" w:ascii="仿宋_GB2312"/>
                <w:sz w:val="24"/>
                <w:szCs w:val="24"/>
              </w:rPr>
              <w:t>1.投标文件响应在招标文件中提出要求，配备专业齐全，且承诺全体项目组成员到位率达85%以上的，得20分。2.招标人可以采用答辩环节对总监履职能力进行评估打分（0</w:t>
            </w:r>
            <w:r>
              <w:rPr>
                <w:rFonts w:hint="eastAsia" w:ascii="仿宋_GB2312" w:hAnsi="宋体"/>
                <w:sz w:val="24"/>
                <w:szCs w:val="24"/>
              </w:rPr>
              <w:t>～5</w:t>
            </w:r>
            <w:r>
              <w:rPr>
                <w:rFonts w:hint="eastAsia" w:ascii="仿宋_GB2312"/>
                <w:sz w:val="24"/>
                <w:szCs w:val="24"/>
              </w:rPr>
              <w:t>），无法到场参加答辩的，得0分。（若采用答辩环节，分值分配为第1项15分，第2项5分。）</w:t>
            </w:r>
          </w:p>
        </w:tc>
        <w:tc>
          <w:tcPr>
            <w:tcW w:w="496" w:type="pct"/>
            <w:vAlign w:val="center"/>
          </w:tcPr>
          <w:p>
            <w:pPr>
              <w:spacing w:line="300" w:lineRule="exact"/>
              <w:jc w:val="center"/>
              <w:rPr>
                <w:rFonts w:ascii="仿宋_GB2312" w:hAnsi="宋体"/>
                <w:sz w:val="24"/>
                <w:szCs w:val="24"/>
              </w:rPr>
            </w:pPr>
            <w:r>
              <w:rPr>
                <w:rFonts w:hint="eastAsia" w:ascii="仿宋_GB2312" w:hAnsi="宋体"/>
                <w:sz w:val="24"/>
                <w:szCs w:val="24"/>
              </w:rPr>
              <w:t>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38" w:type="pct"/>
            <w:vAlign w:val="center"/>
          </w:tcPr>
          <w:p>
            <w:pPr>
              <w:spacing w:line="300" w:lineRule="exact"/>
              <w:jc w:val="center"/>
              <w:rPr>
                <w:rFonts w:ascii="仿宋_GB2312" w:hAnsi="宋体"/>
                <w:sz w:val="24"/>
                <w:szCs w:val="24"/>
              </w:rPr>
            </w:pPr>
            <w:r>
              <w:rPr>
                <w:rFonts w:hint="eastAsia" w:ascii="仿宋_GB2312" w:hAnsi="宋体"/>
                <w:sz w:val="24"/>
                <w:szCs w:val="24"/>
              </w:rPr>
              <w:t>检测设备</w:t>
            </w:r>
          </w:p>
        </w:tc>
        <w:tc>
          <w:tcPr>
            <w:tcW w:w="530" w:type="pct"/>
            <w:vAlign w:val="center"/>
          </w:tcPr>
          <w:p>
            <w:pPr>
              <w:spacing w:line="300" w:lineRule="exact"/>
              <w:jc w:val="center"/>
              <w:rPr>
                <w:rFonts w:ascii="仿宋_GB2312" w:hAnsi="宋体"/>
                <w:sz w:val="24"/>
                <w:szCs w:val="24"/>
              </w:rPr>
            </w:pPr>
            <w:r>
              <w:rPr>
                <w:rFonts w:hint="eastAsia" w:ascii="仿宋_GB2312" w:hAnsi="宋体"/>
                <w:sz w:val="24"/>
                <w:szCs w:val="24"/>
              </w:rPr>
              <w:t>5</w:t>
            </w:r>
          </w:p>
        </w:tc>
        <w:tc>
          <w:tcPr>
            <w:tcW w:w="3536" w:type="pct"/>
            <w:gridSpan w:val="2"/>
            <w:vAlign w:val="center"/>
          </w:tcPr>
          <w:p>
            <w:pPr>
              <w:spacing w:line="300" w:lineRule="exact"/>
              <w:rPr>
                <w:rFonts w:ascii="仿宋_GB2312" w:hAnsi="宋体"/>
                <w:sz w:val="24"/>
                <w:szCs w:val="24"/>
              </w:rPr>
            </w:pPr>
            <w:r>
              <w:rPr>
                <w:rFonts w:hint="eastAsia" w:ascii="仿宋_GB2312" w:hAnsi="宋体"/>
                <w:sz w:val="24"/>
                <w:szCs w:val="24"/>
              </w:rPr>
              <w:t>企业响应招标文件要求必备的仪器设备齐全的得3分。不响应招标文件要求，缺少必备的平行检测设备的,视为无效标。倡导监理单位自行配置办公设施（设备），配置齐全得2分，未承诺的，不得分。</w:t>
            </w:r>
          </w:p>
        </w:tc>
        <w:tc>
          <w:tcPr>
            <w:tcW w:w="496" w:type="pct"/>
            <w:vAlign w:val="center"/>
          </w:tcPr>
          <w:p>
            <w:pPr>
              <w:spacing w:line="300" w:lineRule="exact"/>
              <w:jc w:val="center"/>
              <w:rPr>
                <w:rFonts w:ascii="仿宋_GB2312" w:hAnsi="宋体"/>
                <w:sz w:val="24"/>
                <w:szCs w:val="24"/>
              </w:rPr>
            </w:pPr>
            <w:r>
              <w:rPr>
                <w:rFonts w:hint="eastAsia" w:ascii="仿宋_GB2312" w:hAnsi="宋体"/>
                <w:sz w:val="24"/>
                <w:szCs w:val="24"/>
              </w:rPr>
              <w:t>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38" w:type="pct"/>
            <w:vAlign w:val="center"/>
          </w:tcPr>
          <w:p>
            <w:pPr>
              <w:spacing w:line="300" w:lineRule="exact"/>
              <w:jc w:val="center"/>
              <w:rPr>
                <w:rFonts w:ascii="仿宋_GB2312" w:hAnsi="宋体"/>
                <w:sz w:val="24"/>
                <w:szCs w:val="24"/>
              </w:rPr>
            </w:pPr>
            <w:r>
              <w:rPr>
                <w:rFonts w:hint="eastAsia" w:ascii="仿宋_GB2312" w:hAnsi="宋体"/>
                <w:sz w:val="24"/>
                <w:szCs w:val="24"/>
              </w:rPr>
              <w:t>后期服务</w:t>
            </w:r>
          </w:p>
        </w:tc>
        <w:tc>
          <w:tcPr>
            <w:tcW w:w="530" w:type="pct"/>
            <w:vAlign w:val="center"/>
          </w:tcPr>
          <w:p>
            <w:pPr>
              <w:spacing w:line="300" w:lineRule="exact"/>
              <w:jc w:val="center"/>
              <w:rPr>
                <w:rFonts w:ascii="仿宋_GB2312" w:hAnsi="宋体"/>
                <w:sz w:val="24"/>
                <w:szCs w:val="24"/>
              </w:rPr>
            </w:pPr>
            <w:r>
              <w:rPr>
                <w:rFonts w:hint="eastAsia" w:ascii="仿宋_GB2312" w:hAnsi="宋体"/>
                <w:sz w:val="24"/>
                <w:szCs w:val="24"/>
              </w:rPr>
              <w:t>5</w:t>
            </w:r>
          </w:p>
        </w:tc>
        <w:tc>
          <w:tcPr>
            <w:tcW w:w="3536" w:type="pct"/>
            <w:gridSpan w:val="2"/>
            <w:vAlign w:val="center"/>
          </w:tcPr>
          <w:p>
            <w:pPr>
              <w:spacing w:line="300" w:lineRule="exact"/>
              <w:rPr>
                <w:rFonts w:ascii="仿宋_GB2312" w:hAnsi="宋体"/>
                <w:sz w:val="24"/>
                <w:szCs w:val="24"/>
              </w:rPr>
            </w:pPr>
            <w:r>
              <w:rPr>
                <w:rFonts w:hint="eastAsia" w:ascii="仿宋_GB2312" w:hAnsi="宋体"/>
                <w:sz w:val="24"/>
                <w:szCs w:val="24"/>
              </w:rPr>
              <w:t>竣工后工程结算及后续维保期间跟踪服务承诺</w:t>
            </w:r>
          </w:p>
        </w:tc>
        <w:tc>
          <w:tcPr>
            <w:tcW w:w="496" w:type="pct"/>
            <w:vAlign w:val="center"/>
          </w:tcPr>
          <w:p>
            <w:pPr>
              <w:spacing w:line="300" w:lineRule="exact"/>
              <w:jc w:val="center"/>
              <w:rPr>
                <w:rFonts w:ascii="仿宋_GB2312" w:hAnsi="宋体"/>
                <w:sz w:val="24"/>
                <w:szCs w:val="24"/>
              </w:rPr>
            </w:pPr>
            <w:r>
              <w:rPr>
                <w:rFonts w:hint="eastAsia" w:ascii="仿宋_GB2312" w:hAnsi="宋体"/>
                <w:sz w:val="24"/>
                <w:szCs w:val="24"/>
              </w:rPr>
              <w:t>3～5</w:t>
            </w:r>
          </w:p>
        </w:tc>
      </w:tr>
    </w:tbl>
    <w:p>
      <w:pPr>
        <w:spacing w:line="560" w:lineRule="exact"/>
        <w:ind w:firstLine="643" w:firstLineChars="200"/>
        <w:rPr>
          <w:rFonts w:ascii="仿宋_GB2312" w:hAnsi="宋体"/>
          <w:b/>
          <w:snapToGrid w:val="0"/>
          <w:color w:val="000000"/>
          <w:kern w:val="32"/>
          <w:szCs w:val="32"/>
        </w:rPr>
      </w:pPr>
      <w:r>
        <w:rPr>
          <w:rFonts w:hint="eastAsia" w:ascii="仿宋_GB2312" w:hAnsi="宋体"/>
          <w:b/>
          <w:snapToGrid w:val="0"/>
          <w:color w:val="000000"/>
          <w:kern w:val="32"/>
          <w:szCs w:val="32"/>
        </w:rPr>
        <w:t>技术标评审说明：</w:t>
      </w:r>
    </w:p>
    <w:p>
      <w:pPr>
        <w:spacing w:line="560" w:lineRule="exact"/>
        <w:ind w:firstLine="640" w:firstLineChars="200"/>
        <w:rPr>
          <w:rFonts w:ascii="仿宋_GB2312" w:hAnsi="宋体"/>
          <w:snapToGrid w:val="0"/>
          <w:color w:val="000000"/>
          <w:kern w:val="32"/>
          <w:szCs w:val="32"/>
        </w:rPr>
      </w:pPr>
      <w:r>
        <w:rPr>
          <w:rFonts w:hint="eastAsia" w:ascii="仿宋_GB2312" w:hAnsi="宋体"/>
          <w:snapToGrid w:val="0"/>
          <w:color w:val="000000"/>
          <w:kern w:val="32"/>
          <w:szCs w:val="32"/>
        </w:rPr>
        <w:t>1.上述评分内容缺项、不响应招标文件配备相应专业人员及相应检测设备的技术标视为无效标，评标委员会应当否决其投标，说明理由后不再进行下一阶评审。</w:t>
      </w:r>
    </w:p>
    <w:p>
      <w:pPr>
        <w:pStyle w:val="2"/>
        <w:widowControl w:val="0"/>
        <w:spacing w:after="0" w:line="560" w:lineRule="exact"/>
        <w:ind w:firstLine="640" w:firstLineChars="200"/>
        <w:rPr>
          <w:rFonts w:ascii="仿宋_GB2312" w:hAnsi="宋体" w:eastAsia="仿宋_GB2312" w:cs="Times New Roman"/>
          <w:snapToGrid w:val="0"/>
          <w:color w:val="000000"/>
          <w:kern w:val="32"/>
          <w:sz w:val="32"/>
          <w:szCs w:val="32"/>
        </w:rPr>
      </w:pPr>
      <w:r>
        <w:rPr>
          <w:rFonts w:hint="eastAsia" w:ascii="仿宋_GB2312" w:hAnsi="宋体" w:eastAsia="仿宋_GB2312" w:cs="Times New Roman"/>
          <w:snapToGrid w:val="0"/>
          <w:color w:val="000000"/>
          <w:kern w:val="32"/>
          <w:sz w:val="32"/>
          <w:szCs w:val="32"/>
        </w:rPr>
        <w:t>2.以上内容评分时保留一位小数。分值合计时，去掉一个最高分和一个最低分后，再计算算术平均值，保留2位小数，小数点后第三位四舍五入。</w:t>
      </w:r>
    </w:p>
    <w:p>
      <w:pPr>
        <w:pStyle w:val="2"/>
        <w:widowControl w:val="0"/>
        <w:spacing w:after="0" w:line="560" w:lineRule="exact"/>
        <w:ind w:firstLine="640" w:firstLineChars="200"/>
        <w:rPr>
          <w:rFonts w:ascii="仿宋_GB2312" w:hAnsi="宋体" w:eastAsia="仿宋_GB2312" w:cs="Times New Roman"/>
          <w:snapToGrid w:val="0"/>
          <w:color w:val="000000"/>
          <w:kern w:val="32"/>
          <w:sz w:val="32"/>
          <w:szCs w:val="32"/>
        </w:rPr>
      </w:pPr>
      <w:r>
        <w:rPr>
          <w:rFonts w:hint="eastAsia" w:ascii="仿宋_GB2312" w:hAnsi="宋体" w:eastAsia="仿宋_GB2312" w:cs="Times New Roman"/>
          <w:snapToGrid w:val="0"/>
          <w:color w:val="000000"/>
          <w:kern w:val="32"/>
          <w:sz w:val="32"/>
          <w:szCs w:val="32"/>
        </w:rPr>
        <w:t>3.项目监理机构人员配备必须符合《湖州市项目监理机构人员配备最低标准》（附件4）。</w:t>
      </w:r>
    </w:p>
    <w:p>
      <w:pPr>
        <w:spacing w:line="560" w:lineRule="exact"/>
        <w:ind w:firstLine="640" w:firstLineChars="200"/>
        <w:rPr>
          <w:snapToGrid w:val="0"/>
          <w:kern w:val="32"/>
          <w:szCs w:val="32"/>
          <w:highlight w:val="yellow"/>
        </w:rPr>
      </w:pPr>
      <w:r>
        <w:rPr>
          <w:rFonts w:hint="eastAsia" w:ascii="仿宋_GB2312" w:hAnsi="宋体"/>
          <w:snapToGrid w:val="0"/>
          <w:color w:val="000000"/>
          <w:kern w:val="32"/>
          <w:szCs w:val="32"/>
        </w:rPr>
        <w:t>4.技术标评审原则上采用暗标形式。</w:t>
      </w:r>
    </w:p>
    <w:p>
      <w:pPr>
        <w:spacing w:line="560" w:lineRule="exact"/>
        <w:ind w:firstLine="640" w:firstLineChars="200"/>
        <w:rPr>
          <w:rFonts w:ascii="仿宋_GB2312" w:hAnsi="仿宋_GB2312" w:cs="宋体"/>
          <w:snapToGrid w:val="0"/>
          <w:color w:val="000000"/>
          <w:kern w:val="32"/>
          <w:szCs w:val="32"/>
        </w:rPr>
      </w:pPr>
      <w:r>
        <w:rPr>
          <w:rFonts w:hint="eastAsia" w:ascii="黑体" w:hAnsi="宋体" w:eastAsia="黑体" w:cs="宋体"/>
          <w:snapToGrid w:val="0"/>
          <w:color w:val="000000"/>
          <w:kern w:val="32"/>
          <w:szCs w:val="32"/>
        </w:rPr>
        <w:t xml:space="preserve">第七条  </w:t>
      </w:r>
      <w:r>
        <w:rPr>
          <w:rFonts w:hint="eastAsia" w:ascii="仿宋_GB2312" w:hAnsi="仿宋_GB2312" w:cs="宋体"/>
          <w:snapToGrid w:val="0"/>
          <w:color w:val="000000"/>
          <w:kern w:val="32"/>
          <w:szCs w:val="32"/>
        </w:rPr>
        <w:t>商务标总分100分，按以下标准评定。</w:t>
      </w:r>
    </w:p>
    <w:p>
      <w:pPr>
        <w:spacing w:line="560" w:lineRule="exact"/>
        <w:ind w:firstLine="640" w:firstLineChars="200"/>
        <w:rPr>
          <w:rFonts w:ascii="仿宋_GB2312" w:hAnsi="仿宋_GB2312" w:cs="宋体"/>
          <w:snapToGrid w:val="0"/>
          <w:color w:val="000000"/>
          <w:kern w:val="32"/>
          <w:szCs w:val="32"/>
        </w:rPr>
      </w:pPr>
      <w:r>
        <w:rPr>
          <w:rFonts w:hint="eastAsia" w:ascii="仿宋_GB2312" w:hAnsi="仿宋_GB2312" w:cs="宋体"/>
          <w:snapToGrid w:val="0"/>
          <w:color w:val="000000"/>
          <w:kern w:val="32"/>
          <w:szCs w:val="32"/>
        </w:rPr>
        <w:t>（一）设置合理报价范围</w:t>
      </w:r>
    </w:p>
    <w:p>
      <w:pPr>
        <w:spacing w:line="560" w:lineRule="exact"/>
        <w:ind w:firstLine="640" w:firstLineChars="200"/>
        <w:rPr>
          <w:rFonts w:ascii="仿宋_GB2312" w:hAnsi="仿宋_GB2312" w:cs="宋体"/>
          <w:snapToGrid w:val="0"/>
          <w:color w:val="000000"/>
          <w:kern w:val="32"/>
          <w:szCs w:val="32"/>
        </w:rPr>
      </w:pPr>
      <w:r>
        <w:rPr>
          <w:rFonts w:hint="eastAsia" w:ascii="仿宋_GB2312" w:hAnsi="仿宋_GB2312" w:cs="宋体"/>
          <w:snapToGrid w:val="0"/>
          <w:color w:val="000000"/>
          <w:kern w:val="32"/>
          <w:szCs w:val="32"/>
        </w:rPr>
        <w:t>投标合理报价上限为招标控制价，投标合理报价下限按如下规定计算：</w:t>
      </w:r>
    </w:p>
    <w:p>
      <w:pPr>
        <w:spacing w:line="560" w:lineRule="exact"/>
        <w:ind w:firstLine="640" w:firstLineChars="200"/>
        <w:rPr>
          <w:rFonts w:ascii="仿宋_GB2312" w:hAnsi="仿宋_GB2312" w:cs="宋体"/>
          <w:snapToGrid w:val="0"/>
          <w:color w:val="000000"/>
          <w:kern w:val="32"/>
          <w:szCs w:val="32"/>
        </w:rPr>
      </w:pPr>
      <w:r>
        <w:rPr>
          <w:rFonts w:hint="eastAsia" w:ascii="仿宋_GB2312" w:hAnsi="仿宋_GB2312" w:cs="宋体"/>
          <w:snapToGrid w:val="0"/>
          <w:color w:val="000000"/>
          <w:kern w:val="32"/>
          <w:szCs w:val="32"/>
        </w:rPr>
        <w:t>1.当有效投标家数N</w:t>
      </w:r>
      <w:r>
        <w:rPr>
          <w:rFonts w:ascii="仿宋_GB2312" w:hAnsi="仿宋_GB2312" w:cs="宋体"/>
          <w:snapToGrid w:val="0"/>
          <w:color w:val="000000"/>
          <w:kern w:val="32"/>
          <w:szCs w:val="32"/>
        </w:rPr>
        <w:t>≤</w:t>
      </w:r>
      <w:r>
        <w:rPr>
          <w:rFonts w:hint="eastAsia" w:ascii="仿宋_GB2312" w:hAnsi="仿宋_GB2312" w:cs="宋体"/>
          <w:snapToGrid w:val="0"/>
          <w:color w:val="000000"/>
          <w:kern w:val="32"/>
          <w:szCs w:val="32"/>
        </w:rPr>
        <w:t>7家时，投标合理报价下限值=所有有效投标报价的算术平均值</w:t>
      </w:r>
      <w:r>
        <w:rPr>
          <w:rFonts w:ascii="仿宋_GB2312" w:hAnsi="仿宋_GB2312" w:cs="宋体"/>
          <w:snapToGrid w:val="0"/>
          <w:color w:val="000000"/>
          <w:kern w:val="32"/>
          <w:szCs w:val="32"/>
        </w:rPr>
        <w:t>×</w:t>
      </w:r>
      <w:r>
        <w:rPr>
          <w:rFonts w:hint="eastAsia" w:ascii="仿宋_GB2312" w:hAnsi="仿宋_GB2312" w:cs="宋体"/>
          <w:snapToGrid w:val="0"/>
          <w:color w:val="000000"/>
          <w:kern w:val="32"/>
          <w:szCs w:val="32"/>
        </w:rPr>
        <w:t>90％；</w:t>
      </w:r>
    </w:p>
    <w:p>
      <w:pPr>
        <w:spacing w:line="560" w:lineRule="exact"/>
        <w:ind w:firstLine="640" w:firstLineChars="200"/>
        <w:rPr>
          <w:rFonts w:ascii="仿宋_GB2312" w:hAnsi="仿宋_GB2312" w:cs="宋体"/>
          <w:snapToGrid w:val="0"/>
          <w:color w:val="000000"/>
          <w:kern w:val="32"/>
          <w:szCs w:val="32"/>
        </w:rPr>
      </w:pPr>
      <w:r>
        <w:rPr>
          <w:rFonts w:hint="eastAsia" w:ascii="仿宋_GB2312" w:hAnsi="仿宋_GB2312" w:cs="宋体"/>
          <w:snapToGrid w:val="0"/>
          <w:color w:val="000000"/>
          <w:kern w:val="32"/>
          <w:szCs w:val="32"/>
        </w:rPr>
        <w:t>2.当有效投标家数N</w:t>
      </w:r>
      <w:r>
        <w:rPr>
          <w:rFonts w:ascii="仿宋_GB2312" w:hAnsi="仿宋_GB2312" w:cs="宋体"/>
          <w:snapToGrid w:val="0"/>
          <w:color w:val="000000"/>
          <w:kern w:val="32"/>
          <w:szCs w:val="32"/>
        </w:rPr>
        <w:t>&gt;</w:t>
      </w:r>
      <w:r>
        <w:rPr>
          <w:rFonts w:hint="eastAsia" w:ascii="仿宋_GB2312" w:hAnsi="仿宋_GB2312" w:cs="宋体"/>
          <w:snapToGrid w:val="0"/>
          <w:color w:val="000000"/>
          <w:kern w:val="32"/>
          <w:szCs w:val="32"/>
        </w:rPr>
        <w:t>7家时，投标合理报价下限值=所有有效投标报价去掉N1个最高价、N2个最低价后的算术平均值</w:t>
      </w:r>
      <w:r>
        <w:rPr>
          <w:rFonts w:ascii="仿宋_GB2312" w:hAnsi="仿宋_GB2312" w:cs="宋体"/>
          <w:snapToGrid w:val="0"/>
          <w:color w:val="000000"/>
          <w:kern w:val="32"/>
          <w:szCs w:val="32"/>
        </w:rPr>
        <w:t>×</w:t>
      </w:r>
      <w:r>
        <w:rPr>
          <w:rFonts w:hint="eastAsia" w:ascii="仿宋_GB2312" w:hAnsi="仿宋_GB2312" w:cs="宋体"/>
          <w:snapToGrid w:val="0"/>
          <w:color w:val="000000"/>
          <w:kern w:val="32"/>
          <w:szCs w:val="32"/>
        </w:rPr>
        <w:t>90％。</w:t>
      </w:r>
    </w:p>
    <w:p>
      <w:pPr>
        <w:spacing w:line="560" w:lineRule="exact"/>
        <w:ind w:firstLine="640" w:firstLineChars="200"/>
        <w:rPr>
          <w:rFonts w:ascii="仿宋_GB2312" w:hAnsi="仿宋_GB2312" w:cs="宋体"/>
          <w:snapToGrid w:val="0"/>
          <w:color w:val="000000"/>
          <w:kern w:val="32"/>
          <w:szCs w:val="32"/>
        </w:rPr>
      </w:pPr>
      <w:r>
        <w:rPr>
          <w:rFonts w:hint="eastAsia" w:ascii="仿宋_GB2312" w:hAnsi="仿宋_GB2312" w:cs="宋体"/>
          <w:snapToGrid w:val="0"/>
          <w:color w:val="000000"/>
          <w:kern w:val="32"/>
          <w:szCs w:val="32"/>
        </w:rPr>
        <w:t>N为有效投标家数，N1=0.1N，向上进位取整；N2=0.1N+1，向上进位取整。</w:t>
      </w:r>
    </w:p>
    <w:p>
      <w:pPr>
        <w:pStyle w:val="2"/>
        <w:widowControl w:val="0"/>
        <w:spacing w:after="0" w:line="560" w:lineRule="exact"/>
        <w:ind w:firstLine="640" w:firstLineChars="200"/>
        <w:rPr>
          <w:rFonts w:ascii="仿宋_GB2312" w:hAnsi="仿宋_GB2312" w:eastAsia="仿宋_GB2312" w:cs="宋体"/>
          <w:snapToGrid w:val="0"/>
          <w:color w:val="000000"/>
          <w:kern w:val="32"/>
          <w:sz w:val="32"/>
          <w:szCs w:val="32"/>
        </w:rPr>
      </w:pPr>
      <w:r>
        <w:rPr>
          <w:rFonts w:hint="eastAsia" w:ascii="仿宋_GB2312" w:hAnsi="仿宋_GB2312" w:eastAsia="仿宋_GB2312" w:cs="宋体"/>
          <w:snapToGrid w:val="0"/>
          <w:color w:val="000000"/>
          <w:kern w:val="32"/>
          <w:sz w:val="32"/>
          <w:szCs w:val="32"/>
        </w:rPr>
        <w:t>算术平均值保留两位小数，第三位四舍五入。</w:t>
      </w:r>
    </w:p>
    <w:p>
      <w:pPr>
        <w:spacing w:line="560" w:lineRule="exact"/>
        <w:ind w:firstLine="640" w:firstLineChars="200"/>
        <w:rPr>
          <w:rFonts w:ascii="仿宋_GB2312" w:hAnsi="仿宋_GB2312" w:cs="宋体"/>
          <w:snapToGrid w:val="0"/>
          <w:color w:val="000000"/>
          <w:kern w:val="32"/>
          <w:szCs w:val="32"/>
        </w:rPr>
      </w:pPr>
      <w:r>
        <w:rPr>
          <w:rFonts w:hint="eastAsia" w:ascii="仿宋_GB2312" w:hAnsi="仿宋_GB2312" w:cs="宋体"/>
          <w:snapToGrid w:val="0"/>
          <w:color w:val="000000"/>
          <w:kern w:val="32"/>
          <w:szCs w:val="32"/>
        </w:rPr>
        <w:t>低于投标合理报价下限值的报价认定为有效低价投标，剔除有效低价投标，剩余的统称为有效合理投标报价。有效低价投标不作为无效标，可以进入下一轮评审。</w:t>
      </w:r>
    </w:p>
    <w:p>
      <w:pPr>
        <w:pStyle w:val="2"/>
        <w:widowControl w:val="0"/>
        <w:spacing w:after="0" w:line="560" w:lineRule="exact"/>
        <w:ind w:firstLine="640" w:firstLineChars="200"/>
        <w:rPr>
          <w:rFonts w:ascii="仿宋_GB2312" w:hAnsi="仿宋_GB2312" w:eastAsia="仿宋_GB2312" w:cs="宋体"/>
          <w:snapToGrid w:val="0"/>
          <w:color w:val="000000"/>
          <w:kern w:val="32"/>
          <w:sz w:val="32"/>
          <w:szCs w:val="32"/>
        </w:rPr>
      </w:pPr>
      <w:r>
        <w:rPr>
          <w:rFonts w:hint="eastAsia" w:ascii="仿宋_GB2312" w:hAnsi="仿宋_GB2312" w:eastAsia="仿宋_GB2312" w:cs="宋体"/>
          <w:snapToGrid w:val="0"/>
          <w:color w:val="000000"/>
          <w:kern w:val="32"/>
          <w:sz w:val="32"/>
          <w:szCs w:val="32"/>
        </w:rPr>
        <w:t>（二）评标基准价确定</w:t>
      </w:r>
    </w:p>
    <w:p>
      <w:pPr>
        <w:pStyle w:val="2"/>
        <w:widowControl w:val="0"/>
        <w:spacing w:after="0" w:line="560" w:lineRule="exact"/>
        <w:ind w:firstLine="640" w:firstLineChars="200"/>
        <w:rPr>
          <w:rFonts w:ascii="仿宋_GB2312" w:hAnsi="仿宋_GB2312" w:eastAsia="仿宋_GB2312" w:cs="宋体"/>
          <w:snapToGrid w:val="0"/>
          <w:color w:val="000000"/>
          <w:kern w:val="32"/>
          <w:sz w:val="32"/>
          <w:szCs w:val="32"/>
        </w:rPr>
      </w:pPr>
      <w:r>
        <w:rPr>
          <w:rFonts w:hint="eastAsia" w:ascii="仿宋_GB2312" w:hAnsi="仿宋_GB2312" w:eastAsia="仿宋_GB2312" w:cs="宋体"/>
          <w:snapToGrid w:val="0"/>
          <w:color w:val="000000"/>
          <w:kern w:val="32"/>
          <w:sz w:val="32"/>
          <w:szCs w:val="32"/>
        </w:rPr>
        <w:t>评标基准价按照附件3规则予以确定。</w:t>
      </w:r>
      <w:r>
        <w:rPr>
          <w:rFonts w:hint="eastAsia" w:ascii="仿宋_GB2312" w:hAnsi="仿宋_GB2312" w:eastAsia="仿宋_GB2312" w:cs="宋体"/>
          <w:snapToGrid w:val="0"/>
          <w:color w:val="000000"/>
          <w:spacing w:val="-6"/>
          <w:kern w:val="32"/>
          <w:sz w:val="32"/>
          <w:szCs w:val="32"/>
        </w:rPr>
        <w:t>商务标开标后，由招标人代表随机确定采用如下两种方式中的一种。</w:t>
      </w:r>
    </w:p>
    <w:p>
      <w:pPr>
        <w:pStyle w:val="3"/>
        <w:spacing w:line="560" w:lineRule="exact"/>
        <w:ind w:firstLine="640" w:firstLineChars="200"/>
        <w:rPr>
          <w:rFonts w:ascii="仿宋_GB2312" w:hAnsi="仿宋_GB2312" w:eastAsia="仿宋_GB2312" w:cs="宋体"/>
          <w:snapToGrid w:val="0"/>
          <w:color w:val="000000"/>
          <w:kern w:val="32"/>
          <w:sz w:val="32"/>
          <w:szCs w:val="32"/>
        </w:rPr>
      </w:pPr>
      <w:r>
        <w:rPr>
          <w:rFonts w:hint="eastAsia" w:ascii="仿宋_GB2312" w:hAnsi="仿宋_GB2312" w:eastAsia="仿宋_GB2312" w:cs="宋体"/>
          <w:snapToGrid w:val="0"/>
          <w:color w:val="000000"/>
          <w:kern w:val="32"/>
          <w:sz w:val="32"/>
          <w:szCs w:val="32"/>
        </w:rPr>
        <w:t>评标基准价1=经评审的各有效合理投标报价算术平均值</w:t>
      </w:r>
      <w:r>
        <w:rPr>
          <w:rFonts w:ascii="仿宋_GB2312" w:hAnsi="仿宋_GB2312" w:eastAsia="仿宋_GB2312" w:cs="宋体"/>
          <w:snapToGrid w:val="0"/>
          <w:color w:val="000000"/>
          <w:kern w:val="32"/>
          <w:sz w:val="32"/>
          <w:szCs w:val="32"/>
        </w:rPr>
        <w:t>×</w:t>
      </w:r>
      <w:r>
        <w:rPr>
          <w:rFonts w:hint="eastAsia" w:ascii="仿宋_GB2312" w:hAnsi="仿宋_GB2312" w:eastAsia="仿宋_GB2312" w:cs="宋体"/>
          <w:snapToGrid w:val="0"/>
          <w:color w:val="000000"/>
          <w:kern w:val="32"/>
          <w:sz w:val="32"/>
          <w:szCs w:val="32"/>
        </w:rPr>
        <w:t>（1+浮动率C）×投标价格权重B +招标控制价×（1－浮动率A）×（1－投标价格权重B）；</w:t>
      </w:r>
    </w:p>
    <w:p>
      <w:pPr>
        <w:spacing w:line="560" w:lineRule="exact"/>
        <w:ind w:firstLine="640" w:firstLineChars="200"/>
        <w:rPr>
          <w:rFonts w:ascii="仿宋_GB2312" w:hAnsi="仿宋_GB2312" w:cs="宋体"/>
          <w:snapToGrid w:val="0"/>
          <w:color w:val="000000"/>
          <w:kern w:val="32"/>
          <w:szCs w:val="32"/>
        </w:rPr>
      </w:pPr>
      <w:r>
        <w:rPr>
          <w:rFonts w:hint="eastAsia" w:ascii="仿宋_GB2312" w:hAnsi="仿宋_GB2312" w:cs="宋体"/>
          <w:snapToGrid w:val="0"/>
          <w:color w:val="000000"/>
          <w:kern w:val="32"/>
          <w:szCs w:val="32"/>
        </w:rPr>
        <w:t>评标基准价2=〔(经评审的各有效合理投标报价中的次低价+经评审的各有效合理投标报价算术平均值)</w:t>
      </w:r>
      <w:r>
        <w:rPr>
          <w:rFonts w:ascii="仿宋_GB2312" w:hAnsi="仿宋_GB2312" w:cs="宋体"/>
          <w:snapToGrid w:val="0"/>
          <w:color w:val="000000"/>
          <w:kern w:val="32"/>
          <w:szCs w:val="32"/>
        </w:rPr>
        <w:t>÷</w:t>
      </w:r>
      <w:r>
        <w:rPr>
          <w:rFonts w:hint="eastAsia" w:ascii="仿宋_GB2312" w:hAnsi="仿宋_GB2312" w:cs="宋体"/>
          <w:snapToGrid w:val="0"/>
          <w:color w:val="000000"/>
          <w:kern w:val="32"/>
          <w:szCs w:val="32"/>
        </w:rPr>
        <w:t>2〕×（1+浮动率C）×投标价格权重B+招标控制价×（1－浮动率A）×（1－投标价格权重B）。</w:t>
      </w:r>
    </w:p>
    <w:p>
      <w:pPr>
        <w:pStyle w:val="2"/>
        <w:widowControl w:val="0"/>
        <w:spacing w:after="0" w:line="560" w:lineRule="exact"/>
        <w:ind w:firstLine="640" w:firstLineChars="200"/>
        <w:rPr>
          <w:snapToGrid w:val="0"/>
          <w:color w:val="000000"/>
          <w:kern w:val="32"/>
          <w:sz w:val="32"/>
          <w:szCs w:val="32"/>
        </w:rPr>
      </w:pPr>
      <w:r>
        <w:rPr>
          <w:rFonts w:hint="eastAsia" w:ascii="仿宋_GB2312" w:hAnsi="仿宋_GB2312" w:eastAsia="仿宋_GB2312" w:cs="宋体"/>
          <w:snapToGrid w:val="0"/>
          <w:color w:val="000000"/>
          <w:kern w:val="32"/>
          <w:sz w:val="32"/>
          <w:szCs w:val="32"/>
        </w:rPr>
        <w:t>（三）商务标报价评分</w:t>
      </w:r>
    </w:p>
    <w:p>
      <w:pPr>
        <w:pStyle w:val="3"/>
        <w:spacing w:line="560" w:lineRule="exact"/>
        <w:ind w:firstLine="640" w:firstLineChars="200"/>
        <w:rPr>
          <w:rFonts w:ascii="仿宋_GB2312" w:hAnsi="仿宋_GB2312" w:eastAsia="仿宋_GB2312" w:cs="宋体"/>
          <w:snapToGrid w:val="0"/>
          <w:color w:val="000000"/>
          <w:kern w:val="32"/>
          <w:sz w:val="32"/>
          <w:szCs w:val="32"/>
        </w:rPr>
      </w:pPr>
      <w:r>
        <w:rPr>
          <w:rFonts w:hint="eastAsia" w:ascii="仿宋_GB2312" w:hAnsi="仿宋_GB2312" w:eastAsia="仿宋_GB2312" w:cs="宋体"/>
          <w:snapToGrid w:val="0"/>
          <w:color w:val="000000"/>
          <w:kern w:val="32"/>
          <w:sz w:val="32"/>
          <w:szCs w:val="32"/>
        </w:rPr>
        <w:t>各有效投标报价与评标基准价进行比较，按以下公式求出百分比K值（有效投标报价高于或低于评标基准价不足一个百分点的，按直线插入法计算，保留两位小数，第三位四舍五入）：</w:t>
      </w:r>
    </w:p>
    <w:p>
      <w:pPr>
        <w:pStyle w:val="3"/>
        <w:spacing w:line="560" w:lineRule="exact"/>
        <w:ind w:firstLine="640" w:firstLineChars="200"/>
        <w:rPr>
          <w:rFonts w:ascii="仿宋_GB2312" w:hAnsi="仿宋_GB2312" w:eastAsia="仿宋_GB2312" w:cs="宋体"/>
          <w:snapToGrid w:val="0"/>
          <w:color w:val="000000"/>
          <w:kern w:val="32"/>
          <w:sz w:val="32"/>
          <w:szCs w:val="32"/>
        </w:rPr>
      </w:pPr>
      <w:r>
        <w:rPr>
          <w:rFonts w:hint="eastAsia" w:ascii="仿宋_GB2312" w:hAnsi="仿宋_GB2312" w:eastAsia="仿宋_GB2312" w:cs="宋体"/>
          <w:snapToGrid w:val="0"/>
          <w:color w:val="000000"/>
          <w:kern w:val="32"/>
          <w:sz w:val="32"/>
          <w:szCs w:val="32"/>
        </w:rPr>
        <w:t>K=（有效投标—评标基准价）÷评标基准价*100%</w:t>
      </w:r>
    </w:p>
    <w:p>
      <w:pPr>
        <w:pStyle w:val="3"/>
        <w:spacing w:line="560" w:lineRule="exact"/>
        <w:ind w:firstLine="640" w:firstLineChars="200"/>
        <w:rPr>
          <w:rFonts w:ascii="仿宋_GB2312" w:hAnsi="仿宋_GB2312" w:eastAsia="仿宋_GB2312" w:cs="宋体"/>
          <w:snapToGrid w:val="0"/>
          <w:color w:val="000000"/>
          <w:kern w:val="32"/>
          <w:sz w:val="32"/>
          <w:szCs w:val="32"/>
        </w:rPr>
      </w:pPr>
      <w:r>
        <w:rPr>
          <w:rFonts w:hint="eastAsia" w:ascii="仿宋_GB2312" w:hAnsi="仿宋_GB2312" w:eastAsia="仿宋_GB2312" w:cs="宋体"/>
          <w:snapToGrid w:val="0"/>
          <w:color w:val="000000"/>
          <w:kern w:val="32"/>
          <w:sz w:val="32"/>
          <w:szCs w:val="32"/>
        </w:rPr>
        <w:t>当K值等于零时，得满分100分；</w:t>
      </w:r>
    </w:p>
    <w:p>
      <w:pPr>
        <w:pStyle w:val="3"/>
        <w:spacing w:line="560" w:lineRule="exact"/>
        <w:ind w:firstLine="640" w:firstLineChars="200"/>
        <w:rPr>
          <w:rFonts w:ascii="仿宋_GB2312" w:hAnsi="仿宋_GB2312" w:eastAsia="仿宋_GB2312" w:cs="宋体"/>
          <w:snapToGrid w:val="0"/>
          <w:color w:val="000000"/>
          <w:kern w:val="32"/>
          <w:sz w:val="32"/>
          <w:szCs w:val="32"/>
        </w:rPr>
      </w:pPr>
      <w:r>
        <w:rPr>
          <w:rFonts w:hint="eastAsia" w:ascii="仿宋_GB2312" w:hAnsi="仿宋_GB2312" w:eastAsia="仿宋_GB2312" w:cs="宋体"/>
          <w:snapToGrid w:val="0"/>
          <w:color w:val="000000"/>
          <w:kern w:val="32"/>
          <w:sz w:val="32"/>
          <w:szCs w:val="32"/>
        </w:rPr>
        <w:t>当K值大于零时，K值每增1%，在总分上扣1.2分；　</w:t>
      </w:r>
    </w:p>
    <w:p>
      <w:pPr>
        <w:spacing w:line="560" w:lineRule="exact"/>
        <w:ind w:firstLine="640" w:firstLineChars="200"/>
        <w:rPr>
          <w:rFonts w:ascii="仿宋_GB2312" w:hAnsi="宋体"/>
          <w:snapToGrid w:val="0"/>
          <w:color w:val="000000"/>
          <w:kern w:val="32"/>
          <w:szCs w:val="32"/>
        </w:rPr>
      </w:pPr>
      <w:r>
        <w:rPr>
          <w:rFonts w:hint="eastAsia" w:ascii="仿宋_GB2312" w:hAnsi="仿宋_GB2312" w:cs="宋体"/>
          <w:snapToGrid w:val="0"/>
          <w:color w:val="000000"/>
          <w:kern w:val="32"/>
          <w:szCs w:val="32"/>
        </w:rPr>
        <w:t>当K值小于零时，K值每减1%，在总分上扣0.6分。</w:t>
      </w:r>
    </w:p>
    <w:p>
      <w:pPr>
        <w:pStyle w:val="2"/>
        <w:widowControl w:val="0"/>
        <w:spacing w:after="0" w:line="560" w:lineRule="exact"/>
        <w:ind w:firstLine="640" w:firstLineChars="200"/>
        <w:rPr>
          <w:rFonts w:ascii="仿宋_GB2312" w:hAnsi="仿宋_GB2312" w:eastAsia="仿宋_GB2312" w:cs="宋体"/>
          <w:snapToGrid w:val="0"/>
          <w:color w:val="000000"/>
          <w:kern w:val="32"/>
          <w:sz w:val="32"/>
          <w:szCs w:val="32"/>
        </w:rPr>
      </w:pPr>
      <w:r>
        <w:rPr>
          <w:rFonts w:hint="eastAsia" w:ascii="黑体" w:hAnsi="宋体" w:eastAsia="黑体" w:cs="宋体"/>
          <w:snapToGrid w:val="0"/>
          <w:color w:val="000000"/>
          <w:kern w:val="32"/>
          <w:sz w:val="32"/>
          <w:szCs w:val="32"/>
        </w:rPr>
        <w:t xml:space="preserve">第八条  </w:t>
      </w:r>
      <w:r>
        <w:rPr>
          <w:rFonts w:hint="eastAsia" w:ascii="仿宋_GB2312" w:hAnsi="仿宋_GB2312" w:eastAsia="仿宋_GB2312" w:cs="宋体"/>
          <w:snapToGrid w:val="0"/>
          <w:color w:val="000000"/>
          <w:kern w:val="32"/>
          <w:sz w:val="32"/>
          <w:szCs w:val="32"/>
        </w:rPr>
        <w:t>信用标总分100分，按以下标准评定。</w:t>
      </w:r>
    </w:p>
    <w:p>
      <w:pPr>
        <w:spacing w:line="560" w:lineRule="exact"/>
        <w:ind w:firstLine="640" w:firstLineChars="200"/>
        <w:rPr>
          <w:rFonts w:ascii="仿宋_GB2312" w:hAnsi="仿宋_GB2312" w:cs="宋体"/>
          <w:snapToGrid w:val="0"/>
          <w:color w:val="000000"/>
          <w:kern w:val="32"/>
          <w:szCs w:val="32"/>
        </w:rPr>
      </w:pPr>
      <w:r>
        <w:rPr>
          <w:rFonts w:hint="eastAsia" w:ascii="仿宋_GB2312" w:hAnsi="仿宋_GB2312" w:cs="宋体"/>
          <w:snapToGrid w:val="0"/>
          <w:color w:val="000000"/>
          <w:kern w:val="32"/>
          <w:szCs w:val="32"/>
        </w:rPr>
        <w:t>（一）企业信用评价得分，满分50分。</w:t>
      </w:r>
    </w:p>
    <w:p>
      <w:pPr>
        <w:pStyle w:val="3"/>
        <w:spacing w:line="560" w:lineRule="exact"/>
        <w:ind w:firstLine="640" w:firstLineChars="200"/>
        <w:rPr>
          <w:rFonts w:ascii="仿宋_GB2312" w:hAnsi="仿宋_GB2312" w:eastAsia="仿宋_GB2312" w:cs="宋体"/>
          <w:snapToGrid w:val="0"/>
          <w:color w:val="000000"/>
          <w:kern w:val="32"/>
          <w:sz w:val="32"/>
          <w:szCs w:val="32"/>
        </w:rPr>
      </w:pPr>
      <w:r>
        <w:rPr>
          <w:rFonts w:hint="eastAsia" w:ascii="仿宋_GB2312" w:hAnsi="仿宋_GB2312" w:eastAsia="仿宋_GB2312" w:cs="宋体"/>
          <w:snapToGrid w:val="0"/>
          <w:color w:val="000000"/>
          <w:kern w:val="32"/>
          <w:sz w:val="32"/>
          <w:szCs w:val="32"/>
        </w:rPr>
        <w:t>1.A级，得50分；</w:t>
      </w:r>
    </w:p>
    <w:p>
      <w:pPr>
        <w:pStyle w:val="3"/>
        <w:spacing w:line="560" w:lineRule="exact"/>
        <w:ind w:firstLine="640" w:firstLineChars="200"/>
        <w:rPr>
          <w:rFonts w:ascii="仿宋_GB2312" w:hAnsi="仿宋_GB2312" w:eastAsia="仿宋_GB2312" w:cs="宋体"/>
          <w:snapToGrid w:val="0"/>
          <w:color w:val="000000"/>
          <w:kern w:val="32"/>
          <w:sz w:val="32"/>
          <w:szCs w:val="32"/>
        </w:rPr>
      </w:pPr>
      <w:r>
        <w:rPr>
          <w:rFonts w:hint="eastAsia" w:ascii="仿宋_GB2312" w:hAnsi="仿宋_GB2312" w:eastAsia="仿宋_GB2312" w:cs="宋体"/>
          <w:snapToGrid w:val="0"/>
          <w:color w:val="000000"/>
          <w:kern w:val="32"/>
          <w:sz w:val="32"/>
          <w:szCs w:val="32"/>
        </w:rPr>
        <w:t>2.B级，得40分；</w:t>
      </w:r>
    </w:p>
    <w:p>
      <w:pPr>
        <w:pStyle w:val="3"/>
        <w:spacing w:line="560" w:lineRule="exact"/>
        <w:ind w:firstLine="640" w:firstLineChars="200"/>
        <w:rPr>
          <w:rFonts w:ascii="仿宋_GB2312" w:hAnsi="仿宋_GB2312" w:eastAsia="仿宋_GB2312" w:cs="宋体"/>
          <w:snapToGrid w:val="0"/>
          <w:color w:val="000000"/>
          <w:kern w:val="32"/>
          <w:sz w:val="32"/>
          <w:szCs w:val="32"/>
        </w:rPr>
      </w:pPr>
      <w:r>
        <w:rPr>
          <w:rFonts w:hint="eastAsia" w:ascii="仿宋_GB2312" w:hAnsi="仿宋_GB2312" w:eastAsia="仿宋_GB2312" w:cs="宋体"/>
          <w:snapToGrid w:val="0"/>
          <w:color w:val="000000"/>
          <w:kern w:val="32"/>
          <w:sz w:val="32"/>
          <w:szCs w:val="32"/>
        </w:rPr>
        <w:t>3.C级，得20分；</w:t>
      </w:r>
    </w:p>
    <w:p>
      <w:pPr>
        <w:pStyle w:val="3"/>
        <w:spacing w:line="560" w:lineRule="exact"/>
        <w:ind w:firstLine="640" w:firstLineChars="200"/>
        <w:rPr>
          <w:rFonts w:ascii="仿宋_GB2312" w:hAnsi="仿宋_GB2312" w:eastAsia="仿宋_GB2312" w:cs="宋体"/>
          <w:snapToGrid w:val="0"/>
          <w:color w:val="000000"/>
          <w:kern w:val="32"/>
          <w:sz w:val="32"/>
          <w:szCs w:val="32"/>
        </w:rPr>
      </w:pPr>
      <w:r>
        <w:rPr>
          <w:rFonts w:hint="eastAsia" w:ascii="仿宋_GB2312" w:hAnsi="仿宋_GB2312" w:eastAsia="仿宋_GB2312" w:cs="宋体"/>
          <w:snapToGrid w:val="0"/>
          <w:color w:val="000000"/>
          <w:kern w:val="32"/>
          <w:sz w:val="32"/>
          <w:szCs w:val="32"/>
        </w:rPr>
        <w:t>4.D级，得10分；</w:t>
      </w:r>
    </w:p>
    <w:p>
      <w:pPr>
        <w:pStyle w:val="3"/>
        <w:spacing w:line="560" w:lineRule="exact"/>
        <w:ind w:firstLine="640" w:firstLineChars="200"/>
        <w:rPr>
          <w:rFonts w:ascii="仿宋_GB2312" w:hAnsi="仿宋_GB2312" w:eastAsia="仿宋_GB2312" w:cs="宋体"/>
          <w:snapToGrid w:val="0"/>
          <w:color w:val="000000"/>
          <w:kern w:val="32"/>
          <w:sz w:val="32"/>
          <w:szCs w:val="32"/>
        </w:rPr>
      </w:pPr>
      <w:r>
        <w:rPr>
          <w:rFonts w:hint="eastAsia" w:ascii="仿宋_GB2312" w:hAnsi="仿宋_GB2312" w:eastAsia="仿宋_GB2312" w:cs="宋体"/>
          <w:snapToGrid w:val="0"/>
          <w:color w:val="000000"/>
          <w:kern w:val="32"/>
          <w:sz w:val="32"/>
          <w:szCs w:val="32"/>
        </w:rPr>
        <w:t>5.E级，得0分。</w:t>
      </w:r>
    </w:p>
    <w:p>
      <w:pPr>
        <w:pStyle w:val="3"/>
        <w:spacing w:line="560" w:lineRule="exact"/>
        <w:ind w:firstLine="640" w:firstLineChars="200"/>
        <w:rPr>
          <w:rFonts w:ascii="仿宋_GB2312" w:hAnsi="仿宋_GB2312" w:eastAsia="仿宋_GB2312" w:cs="宋体"/>
          <w:snapToGrid w:val="0"/>
          <w:color w:val="000000"/>
          <w:kern w:val="32"/>
          <w:sz w:val="32"/>
          <w:szCs w:val="32"/>
        </w:rPr>
      </w:pPr>
      <w:r>
        <w:rPr>
          <w:rFonts w:hint="eastAsia" w:ascii="仿宋_GB2312" w:hAnsi="仿宋_GB2312" w:eastAsia="仿宋_GB2312" w:cs="宋体"/>
          <w:snapToGrid w:val="0"/>
          <w:color w:val="000000"/>
          <w:kern w:val="32"/>
          <w:sz w:val="32"/>
          <w:szCs w:val="32"/>
        </w:rPr>
        <w:t>应作信用评价而未作评价的企业，得10分。</w:t>
      </w:r>
    </w:p>
    <w:p>
      <w:pPr>
        <w:spacing w:line="560" w:lineRule="exact"/>
        <w:ind w:firstLine="640" w:firstLineChars="200"/>
        <w:rPr>
          <w:rFonts w:ascii="仿宋_GB2312" w:hAnsi="仿宋_GB2312" w:cs="宋体"/>
          <w:snapToGrid w:val="0"/>
          <w:color w:val="000000"/>
          <w:kern w:val="32"/>
          <w:szCs w:val="32"/>
        </w:rPr>
      </w:pPr>
      <w:r>
        <w:rPr>
          <w:rFonts w:hint="eastAsia" w:ascii="仿宋_GB2312" w:hAnsi="仿宋_GB2312" w:cs="宋体"/>
          <w:snapToGrid w:val="0"/>
          <w:color w:val="000000"/>
          <w:kern w:val="32"/>
          <w:szCs w:val="32"/>
        </w:rPr>
        <w:t>（二）总监理工程师信用评价得分，满分50分。</w:t>
      </w:r>
    </w:p>
    <w:p>
      <w:pPr>
        <w:pStyle w:val="3"/>
        <w:spacing w:line="560" w:lineRule="exact"/>
        <w:ind w:firstLine="640" w:firstLineChars="200"/>
        <w:rPr>
          <w:rFonts w:ascii="仿宋_GB2312" w:hAnsi="仿宋_GB2312" w:eastAsia="仿宋_GB2312" w:cs="宋体"/>
          <w:snapToGrid w:val="0"/>
          <w:color w:val="000000"/>
          <w:kern w:val="32"/>
          <w:sz w:val="32"/>
          <w:szCs w:val="32"/>
        </w:rPr>
      </w:pPr>
      <w:r>
        <w:rPr>
          <w:rFonts w:hint="eastAsia" w:ascii="仿宋_GB2312" w:hAnsi="仿宋_GB2312" w:eastAsia="仿宋_GB2312" w:cs="宋体"/>
          <w:snapToGrid w:val="0"/>
          <w:color w:val="000000"/>
          <w:kern w:val="32"/>
          <w:sz w:val="32"/>
          <w:szCs w:val="32"/>
        </w:rPr>
        <w:t>1.A级，得50分；</w:t>
      </w:r>
    </w:p>
    <w:p>
      <w:pPr>
        <w:pStyle w:val="3"/>
        <w:spacing w:line="560" w:lineRule="exact"/>
        <w:ind w:firstLine="640" w:firstLineChars="200"/>
        <w:rPr>
          <w:rFonts w:ascii="仿宋_GB2312" w:hAnsi="仿宋_GB2312" w:eastAsia="仿宋_GB2312" w:cs="宋体"/>
          <w:snapToGrid w:val="0"/>
          <w:color w:val="000000"/>
          <w:kern w:val="32"/>
          <w:sz w:val="32"/>
          <w:szCs w:val="32"/>
        </w:rPr>
      </w:pPr>
      <w:r>
        <w:rPr>
          <w:rFonts w:hint="eastAsia" w:ascii="仿宋_GB2312" w:hAnsi="仿宋_GB2312" w:eastAsia="仿宋_GB2312" w:cs="宋体"/>
          <w:snapToGrid w:val="0"/>
          <w:color w:val="000000"/>
          <w:kern w:val="32"/>
          <w:sz w:val="32"/>
          <w:szCs w:val="32"/>
        </w:rPr>
        <w:t>2.B级，得40分；</w:t>
      </w:r>
    </w:p>
    <w:p>
      <w:pPr>
        <w:pStyle w:val="3"/>
        <w:spacing w:line="560" w:lineRule="exact"/>
        <w:ind w:firstLine="640" w:firstLineChars="200"/>
        <w:rPr>
          <w:rFonts w:ascii="仿宋_GB2312" w:hAnsi="仿宋_GB2312" w:eastAsia="仿宋_GB2312" w:cs="宋体"/>
          <w:snapToGrid w:val="0"/>
          <w:color w:val="000000"/>
          <w:kern w:val="32"/>
          <w:sz w:val="32"/>
          <w:szCs w:val="32"/>
        </w:rPr>
      </w:pPr>
      <w:r>
        <w:rPr>
          <w:rFonts w:hint="eastAsia" w:ascii="仿宋_GB2312" w:hAnsi="仿宋_GB2312" w:eastAsia="仿宋_GB2312" w:cs="宋体"/>
          <w:snapToGrid w:val="0"/>
          <w:color w:val="000000"/>
          <w:kern w:val="32"/>
          <w:sz w:val="32"/>
          <w:szCs w:val="32"/>
        </w:rPr>
        <w:t>3.C级，得20分；</w:t>
      </w:r>
    </w:p>
    <w:p>
      <w:pPr>
        <w:pStyle w:val="3"/>
        <w:spacing w:line="560" w:lineRule="exact"/>
        <w:ind w:firstLine="640" w:firstLineChars="200"/>
        <w:rPr>
          <w:rFonts w:ascii="仿宋_GB2312" w:hAnsi="仿宋_GB2312" w:eastAsia="仿宋_GB2312" w:cs="宋体"/>
          <w:snapToGrid w:val="0"/>
          <w:color w:val="000000"/>
          <w:kern w:val="32"/>
          <w:sz w:val="32"/>
          <w:szCs w:val="32"/>
        </w:rPr>
      </w:pPr>
      <w:r>
        <w:rPr>
          <w:rFonts w:hint="eastAsia" w:ascii="仿宋_GB2312" w:hAnsi="仿宋_GB2312" w:eastAsia="仿宋_GB2312" w:cs="宋体"/>
          <w:snapToGrid w:val="0"/>
          <w:color w:val="000000"/>
          <w:kern w:val="32"/>
          <w:sz w:val="32"/>
          <w:szCs w:val="32"/>
        </w:rPr>
        <w:t>4.D级，得10分；</w:t>
      </w:r>
    </w:p>
    <w:p>
      <w:pPr>
        <w:pStyle w:val="3"/>
        <w:spacing w:line="560" w:lineRule="exact"/>
        <w:ind w:firstLine="640" w:firstLineChars="200"/>
        <w:rPr>
          <w:rFonts w:ascii="仿宋_GB2312" w:hAnsi="仿宋_GB2312" w:eastAsia="仿宋_GB2312" w:cs="宋体"/>
          <w:snapToGrid w:val="0"/>
          <w:color w:val="000000"/>
          <w:kern w:val="32"/>
          <w:sz w:val="32"/>
          <w:szCs w:val="32"/>
        </w:rPr>
      </w:pPr>
      <w:r>
        <w:rPr>
          <w:rFonts w:hint="eastAsia" w:ascii="仿宋_GB2312" w:hAnsi="仿宋_GB2312" w:eastAsia="仿宋_GB2312" w:cs="宋体"/>
          <w:snapToGrid w:val="0"/>
          <w:color w:val="000000"/>
          <w:kern w:val="32"/>
          <w:sz w:val="32"/>
          <w:szCs w:val="32"/>
        </w:rPr>
        <w:t>5.E级，得0分。</w:t>
      </w:r>
    </w:p>
    <w:p>
      <w:pPr>
        <w:pStyle w:val="3"/>
        <w:spacing w:line="560" w:lineRule="exact"/>
        <w:ind w:firstLine="640" w:firstLineChars="200"/>
        <w:rPr>
          <w:rFonts w:ascii="仿宋_GB2312" w:hAnsi="仿宋_GB2312" w:eastAsia="仿宋_GB2312" w:cs="宋体"/>
          <w:snapToGrid w:val="0"/>
          <w:color w:val="000000"/>
          <w:kern w:val="32"/>
          <w:sz w:val="32"/>
          <w:szCs w:val="32"/>
        </w:rPr>
      </w:pPr>
      <w:r>
        <w:rPr>
          <w:rFonts w:hint="eastAsia" w:ascii="仿宋_GB2312" w:hAnsi="仿宋_GB2312" w:eastAsia="仿宋_GB2312" w:cs="宋体"/>
          <w:snapToGrid w:val="0"/>
          <w:color w:val="000000"/>
          <w:kern w:val="32"/>
          <w:sz w:val="32"/>
          <w:szCs w:val="32"/>
        </w:rPr>
        <w:t>应作信用评价而未作评价的总监理工程师，得10分。</w:t>
      </w:r>
    </w:p>
    <w:p>
      <w:pPr>
        <w:pStyle w:val="3"/>
        <w:spacing w:line="560" w:lineRule="exact"/>
        <w:ind w:firstLine="640" w:firstLineChars="200"/>
        <w:rPr>
          <w:rFonts w:ascii="仿宋_GB2312" w:hAnsi="宋体" w:eastAsia="仿宋_GB2312" w:cs="宋体"/>
          <w:snapToGrid w:val="0"/>
          <w:color w:val="000000"/>
          <w:kern w:val="32"/>
          <w:sz w:val="32"/>
          <w:szCs w:val="32"/>
        </w:rPr>
      </w:pPr>
      <w:r>
        <w:rPr>
          <w:rFonts w:hint="eastAsia" w:ascii="仿宋_GB2312" w:hAnsi="宋体" w:eastAsia="仿宋_GB2312" w:cs="宋体"/>
          <w:snapToGrid w:val="0"/>
          <w:color w:val="000000"/>
          <w:kern w:val="32"/>
          <w:sz w:val="32"/>
          <w:szCs w:val="32"/>
        </w:rPr>
        <w:t>各投标人最终得分按：技术标得分×技术标权重+商务标得分×商务标权重+信用标得分×信用标权重。最终得分保留至小数点后三位。</w:t>
      </w:r>
    </w:p>
    <w:p>
      <w:pPr>
        <w:pStyle w:val="3"/>
        <w:spacing w:line="560" w:lineRule="exact"/>
        <w:ind w:firstLine="640" w:firstLineChars="200"/>
        <w:rPr>
          <w:rFonts w:ascii="仿宋_GB2312" w:hAnsi="宋体" w:eastAsia="仿宋_GB2312" w:cs="宋体"/>
          <w:snapToGrid w:val="0"/>
          <w:color w:val="000000"/>
          <w:kern w:val="32"/>
          <w:sz w:val="32"/>
          <w:szCs w:val="32"/>
        </w:rPr>
      </w:pPr>
      <w:r>
        <w:rPr>
          <w:rFonts w:hint="eastAsia" w:ascii="黑体" w:hAnsi="宋体" w:eastAsia="黑体" w:cs="宋体"/>
          <w:snapToGrid w:val="0"/>
          <w:color w:val="000000"/>
          <w:kern w:val="32"/>
          <w:sz w:val="32"/>
          <w:szCs w:val="32"/>
        </w:rPr>
        <w:t xml:space="preserve">第九条  </w:t>
      </w:r>
      <w:r>
        <w:rPr>
          <w:rFonts w:hint="eastAsia" w:ascii="仿宋_GB2312" w:hAnsi="宋体" w:eastAsia="仿宋_GB2312" w:cs="宋体"/>
          <w:snapToGrid w:val="0"/>
          <w:color w:val="000000"/>
          <w:kern w:val="32"/>
          <w:sz w:val="32"/>
          <w:szCs w:val="32"/>
        </w:rPr>
        <w:t>评标委员会完成评标后，应当向招标人提供书面评标报告。评标委员会推荐的中标候选人应当限定在1至3人，并按最终得分高低标明排列顺序。</w:t>
      </w:r>
    </w:p>
    <w:p>
      <w:pPr>
        <w:pStyle w:val="3"/>
        <w:spacing w:line="560" w:lineRule="exact"/>
        <w:ind w:firstLine="640" w:firstLineChars="200"/>
        <w:rPr>
          <w:rFonts w:ascii="仿宋_GB2312" w:hAnsi="宋体" w:eastAsia="仿宋_GB2312" w:cs="宋体"/>
          <w:snapToGrid w:val="0"/>
          <w:color w:val="000000"/>
          <w:kern w:val="32"/>
          <w:sz w:val="32"/>
          <w:szCs w:val="32"/>
        </w:rPr>
      </w:pPr>
      <w:r>
        <w:rPr>
          <w:rFonts w:hint="eastAsia" w:ascii="仿宋_GB2312" w:hAnsi="宋体" w:eastAsia="仿宋_GB2312" w:cs="宋体"/>
          <w:snapToGrid w:val="0"/>
          <w:color w:val="000000"/>
          <w:kern w:val="32"/>
          <w:sz w:val="32"/>
          <w:szCs w:val="32"/>
        </w:rPr>
        <w:t>招标人应当根据评标结果确定排名第一（得分最高）的中标候选人为中标人。得分相同时，商务报价低的排名优先。</w:t>
      </w:r>
    </w:p>
    <w:p>
      <w:pPr>
        <w:pStyle w:val="3"/>
        <w:spacing w:line="560" w:lineRule="exact"/>
        <w:ind w:firstLine="640" w:firstLineChars="200"/>
        <w:rPr>
          <w:rFonts w:ascii="仿宋_GB2312" w:hAnsi="宋体" w:eastAsia="仿宋_GB2312" w:cs="宋体"/>
          <w:snapToGrid w:val="0"/>
          <w:color w:val="000000"/>
          <w:kern w:val="32"/>
          <w:sz w:val="32"/>
          <w:szCs w:val="32"/>
        </w:rPr>
      </w:pPr>
      <w:r>
        <w:rPr>
          <w:rFonts w:hint="eastAsia" w:ascii="仿宋_GB2312" w:hAnsi="宋体" w:eastAsia="仿宋_GB2312" w:cs="宋体"/>
          <w:snapToGrid w:val="0"/>
          <w:color w:val="000000"/>
          <w:kern w:val="32"/>
          <w:sz w:val="32"/>
          <w:szCs w:val="32"/>
        </w:rPr>
        <w:t>招标人可以授权评标委员会直接确定中标人。</w:t>
      </w:r>
    </w:p>
    <w:p>
      <w:pPr>
        <w:pStyle w:val="3"/>
        <w:spacing w:line="560" w:lineRule="exact"/>
        <w:ind w:firstLine="640" w:firstLineChars="200"/>
        <w:rPr>
          <w:rFonts w:ascii="仿宋_GB2312" w:hAnsi="宋体" w:eastAsia="仿宋_GB2312" w:cs="宋体"/>
          <w:snapToGrid w:val="0"/>
          <w:color w:val="000000"/>
          <w:kern w:val="32"/>
          <w:sz w:val="32"/>
          <w:szCs w:val="32"/>
        </w:rPr>
      </w:pPr>
      <w:r>
        <w:rPr>
          <w:rFonts w:hint="eastAsia" w:ascii="仿宋_GB2312" w:hAnsi="宋体" w:eastAsia="仿宋_GB2312" w:cs="宋体"/>
          <w:snapToGrid w:val="0"/>
          <w:color w:val="000000"/>
          <w:kern w:val="32"/>
          <w:sz w:val="32"/>
          <w:szCs w:val="32"/>
        </w:rPr>
        <w:t>招标人应在指定媒体上向社会公示中标候选人名单，公示期不得少于3天。</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93145"/>
    <w:rsid w:val="0AB931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widowControl/>
      <w:spacing w:after="100" w:line="259" w:lineRule="auto"/>
    </w:pPr>
    <w:rPr>
      <w:rFonts w:ascii="等线" w:hAnsi="等线" w:eastAsia="等线" w:cstheme="minorBidi"/>
      <w:sz w:val="22"/>
      <w:szCs w:val="22"/>
    </w:rPr>
  </w:style>
  <w:style w:type="paragraph" w:styleId="3">
    <w:name w:val="Plain Text"/>
    <w:basedOn w:val="1"/>
    <w:qFormat/>
    <w:uiPriority w:val="0"/>
    <w:rPr>
      <w:rFonts w:ascii="宋体" w:hAnsi="Courier New" w:cs="Courier New" w:eastAsiaTheme="minorEastAsia"/>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2022-12-28T07:03:00Z</dcterms:created>
  <dc:creator>admin</dc:creator>
  <cp:lastModifiedBy>admin</cp:lastModifiedBy>
  <dcterms:modified xsi:type="dcterms:W3CDTF">2022-12-28T07:09:06Z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